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drawings/drawing5.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drawings/drawing6.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7.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8.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drawings/drawing9.xml" ContentType="application/vnd.openxmlformats-officedocument.drawingml.chartshapes+xml"/>
  <Override PartName="/word/charts/chart13.xml" ContentType="application/vnd.openxmlformats-officedocument.drawingml.chart+xml"/>
  <Override PartName="/word/theme/themeOverride13.xml" ContentType="application/vnd.openxmlformats-officedocument.themeOverride+xml"/>
  <Override PartName="/word/drawings/drawing10.xml" ContentType="application/vnd.openxmlformats-officedocument.drawingml.chartshapes+xml"/>
  <Override PartName="/word/charts/chart14.xml" ContentType="application/vnd.openxmlformats-officedocument.drawingml.chart+xml"/>
  <Override PartName="/word/theme/themeOverride14.xml" ContentType="application/vnd.openxmlformats-officedocument.themeOverride+xml"/>
  <Override PartName="/word/drawings/drawing11.xml" ContentType="application/vnd.openxmlformats-officedocument.drawingml.chartshapes+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7.xml" ContentType="application/vnd.openxmlformats-officedocument.themeOverride+xml"/>
  <Override PartName="/word/drawings/drawing12.xml" ContentType="application/vnd.openxmlformats-officedocument.drawingml.chartshapes+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3.xml" ContentType="application/vnd.openxmlformats-officedocument.themeOverrid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4.xml" ContentType="application/vnd.openxmlformats-officedocument.themeOverrid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5.xml" ContentType="application/vnd.openxmlformats-officedocument.themeOverrid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6.xml" ContentType="application/vnd.openxmlformats-officedocument.themeOverrid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theme/themeOverride27.xml" ContentType="application/vnd.openxmlformats-officedocument.themeOverride+xml"/>
  <Override PartName="/word/charts/chart28.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28.xml" ContentType="application/vnd.openxmlformats-officedocument.themeOverride+xml"/>
  <Override PartName="/word/charts/chart29.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9.xml" ContentType="application/vnd.openxmlformats-officedocument.themeOverride+xml"/>
  <Override PartName="/word/charts/chart30.xml" ContentType="application/vnd.openxmlformats-officedocument.drawingml.chart+xml"/>
  <Override PartName="/word/charts/style27.xml" ContentType="application/vnd.ms-office.chartstyle+xml"/>
  <Override PartName="/word/charts/colors27.xml" ContentType="application/vnd.ms-office.chartcolorstyle+xml"/>
  <Override PartName="/word/theme/themeOverride30.xml" ContentType="application/vnd.openxmlformats-officedocument.themeOverride+xml"/>
  <Override PartName="/word/charts/chart31.xml" ContentType="application/vnd.openxmlformats-officedocument.drawingml.chart+xml"/>
  <Override PartName="/word/charts/style28.xml" ContentType="application/vnd.ms-office.chartstyle+xml"/>
  <Override PartName="/word/charts/colors28.xml" ContentType="application/vnd.ms-office.chartcolorstyle+xml"/>
  <Override PartName="/word/theme/themeOverride31.xml" ContentType="application/vnd.openxmlformats-officedocument.themeOverride+xml"/>
  <Override PartName="/word/charts/chart32.xml" ContentType="application/vnd.openxmlformats-officedocument.drawingml.chart+xml"/>
  <Override PartName="/word/charts/style29.xml" ContentType="application/vnd.ms-office.chartstyle+xml"/>
  <Override PartName="/word/charts/colors29.xml" ContentType="application/vnd.ms-office.chartcolorstyle+xml"/>
  <Override PartName="/word/theme/themeOverride32.xml" ContentType="application/vnd.openxmlformats-officedocument.themeOverride+xml"/>
  <Override PartName="/word/charts/chart33.xml" ContentType="application/vnd.openxmlformats-officedocument.drawingml.chart+xml"/>
  <Override PartName="/word/charts/style30.xml" ContentType="application/vnd.ms-office.chartstyle+xml"/>
  <Override PartName="/word/charts/colors30.xml" ContentType="application/vnd.ms-office.chartcolorstyle+xml"/>
  <Override PartName="/word/theme/themeOverride33.xml" ContentType="application/vnd.openxmlformats-officedocument.themeOverride+xml"/>
  <Override PartName="/word/charts/chart34.xml" ContentType="application/vnd.openxmlformats-officedocument.drawingml.chart+xml"/>
  <Override PartName="/word/charts/style31.xml" ContentType="application/vnd.ms-office.chartstyle+xml"/>
  <Override PartName="/word/charts/colors31.xml" ContentType="application/vnd.ms-office.chartcolorstyle+xml"/>
  <Override PartName="/word/theme/themeOverride34.xml" ContentType="application/vnd.openxmlformats-officedocument.themeOverride+xml"/>
  <Override PartName="/word/charts/chart35.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35.xml" ContentType="application/vnd.openxmlformats-officedocument.themeOverride+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charts/chart36.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36.xml" ContentType="application/vnd.openxmlformats-officedocument.themeOverride+xml"/>
  <Override PartName="/word/drawings/drawing13.xml" ContentType="application/vnd.openxmlformats-officedocument.drawingml.chartshapes+xml"/>
  <Override PartName="/word/charts/chart37.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7.xml" ContentType="application/vnd.openxmlformats-officedocument.themeOverride+xml"/>
  <Override PartName="/word/drawings/drawing14.xml" ContentType="application/vnd.openxmlformats-officedocument.drawingml.chartshapes+xml"/>
  <Override PartName="/word/charts/chart38.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38.xml" ContentType="application/vnd.openxmlformats-officedocument.themeOverride+xml"/>
  <Override PartName="/word/drawings/drawing15.xml" ContentType="application/vnd.openxmlformats-officedocument.drawingml.chartshapes+xml"/>
  <Override PartName="/word/footer9.xml" ContentType="application/vnd.openxmlformats-officedocument.wordprocessingml.footer+xml"/>
  <Override PartName="/word/footer10.xml" ContentType="application/vnd.openxmlformats-officedocument.wordprocessingml.footer+xml"/>
  <Override PartName="/word/charts/chart39.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39.xml" ContentType="application/vnd.openxmlformats-officedocument.themeOverride+xml"/>
  <Override PartName="/word/drawings/drawing16.xml" ContentType="application/vnd.openxmlformats-officedocument.drawingml.chartshapes+xml"/>
  <Override PartName="/word/charts/chart40.xml" ContentType="application/vnd.openxmlformats-officedocument.drawingml.chart+xml"/>
  <Override PartName="/word/charts/style37.xml" ContentType="application/vnd.ms-office.chartstyle+xml"/>
  <Override PartName="/word/charts/colors37.xml" ContentType="application/vnd.ms-office.chartcolorstyle+xml"/>
  <Override PartName="/word/theme/themeOverride40.xml" ContentType="application/vnd.openxmlformats-officedocument.themeOverride+xml"/>
  <Override PartName="/word/charts/chart41.xml" ContentType="application/vnd.openxmlformats-officedocument.drawingml.chart+xml"/>
  <Override PartName="/word/charts/style38.xml" ContentType="application/vnd.ms-office.chartstyle+xml"/>
  <Override PartName="/word/charts/colors38.xml" ContentType="application/vnd.ms-office.chartcolorstyle+xml"/>
  <Override PartName="/word/theme/themeOverride41.xml" ContentType="application/vnd.openxmlformats-officedocument.themeOverride+xml"/>
  <Override PartName="/word/charts/chart42.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42.xml" ContentType="application/vnd.openxmlformats-officedocument.themeOverride+xml"/>
  <Override PartName="/word/drawings/drawing17.xml" ContentType="application/vnd.openxmlformats-officedocument.drawingml.chartshapes+xml"/>
  <Override PartName="/word/charts/chart43.xml" ContentType="application/vnd.openxmlformats-officedocument.drawingml.chart+xml"/>
  <Override PartName="/word/charts/style40.xml" ContentType="application/vnd.ms-office.chartstyle+xml"/>
  <Override PartName="/word/charts/colors40.xml" ContentType="application/vnd.ms-office.chartcolorstyle+xml"/>
  <Override PartName="/word/theme/themeOverride43.xml" ContentType="application/vnd.openxmlformats-officedocument.themeOverride+xml"/>
  <Override PartName="/word/charts/chart44.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44.xml" ContentType="application/vnd.openxmlformats-officedocument.themeOverride+xml"/>
  <Override PartName="/word/drawings/drawing18.xml" ContentType="application/vnd.openxmlformats-officedocument.drawingml.chartshapes+xml"/>
  <Override PartName="/word/charts/chart45.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45.xml" ContentType="application/vnd.openxmlformats-officedocument.themeOverride+xml"/>
  <Override PartName="/word/charts/chart46.xml" ContentType="application/vnd.openxmlformats-officedocument.drawingml.chart+xml"/>
  <Override PartName="/word/header8.xml" ContentType="application/vnd.openxmlformats-officedocument.wordprocessingml.header+xml"/>
  <Override PartName="/word/header9.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0.xml" ContentType="application/vnd.openxmlformats-officedocument.wordprocessingml.header+xml"/>
  <Override PartName="/word/charts/chart47.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46.xml" ContentType="application/vnd.openxmlformats-officedocument.themeOverride+xml"/>
  <Override PartName="/word/drawings/drawing19.xml" ContentType="application/vnd.openxmlformats-officedocument.drawingml.chartshapes+xml"/>
  <Override PartName="/word/charts/chart48.xml" ContentType="application/vnd.openxmlformats-officedocument.drawingml.chart+xml"/>
  <Override PartName="/word/charts/style44.xml" ContentType="application/vnd.ms-office.chartstyle+xml"/>
  <Override PartName="/word/charts/colors44.xml" ContentType="application/vnd.ms-office.chartcolorstyle+xml"/>
  <Override PartName="/word/theme/themeOverride47.xml" ContentType="application/vnd.openxmlformats-officedocument.themeOverride+xml"/>
  <Override PartName="/word/drawings/drawing20.xml" ContentType="application/vnd.openxmlformats-officedocument.drawingml.chartshapes+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2.xml" ContentType="application/vnd.openxmlformats-officedocument.wordprocessingml.header+xml"/>
  <Override PartName="/word/charts/chart49.xml" ContentType="application/vnd.openxmlformats-officedocument.drawingml.chart+xml"/>
  <Override PartName="/word/theme/themeOverride48.xml" ContentType="application/vnd.openxmlformats-officedocument.themeOverride+xml"/>
  <Override PartName="/word/header13.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8.xml" ContentType="application/vnd.openxmlformats-officedocument.wordprocessingml.header+xml"/>
  <Override PartName="/word/charts/chart50.xml" ContentType="application/vnd.openxmlformats-officedocument.drawingml.chart+xml"/>
  <Override PartName="/word/charts/style45.xml" ContentType="application/vnd.ms-office.chartstyle+xml"/>
  <Override PartName="/word/charts/colors45.xml" ContentType="application/vnd.ms-office.chartcolorstyle+xml"/>
  <Override PartName="/word/theme/themeOverride49.xml" ContentType="application/vnd.openxmlformats-officedocument.themeOverride+xml"/>
  <Override PartName="/word/header19.xml" ContentType="application/vnd.openxmlformats-officedocument.wordprocessingml.header+xml"/>
  <Override PartName="/word/header20.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23.xml" ContentType="application/vnd.openxmlformats-officedocument.wordprocessingml.footer+xml"/>
  <Override PartName="/word/footer24.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charts/chart51.xml" ContentType="application/vnd.openxmlformats-officedocument.drawingml.chart+xml"/>
  <Override PartName="/word/charts/style46.xml" ContentType="application/vnd.ms-office.chartstyle+xml"/>
  <Override PartName="/word/charts/colors46.xml" ContentType="application/vnd.ms-office.chartcolorstyle+xml"/>
  <Override PartName="/word/theme/themeOverride50.xml" ContentType="application/vnd.openxmlformats-officedocument.themeOverride+xml"/>
  <Override PartName="/word/charts/chart52.xml" ContentType="application/vnd.openxmlformats-officedocument.drawingml.chart+xml"/>
  <Override PartName="/word/charts/style47.xml" ContentType="application/vnd.ms-office.chartstyle+xml"/>
  <Override PartName="/word/charts/colors47.xml" ContentType="application/vnd.ms-office.chartcolorstyle+xml"/>
  <Override PartName="/word/theme/themeOverride51.xml" ContentType="application/vnd.openxmlformats-officedocument.themeOverride+xml"/>
  <Override PartName="/word/drawings/drawing21.xml" ContentType="application/vnd.openxmlformats-officedocument.drawingml.chartshapes+xml"/>
  <Override PartName="/word/charts/chart53.xml" ContentType="application/vnd.openxmlformats-officedocument.drawingml.chart+xml"/>
  <Override PartName="/word/charts/style48.xml" ContentType="application/vnd.ms-office.chartstyle+xml"/>
  <Override PartName="/word/charts/colors48.xml" ContentType="application/vnd.ms-office.chartcolorstyle+xml"/>
  <Override PartName="/word/drawings/drawing22.xml" ContentType="application/vnd.openxmlformats-officedocument.drawingml.chartshapes+xml"/>
  <Override PartName="/word/footer27.xml" ContentType="application/vnd.openxmlformats-officedocument.wordprocessingml.footer+xml"/>
  <Override PartName="/word/footer28.xml" ContentType="application/vnd.openxmlformats-officedocument.wordprocessingml.footer+xml"/>
  <Override PartName="/word/header28.xml" ContentType="application/vnd.openxmlformats-officedocument.wordprocessingml.header+xml"/>
  <Override PartName="/word/charts/chart54.xml" ContentType="application/vnd.openxmlformats-officedocument.drawingml.chart+xml"/>
  <Override PartName="/word/drawings/drawing23.xml" ContentType="application/vnd.openxmlformats-officedocument.drawingml.chartshapes+xml"/>
  <Override PartName="/word/footer29.xml" ContentType="application/vnd.openxmlformats-officedocument.wordprocessingml.footer+xml"/>
  <Override PartName="/word/footer30.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charts/chart55.xml" ContentType="application/vnd.openxmlformats-officedocument.drawingml.chart+xml"/>
  <Override PartName="/word/charts/style49.xml" ContentType="application/vnd.ms-office.chartstyle+xml"/>
  <Override PartName="/word/charts/colors49.xml" ContentType="application/vnd.ms-office.chartcolorstyle+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footer33.xml" ContentType="application/vnd.openxmlformats-officedocument.wordprocessingml.footer+xml"/>
  <Override PartName="/word/footer34.xml" ContentType="application/vnd.openxmlformats-officedocument.wordprocessingml.footer+xml"/>
  <Override PartName="/word/header35.xml" ContentType="application/vnd.openxmlformats-officedocument.wordprocessingml.header+xml"/>
  <Override PartName="/word/charts/chart56.xml" ContentType="application/vnd.openxmlformats-officedocument.drawingml.chart+xml"/>
  <Override PartName="/word/charts/style50.xml" ContentType="application/vnd.ms-office.chartstyle+xml"/>
  <Override PartName="/word/charts/colors50.xml" ContentType="application/vnd.ms-office.chartcolorstyle+xml"/>
  <Override PartName="/word/theme/themeOverride52.xml" ContentType="application/vnd.openxmlformats-officedocument.themeOverride+xml"/>
  <Override PartName="/word/drawings/drawing24.xml" ContentType="application/vnd.openxmlformats-officedocument.drawingml.chartshapes+xml"/>
  <Override PartName="/word/charts/chart57.xml" ContentType="application/vnd.openxmlformats-officedocument.drawingml.chart+xml"/>
  <Override PartName="/word/charts/style51.xml" ContentType="application/vnd.ms-office.chartstyle+xml"/>
  <Override PartName="/word/charts/colors51.xml" ContentType="application/vnd.ms-office.chartcolorstyle+xml"/>
  <Override PartName="/word/theme/themeOverride53.xml" ContentType="application/vnd.openxmlformats-officedocument.themeOverride+xml"/>
  <Override PartName="/word/drawings/drawing25.xml" ContentType="application/vnd.openxmlformats-officedocument.drawingml.chartshapes+xml"/>
  <Override PartName="/word/charts/chart58.xml" ContentType="application/vnd.openxmlformats-officedocument.drawingml.chart+xml"/>
  <Override PartName="/word/charts/style52.xml" ContentType="application/vnd.ms-office.chartstyle+xml"/>
  <Override PartName="/word/charts/colors52.xml" ContentType="application/vnd.ms-office.chartcolorstyle+xml"/>
  <Override PartName="/word/theme/themeOverride54.xml" ContentType="application/vnd.openxmlformats-officedocument.themeOverride+xml"/>
  <Override PartName="/word/drawings/drawing26.xml" ContentType="application/vnd.openxmlformats-officedocument.drawingml.chartshapes+xml"/>
  <Override PartName="/word/charts/chart59.xml" ContentType="application/vnd.openxmlformats-officedocument.drawingml.chart+xml"/>
  <Override PartName="/word/charts/style53.xml" ContentType="application/vnd.ms-office.chartstyle+xml"/>
  <Override PartName="/word/charts/colors53.xml" ContentType="application/vnd.ms-office.chartcolorstyle+xml"/>
  <Override PartName="/word/theme/themeOverride55.xml" ContentType="application/vnd.openxmlformats-officedocument.themeOverride+xml"/>
  <Override PartName="/word/charts/chart60.xml" ContentType="application/vnd.openxmlformats-officedocument.drawingml.chart+xml"/>
  <Override PartName="/word/charts/style54.xml" ContentType="application/vnd.ms-office.chartstyle+xml"/>
  <Override PartName="/word/charts/colors54.xml" ContentType="application/vnd.ms-office.chartcolorstyle+xml"/>
  <Override PartName="/word/theme/themeOverride56.xml" ContentType="application/vnd.openxmlformats-officedocument.themeOverride+xml"/>
  <Override PartName="/word/charts/chart61.xml" ContentType="application/vnd.openxmlformats-officedocument.drawingml.chart+xml"/>
  <Override PartName="/word/charts/style55.xml" ContentType="application/vnd.ms-office.chartstyle+xml"/>
  <Override PartName="/word/charts/colors55.xml" ContentType="application/vnd.ms-office.chartcolorstyle+xml"/>
  <Override PartName="/word/theme/themeOverride57.xml" ContentType="application/vnd.openxmlformats-officedocument.themeOverride+xml"/>
  <Override PartName="/word/drawings/drawing27.xml" ContentType="application/vnd.openxmlformats-officedocument.drawingml.chartshapes+xml"/>
  <Override PartName="/word/header36.xml" ContentType="application/vnd.openxmlformats-officedocument.wordprocessingml.header+xml"/>
  <Override PartName="/word/footer35.xml" ContentType="application/vnd.openxmlformats-officedocument.wordprocessingml.footer+xml"/>
  <Override PartName="/word/footer36.xml" ContentType="application/vnd.openxmlformats-officedocument.wordprocessingml.footer+xml"/>
  <Override PartName="/word/header37.xml" ContentType="application/vnd.openxmlformats-officedocument.wordprocessingml.header+xml"/>
  <Override PartName="/word/charts/chart62.xml" ContentType="application/vnd.openxmlformats-officedocument.drawingml.chart+xml"/>
  <Override PartName="/word/theme/themeOverride58.xml" ContentType="application/vnd.openxmlformats-officedocument.themeOverride+xml"/>
  <Override PartName="/word/charts/chart63.xml" ContentType="application/vnd.openxmlformats-officedocument.drawingml.chart+xml"/>
  <Override PartName="/word/theme/themeOverride59.xml" ContentType="application/vnd.openxmlformats-officedocument.themeOverride+xml"/>
  <Override PartName="/word/charts/chart64.xml" ContentType="application/vnd.openxmlformats-officedocument.drawingml.chart+xml"/>
  <Override PartName="/word/theme/themeOverride60.xml" ContentType="application/vnd.openxmlformats-officedocument.themeOverride+xml"/>
  <Override PartName="/word/charts/chart65.xml" ContentType="application/vnd.openxmlformats-officedocument.drawingml.chart+xml"/>
  <Override PartName="/word/theme/themeOverride61.xml" ContentType="application/vnd.openxmlformats-officedocument.themeOverride+xml"/>
  <Override PartName="/word/charts/chart66.xml" ContentType="application/vnd.openxmlformats-officedocument.drawingml.chart+xml"/>
  <Override PartName="/word/theme/themeOverride62.xml" ContentType="application/vnd.openxmlformats-officedocument.themeOverride+xml"/>
  <Override PartName="/word/charts/chart67.xml" ContentType="application/vnd.openxmlformats-officedocument.drawingml.chart+xml"/>
  <Override PartName="/word/theme/themeOverride63.xml" ContentType="application/vnd.openxmlformats-officedocument.themeOverride+xml"/>
  <Override PartName="/word/charts/chart68.xml" ContentType="application/vnd.openxmlformats-officedocument.drawingml.chart+xml"/>
  <Override PartName="/word/theme/themeOverride64.xml" ContentType="application/vnd.openxmlformats-officedocument.themeOverride+xml"/>
  <Override PartName="/word/charts/chart69.xml" ContentType="application/vnd.openxmlformats-officedocument.drawingml.chart+xml"/>
  <Override PartName="/word/theme/themeOverride65.xml" ContentType="application/vnd.openxmlformats-officedocument.themeOverride+xml"/>
  <Override PartName="/word/charts/chart70.xml" ContentType="application/vnd.openxmlformats-officedocument.drawingml.chart+xml"/>
  <Override PartName="/word/theme/themeOverride66.xml" ContentType="application/vnd.openxmlformats-officedocument.themeOverride+xml"/>
  <Override PartName="/word/charts/chart71.xml" ContentType="application/vnd.openxmlformats-officedocument.drawingml.chart+xml"/>
  <Override PartName="/word/theme/themeOverride67.xml" ContentType="application/vnd.openxmlformats-officedocument.themeOverride+xml"/>
  <Override PartName="/word/charts/chart72.xml" ContentType="application/vnd.openxmlformats-officedocument.drawingml.chart+xml"/>
  <Override PartName="/word/theme/themeOverride68.xml" ContentType="application/vnd.openxmlformats-officedocument.themeOverride+xml"/>
  <Override PartName="/word/charts/chart73.xml" ContentType="application/vnd.openxmlformats-officedocument.drawingml.chart+xml"/>
  <Override PartName="/word/theme/themeOverride69.xml" ContentType="application/vnd.openxmlformats-officedocument.themeOverride+xml"/>
  <Override PartName="/word/charts/chart74.xml" ContentType="application/vnd.openxmlformats-officedocument.drawingml.chart+xml"/>
  <Override PartName="/word/charts/style56.xml" ContentType="application/vnd.ms-office.chartstyle+xml"/>
  <Override PartName="/word/charts/colors56.xml" ContentType="application/vnd.ms-office.chartcolorstyle+xml"/>
  <Override PartName="/word/theme/themeOverride70.xml" ContentType="application/vnd.openxmlformats-officedocument.themeOverride+xml"/>
  <Override PartName="/word/charts/chart75.xml" ContentType="application/vnd.openxmlformats-officedocument.drawingml.chart+xml"/>
  <Override PartName="/word/theme/themeOverride71.xml" ContentType="application/vnd.openxmlformats-officedocument.themeOverride+xml"/>
  <Override PartName="/word/charts/chart76.xml" ContentType="application/vnd.openxmlformats-officedocument.drawingml.chart+xml"/>
  <Override PartName="/word/charts/style57.xml" ContentType="application/vnd.ms-office.chartstyle+xml"/>
  <Override PartName="/word/charts/colors57.xml" ContentType="application/vnd.ms-office.chartcolorstyle+xml"/>
  <Override PartName="/word/theme/themeOverride72.xml" ContentType="application/vnd.openxmlformats-officedocument.themeOverride+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D6796" w14:textId="77777777" w:rsidR="00C55154" w:rsidRPr="008E2FD8" w:rsidRDefault="0074219F" w:rsidP="00B7729C">
      <w:pPr>
        <w:spacing w:before="240"/>
        <w:ind w:firstLine="720"/>
        <w:rPr>
          <w:rFonts w:cstheme="minorHAnsi"/>
          <w:sz w:val="48"/>
          <w:szCs w:val="64"/>
          <w:lang w:val="sr-Cyrl-RS"/>
        </w:rPr>
      </w:pPr>
      <w:r w:rsidRPr="0074219F">
        <w:rPr>
          <w:rFonts w:ascii="Calibri" w:eastAsia="Calibri" w:hAnsi="Calibri" w:cs="Calibri"/>
          <w:bCs/>
          <w:color w:val="44546A"/>
          <w:szCs w:val="72"/>
          <w:lang w:val="sr-Cyrl-RS"/>
        </w:rPr>
        <w:t>На основу члана 27в став 1. и члана 31. став 1.</w:t>
      </w:r>
      <w:r w:rsidR="00FD7F91">
        <w:rPr>
          <w:rFonts w:ascii="Calibri" w:eastAsia="Calibri" w:hAnsi="Calibri" w:cs="Calibri"/>
          <w:bCs/>
          <w:color w:val="44546A"/>
          <w:szCs w:val="72"/>
          <w:lang w:val="sr-Cyrl-RS"/>
        </w:rPr>
        <w:t xml:space="preserve"> </w:t>
      </w:r>
      <w:r w:rsidR="00FD7F91" w:rsidRPr="001F5364">
        <w:rPr>
          <w:rFonts w:ascii="Calibri" w:eastAsia="Calibri" w:hAnsi="Calibri" w:cs="Calibri"/>
          <w:bCs/>
          <w:color w:val="44546A"/>
          <w:szCs w:val="72"/>
          <w:lang w:val="sr-Cyrl-RS"/>
        </w:rPr>
        <w:t>тачка 1) подтачка (8)</w:t>
      </w:r>
      <w:r w:rsidRPr="0074219F">
        <w:rPr>
          <w:rFonts w:ascii="Calibri" w:eastAsia="Calibri" w:hAnsi="Calibri" w:cs="Calibri"/>
          <w:bCs/>
          <w:color w:val="44546A"/>
          <w:szCs w:val="72"/>
          <w:lang w:val="sr-Cyrl-RS"/>
        </w:rPr>
        <w:t xml:space="preserve"> Закона о буџетском систему </w:t>
      </w:r>
      <w:r w:rsidR="00FD7F91" w:rsidRPr="00FD7F91">
        <w:rPr>
          <w:rFonts w:ascii="Calibri" w:eastAsia="Calibri" w:hAnsi="Calibri" w:cs="Calibri"/>
          <w:bCs/>
          <w:color w:val="44546A"/>
          <w:szCs w:val="72"/>
          <w:lang w:val="sr-Cyrl-RS"/>
        </w:rPr>
        <w:t>(„Службени гласник РС”, бр. 54/09, 73/10, 101/10, 101/11, 93/12, 62/13, 63/13-исправка, 108/13, 142/14, 68/15-др. закон, 103/15, 99/16, 113/17, 95/18, 31/19, 72/19 и 149/20)</w:t>
      </w:r>
      <w:r w:rsidR="00C55154" w:rsidRPr="008E2FD8">
        <w:rPr>
          <w:rFonts w:cstheme="minorHAnsi"/>
          <w:bCs/>
          <w:szCs w:val="72"/>
          <w:lang w:val="sr-Cyrl-RS"/>
        </w:rPr>
        <w:t>,</w:t>
      </w:r>
    </w:p>
    <w:p w14:paraId="4F7BE744" w14:textId="77777777" w:rsidR="00C55154" w:rsidRPr="008E2FD8" w:rsidRDefault="00B46CA9" w:rsidP="00B46CA9">
      <w:pPr>
        <w:ind w:firstLine="720"/>
        <w:rPr>
          <w:rFonts w:cstheme="minorHAnsi"/>
          <w:bCs/>
          <w:szCs w:val="72"/>
          <w:lang w:val="sr-Cyrl-RS"/>
        </w:rPr>
      </w:pPr>
      <w:r w:rsidRPr="008E2FD8">
        <w:rPr>
          <w:rFonts w:cstheme="minorHAnsi"/>
          <w:bCs/>
          <w:szCs w:val="72"/>
          <w:lang w:val="sr-Cyrl-RS"/>
        </w:rPr>
        <w:t>Влада усваја</w:t>
      </w:r>
    </w:p>
    <w:p w14:paraId="5F640C9E" w14:textId="77777777" w:rsidR="00C55154" w:rsidRPr="008E2FD8" w:rsidRDefault="00C55154" w:rsidP="008420D4">
      <w:pPr>
        <w:spacing w:after="0" w:line="240" w:lineRule="auto"/>
        <w:jc w:val="center"/>
        <w:rPr>
          <w:rFonts w:cstheme="minorHAnsi"/>
          <w:b/>
          <w:bCs/>
          <w:sz w:val="26"/>
          <w:szCs w:val="26"/>
          <w:lang w:val="sr-Cyrl-RS"/>
        </w:rPr>
      </w:pPr>
      <w:r w:rsidRPr="008E2FD8">
        <w:rPr>
          <w:rFonts w:cstheme="minorHAnsi"/>
          <w:b/>
          <w:bCs/>
          <w:sz w:val="26"/>
          <w:szCs w:val="26"/>
          <w:lang w:val="sr-Cyrl-RS"/>
        </w:rPr>
        <w:t>ФИСКАЛНУ СТРАТЕГИЈУ</w:t>
      </w:r>
    </w:p>
    <w:p w14:paraId="1C44FF57" w14:textId="77777777" w:rsidR="00C55154" w:rsidRPr="008E2FD8" w:rsidRDefault="00C55154" w:rsidP="008420D4">
      <w:pPr>
        <w:spacing w:after="0" w:line="240" w:lineRule="auto"/>
        <w:jc w:val="center"/>
        <w:rPr>
          <w:rFonts w:cstheme="minorHAnsi"/>
          <w:b/>
          <w:bCs/>
          <w:sz w:val="26"/>
          <w:szCs w:val="26"/>
          <w:lang w:val="sr-Cyrl-RS"/>
        </w:rPr>
      </w:pPr>
      <w:r w:rsidRPr="008E2FD8">
        <w:rPr>
          <w:rFonts w:cstheme="minorHAnsi"/>
          <w:b/>
          <w:bCs/>
          <w:sz w:val="26"/>
          <w:szCs w:val="26"/>
          <w:lang w:val="sr-Cyrl-RS"/>
        </w:rPr>
        <w:t>ЗА 202</w:t>
      </w:r>
      <w:r w:rsidR="00E33066" w:rsidRPr="008E2FD8">
        <w:rPr>
          <w:rFonts w:cstheme="minorHAnsi"/>
          <w:b/>
          <w:bCs/>
          <w:sz w:val="26"/>
          <w:szCs w:val="26"/>
          <w:lang w:val="sr-Cyrl-RS"/>
        </w:rPr>
        <w:t>2</w:t>
      </w:r>
      <w:r w:rsidRPr="008E2FD8">
        <w:rPr>
          <w:rFonts w:cstheme="minorHAnsi"/>
          <w:b/>
          <w:bCs/>
          <w:sz w:val="26"/>
          <w:szCs w:val="26"/>
          <w:lang w:val="sr-Cyrl-RS"/>
        </w:rPr>
        <w:t>. ГОДИНУ СА ПРОЈЕКЦИЈАМА ЗА 202</w:t>
      </w:r>
      <w:r w:rsidR="00E33066" w:rsidRPr="008E2FD8">
        <w:rPr>
          <w:rFonts w:cstheme="minorHAnsi"/>
          <w:b/>
          <w:bCs/>
          <w:sz w:val="26"/>
          <w:szCs w:val="26"/>
          <w:lang w:val="sr-Cyrl-RS"/>
        </w:rPr>
        <w:t>3</w:t>
      </w:r>
      <w:r w:rsidRPr="008E2FD8">
        <w:rPr>
          <w:rFonts w:cstheme="minorHAnsi"/>
          <w:b/>
          <w:bCs/>
          <w:sz w:val="26"/>
          <w:szCs w:val="26"/>
          <w:lang w:val="sr-Cyrl-RS"/>
        </w:rPr>
        <w:t>. И 202</w:t>
      </w:r>
      <w:r w:rsidR="00E33066" w:rsidRPr="008E2FD8">
        <w:rPr>
          <w:rFonts w:cstheme="minorHAnsi"/>
          <w:b/>
          <w:bCs/>
          <w:sz w:val="26"/>
          <w:szCs w:val="26"/>
          <w:lang w:val="sr-Cyrl-RS"/>
        </w:rPr>
        <w:t>4</w:t>
      </w:r>
      <w:r w:rsidRPr="008E2FD8">
        <w:rPr>
          <w:rFonts w:cstheme="minorHAnsi"/>
          <w:b/>
          <w:bCs/>
          <w:sz w:val="26"/>
          <w:szCs w:val="26"/>
          <w:lang w:val="sr-Cyrl-RS"/>
        </w:rPr>
        <w:t>. ГОДИНУ</w:t>
      </w:r>
    </w:p>
    <w:p w14:paraId="1E045C56" w14:textId="77777777" w:rsidR="00C55154" w:rsidRPr="008E2FD8" w:rsidRDefault="00C55154" w:rsidP="008420D4">
      <w:pPr>
        <w:spacing w:after="0" w:line="240" w:lineRule="auto"/>
        <w:jc w:val="center"/>
        <w:rPr>
          <w:rFonts w:cstheme="minorHAnsi"/>
          <w:b/>
          <w:bCs/>
          <w:sz w:val="24"/>
          <w:szCs w:val="72"/>
          <w:lang w:val="sr-Cyrl-RS"/>
        </w:rPr>
      </w:pPr>
    </w:p>
    <w:p w14:paraId="28571DC5" w14:textId="77777777" w:rsidR="00C55154" w:rsidRPr="008E2FD8" w:rsidRDefault="00C55154" w:rsidP="00D20C27">
      <w:pPr>
        <w:pStyle w:val="Heading1"/>
        <w:jc w:val="center"/>
        <w:rPr>
          <w:rFonts w:asciiTheme="minorHAnsi" w:hAnsiTheme="minorHAnsi" w:cstheme="minorHAnsi"/>
          <w:b/>
          <w:sz w:val="26"/>
          <w:szCs w:val="26"/>
          <w:lang w:val="sr-Cyrl-RS"/>
        </w:rPr>
      </w:pPr>
      <w:bookmarkStart w:id="0" w:name="_Toc73364961"/>
      <w:r w:rsidRPr="008E2FD8">
        <w:rPr>
          <w:rFonts w:asciiTheme="minorHAnsi" w:hAnsiTheme="minorHAnsi" w:cstheme="minorHAnsi"/>
          <w:b/>
          <w:sz w:val="26"/>
          <w:szCs w:val="26"/>
          <w:lang w:val="sr-Cyrl-RS"/>
        </w:rPr>
        <w:t>I. МАКРОЕКОНОМСКИ ОКВИР ЗА ПЕРИОД ОД 202</w:t>
      </w:r>
      <w:r w:rsidR="00E33066" w:rsidRPr="008E2FD8">
        <w:rPr>
          <w:rFonts w:asciiTheme="minorHAnsi" w:hAnsiTheme="minorHAnsi" w:cstheme="minorHAnsi"/>
          <w:b/>
          <w:sz w:val="26"/>
          <w:szCs w:val="26"/>
          <w:lang w:val="sr-Cyrl-RS"/>
        </w:rPr>
        <w:t>2</w:t>
      </w:r>
      <w:r w:rsidRPr="008E2FD8">
        <w:rPr>
          <w:rFonts w:asciiTheme="minorHAnsi" w:hAnsiTheme="minorHAnsi" w:cstheme="minorHAnsi"/>
          <w:b/>
          <w:sz w:val="26"/>
          <w:szCs w:val="26"/>
          <w:lang w:val="sr-Cyrl-RS"/>
        </w:rPr>
        <w:t>. ДО 202</w:t>
      </w:r>
      <w:r w:rsidR="00E33066" w:rsidRPr="008E2FD8">
        <w:rPr>
          <w:rFonts w:asciiTheme="minorHAnsi" w:hAnsiTheme="minorHAnsi" w:cstheme="minorHAnsi"/>
          <w:b/>
          <w:sz w:val="26"/>
          <w:szCs w:val="26"/>
          <w:lang w:val="sr-Cyrl-RS"/>
        </w:rPr>
        <w:t>4</w:t>
      </w:r>
      <w:r w:rsidRPr="008E2FD8">
        <w:rPr>
          <w:rFonts w:asciiTheme="minorHAnsi" w:hAnsiTheme="minorHAnsi" w:cstheme="minorHAnsi"/>
          <w:b/>
          <w:sz w:val="26"/>
          <w:szCs w:val="26"/>
          <w:lang w:val="sr-Cyrl-RS"/>
        </w:rPr>
        <w:t>. ГОДИНЕ</w:t>
      </w:r>
      <w:bookmarkEnd w:id="0"/>
    </w:p>
    <w:p w14:paraId="311DCFD5" w14:textId="77777777" w:rsidR="00C55154" w:rsidRPr="008E2FD8" w:rsidRDefault="00C55154" w:rsidP="00087CD9">
      <w:pPr>
        <w:spacing w:after="120"/>
        <w:jc w:val="center"/>
        <w:rPr>
          <w:rFonts w:cstheme="minorHAnsi"/>
          <w:color w:val="2F5496" w:themeColor="accent1" w:themeShade="BF"/>
          <w:sz w:val="18"/>
          <w:lang w:val="sr-Cyrl-RS"/>
        </w:rPr>
      </w:pPr>
    </w:p>
    <w:p w14:paraId="5FBAD9DF" w14:textId="77777777" w:rsidR="00C55154" w:rsidRPr="008E2FD8" w:rsidRDefault="00C55154" w:rsidP="00D20C27">
      <w:pPr>
        <w:pStyle w:val="Heading2"/>
        <w:jc w:val="center"/>
        <w:rPr>
          <w:rFonts w:asciiTheme="minorHAnsi" w:hAnsiTheme="minorHAnsi" w:cstheme="minorHAnsi"/>
          <w:b/>
          <w:sz w:val="24"/>
          <w:lang w:val="sr-Cyrl-RS"/>
        </w:rPr>
      </w:pPr>
      <w:bookmarkStart w:id="1" w:name="_Toc73364962"/>
      <w:r w:rsidRPr="008E2FD8">
        <w:rPr>
          <w:rFonts w:asciiTheme="minorHAnsi" w:hAnsiTheme="minorHAnsi" w:cstheme="minorHAnsi"/>
          <w:b/>
          <w:sz w:val="22"/>
          <w:lang w:val="sr-Cyrl-RS"/>
        </w:rPr>
        <w:t xml:space="preserve">1. </w:t>
      </w:r>
      <w:r w:rsidRPr="008E2FD8">
        <w:rPr>
          <w:rFonts w:asciiTheme="minorHAnsi" w:hAnsiTheme="minorHAnsi" w:cstheme="minorHAnsi"/>
          <w:b/>
          <w:sz w:val="24"/>
          <w:lang w:val="sr-Cyrl-RS"/>
        </w:rPr>
        <w:t>Општи оквир и главни циљеви и смернице економске политике</w:t>
      </w:r>
      <w:bookmarkEnd w:id="1"/>
    </w:p>
    <w:p w14:paraId="1E452265" w14:textId="77777777" w:rsidR="00C55154" w:rsidRPr="008E2FD8" w:rsidRDefault="00C55154" w:rsidP="00AF2359">
      <w:pPr>
        <w:rPr>
          <w:rFonts w:cstheme="minorHAnsi"/>
          <w:color w:val="auto"/>
          <w:sz w:val="18"/>
          <w:lang w:val="sr-Cyrl-RS"/>
        </w:rPr>
      </w:pPr>
    </w:p>
    <w:p w14:paraId="5D45431F" w14:textId="77777777" w:rsidR="00C55154" w:rsidRPr="008E2FD8" w:rsidRDefault="00C55154" w:rsidP="00AF2359">
      <w:pPr>
        <w:rPr>
          <w:rFonts w:cstheme="minorHAnsi"/>
          <w:color w:val="auto"/>
          <w:lang w:val="sr-Cyrl-RS"/>
        </w:rPr>
        <w:sectPr w:rsidR="00C55154" w:rsidRPr="008E2FD8" w:rsidSect="00766A90">
          <w:footerReference w:type="default" r:id="rId8"/>
          <w:pgSz w:w="12240" w:h="15840" w:code="1"/>
          <w:pgMar w:top="1440" w:right="1440" w:bottom="1440" w:left="1440" w:header="720" w:footer="720" w:gutter="0"/>
          <w:pgNumType w:start="1"/>
          <w:cols w:space="720"/>
          <w:titlePg/>
          <w:docGrid w:linePitch="360"/>
        </w:sectPr>
      </w:pPr>
    </w:p>
    <w:p w14:paraId="452CF293" w14:textId="77777777" w:rsidR="001E1EFD" w:rsidRPr="00B66CBD" w:rsidRDefault="001E1EFD" w:rsidP="001E1EFD">
      <w:pPr>
        <w:rPr>
          <w:rFonts w:ascii="Calibri" w:eastAsia="Calibri" w:hAnsi="Calibri" w:cs="Calibri"/>
          <w:bCs/>
          <w:color w:val="4472C4"/>
          <w:szCs w:val="72"/>
          <w:lang w:val="sr-Cyrl-RS"/>
        </w:rPr>
      </w:pPr>
      <w:r>
        <w:rPr>
          <w:rFonts w:ascii="Calibri" w:eastAsia="Calibri" w:hAnsi="Calibri" w:cs="Calibri"/>
          <w:b/>
          <w:bCs/>
          <w:color w:val="4472C4"/>
          <w:szCs w:val="72"/>
          <w:lang w:val="sr-Cyrl-RS"/>
        </w:rPr>
        <w:t>Економска политика у Републици Србији дала је адекватан одговор на кризу изазвану пандемијом коро</w:t>
      </w:r>
      <w:r w:rsidR="00F752BB" w:rsidRPr="00F752BB">
        <w:rPr>
          <w:rFonts w:ascii="Calibri" w:eastAsia="Calibri" w:hAnsi="Calibri" w:cs="Calibri"/>
          <w:b/>
          <w:bCs/>
          <w:color w:val="4472C4"/>
          <w:szCs w:val="72"/>
          <w:lang w:val="sr-Cyrl-RS"/>
        </w:rPr>
        <w:t>на</w:t>
      </w:r>
      <w:r w:rsidRPr="00F752BB">
        <w:rPr>
          <w:rFonts w:ascii="Calibri" w:eastAsia="Calibri" w:hAnsi="Calibri" w:cs="Calibri"/>
          <w:b/>
          <w:bCs/>
          <w:color w:val="4472C4"/>
          <w:szCs w:val="72"/>
          <w:lang w:val="sr-Cyrl-RS"/>
        </w:rPr>
        <w:t>ви</w:t>
      </w:r>
      <w:r>
        <w:rPr>
          <w:rFonts w:ascii="Calibri" w:eastAsia="Calibri" w:hAnsi="Calibri" w:cs="Calibri"/>
          <w:b/>
          <w:bCs/>
          <w:color w:val="4472C4"/>
          <w:szCs w:val="72"/>
          <w:lang w:val="sr-Cyrl-RS"/>
        </w:rPr>
        <w:t>руса.</w:t>
      </w:r>
      <w:r w:rsidRPr="00173CF3">
        <w:rPr>
          <w:rFonts w:ascii="Calibri" w:eastAsia="Calibri" w:hAnsi="Calibri" w:cs="Calibri"/>
          <w:bCs/>
          <w:color w:val="4472C4"/>
          <w:szCs w:val="72"/>
          <w:lang w:val="sr-Cyrl-RS"/>
        </w:rPr>
        <w:t xml:space="preserve"> </w:t>
      </w:r>
      <w:r>
        <w:rPr>
          <w:rFonts w:ascii="Calibri" w:eastAsia="Calibri" w:hAnsi="Calibri" w:cs="Calibri"/>
          <w:bCs/>
          <w:color w:val="4472C4"/>
          <w:szCs w:val="72"/>
          <w:lang w:val="sr-Cyrl-RS"/>
        </w:rPr>
        <w:t>Две године борбе на здравственом и економском плану дале су задовољавајуће резултате</w:t>
      </w:r>
      <w:r w:rsidRPr="00CA0F8B">
        <w:rPr>
          <w:rFonts w:ascii="Calibri" w:eastAsia="Calibri" w:hAnsi="Calibri" w:cs="Calibri"/>
          <w:bCs/>
          <w:color w:val="4472C4"/>
          <w:szCs w:val="72"/>
          <w:lang w:val="sr-Cyrl-RS"/>
        </w:rPr>
        <w:t xml:space="preserve">. Захваљујући </w:t>
      </w:r>
      <w:r w:rsidR="006D0904" w:rsidRPr="00CA0F8B">
        <w:rPr>
          <w:rFonts w:ascii="Calibri" w:eastAsia="Calibri" w:hAnsi="Calibri" w:cs="Calibri"/>
          <w:bCs/>
          <w:color w:val="4472C4"/>
          <w:szCs w:val="72"/>
          <w:lang w:val="sr-Cyrl-RS"/>
        </w:rPr>
        <w:t xml:space="preserve">претходно </w:t>
      </w:r>
      <w:r w:rsidRPr="00CA0F8B">
        <w:rPr>
          <w:rFonts w:ascii="Calibri" w:eastAsia="Calibri" w:hAnsi="Calibri" w:cs="Calibri"/>
          <w:bCs/>
          <w:color w:val="4472C4"/>
          <w:szCs w:val="72"/>
          <w:lang w:val="sr-Cyrl-RS"/>
        </w:rPr>
        <w:t xml:space="preserve">постигнутој макроекономској стабилности створен је простор да одговор економске политике буде адекватан по обиму и структури. Фискалном политиком обезбеђен је свеобухватан пакет мера којим је пружена помоћ привреди </w:t>
      </w:r>
      <w:r w:rsidR="006D0904" w:rsidRPr="00CA0F8B">
        <w:rPr>
          <w:rFonts w:ascii="Calibri" w:eastAsia="Calibri" w:hAnsi="Calibri" w:cs="Calibri"/>
          <w:bCs/>
          <w:color w:val="4472C4"/>
          <w:szCs w:val="72"/>
          <w:lang w:val="sr-Cyrl-RS"/>
        </w:rPr>
        <w:t xml:space="preserve">и становништву </w:t>
      </w:r>
      <w:r w:rsidRPr="00CA0F8B">
        <w:rPr>
          <w:rFonts w:ascii="Calibri" w:eastAsia="Calibri" w:hAnsi="Calibri" w:cs="Calibri"/>
          <w:bCs/>
          <w:color w:val="4472C4"/>
          <w:szCs w:val="72"/>
          <w:lang w:val="sr-Cyrl-RS"/>
        </w:rPr>
        <w:t>и чији се позитивни</w:t>
      </w:r>
      <w:r w:rsidRPr="00B66CBD">
        <w:rPr>
          <w:rFonts w:ascii="Calibri" w:eastAsia="Calibri" w:hAnsi="Calibri" w:cs="Calibri"/>
          <w:bCs/>
          <w:color w:val="4472C4"/>
          <w:szCs w:val="72"/>
          <w:lang w:val="sr-Cyrl-RS"/>
        </w:rPr>
        <w:t xml:space="preserve"> ефекти одр</w:t>
      </w:r>
      <w:r>
        <w:rPr>
          <w:rFonts w:ascii="Calibri" w:eastAsia="Calibri" w:hAnsi="Calibri" w:cs="Calibri"/>
          <w:bCs/>
          <w:color w:val="4472C4"/>
          <w:szCs w:val="72"/>
          <w:lang w:val="sr-Cyrl-RS"/>
        </w:rPr>
        <w:t>ажавају</w:t>
      </w:r>
      <w:r w:rsidRPr="00B66CBD">
        <w:rPr>
          <w:rFonts w:ascii="Calibri" w:eastAsia="Calibri" w:hAnsi="Calibri" w:cs="Calibri"/>
          <w:bCs/>
          <w:color w:val="4472C4"/>
          <w:szCs w:val="72"/>
          <w:lang w:val="sr-Cyrl-RS"/>
        </w:rPr>
        <w:t xml:space="preserve"> на макроекономске показатеље</w:t>
      </w:r>
      <w:r>
        <w:rPr>
          <w:rFonts w:ascii="Calibri" w:eastAsia="Calibri" w:hAnsi="Calibri" w:cs="Calibri"/>
          <w:bCs/>
          <w:color w:val="4472C4"/>
          <w:szCs w:val="72"/>
          <w:lang w:val="sr-Cyrl-RS"/>
        </w:rPr>
        <w:t xml:space="preserve">. Обезбеђена </w:t>
      </w:r>
      <w:r w:rsidRPr="00B66CBD">
        <w:rPr>
          <w:rFonts w:ascii="Calibri" w:eastAsia="Calibri" w:hAnsi="Calibri" w:cs="Calibri"/>
          <w:bCs/>
          <w:color w:val="4472C4"/>
          <w:szCs w:val="72"/>
          <w:lang w:val="sr-Cyrl-RS"/>
        </w:rPr>
        <w:t>вредност пакета мера помоћи привреди и с</w:t>
      </w:r>
      <w:r>
        <w:rPr>
          <w:rFonts w:ascii="Calibri" w:eastAsia="Calibri" w:hAnsi="Calibri" w:cs="Calibri"/>
          <w:bCs/>
          <w:color w:val="4472C4"/>
          <w:szCs w:val="72"/>
          <w:lang w:val="sr-Cyrl-RS"/>
        </w:rPr>
        <w:t>тановништву у 2020. години процењена је на 12,9</w:t>
      </w:r>
      <w:r w:rsidRPr="00B66CBD">
        <w:rPr>
          <w:rFonts w:ascii="Calibri" w:eastAsia="Calibri" w:hAnsi="Calibri" w:cs="Calibri"/>
          <w:bCs/>
          <w:color w:val="4472C4"/>
          <w:szCs w:val="72"/>
          <w:lang w:val="sr-Cyrl-RS"/>
        </w:rPr>
        <w:t>% бруто домаћег производа (у даљем тексту: БДП).</w:t>
      </w:r>
      <w:r>
        <w:rPr>
          <w:rFonts w:ascii="Calibri" w:eastAsia="Calibri" w:hAnsi="Calibri" w:cs="Calibri"/>
          <w:bCs/>
          <w:color w:val="4472C4"/>
          <w:szCs w:val="72"/>
          <w:lang w:val="sr-Cyrl-RS"/>
        </w:rPr>
        <w:t xml:space="preserve"> Продужено трајање неповољне епидемијске ситуације у 2021. години условило је још једну, по обиму значајну помоћ привреди и становништву, како би се уз масовну вакцинацију становништва и стављање епидемије под контролу, обезбедили услови за потпун опоравак и раст економије. Пакет помоћи обезбеђен у 2021. </w:t>
      </w:r>
      <w:r w:rsidR="003C1E44">
        <w:rPr>
          <w:rFonts w:ascii="Calibri" w:eastAsia="Calibri" w:hAnsi="Calibri" w:cs="Calibri"/>
          <w:bCs/>
          <w:color w:val="4472C4"/>
          <w:szCs w:val="72"/>
          <w:lang w:val="sr-Cyrl-RS"/>
        </w:rPr>
        <w:t>години процењује се на 4,5%</w:t>
      </w:r>
      <w:r w:rsidR="003C1E44">
        <w:rPr>
          <w:rFonts w:ascii="Calibri" w:eastAsia="Calibri" w:hAnsi="Calibri" w:cs="Calibri"/>
          <w:bCs/>
          <w:color w:val="4472C4"/>
          <w:szCs w:val="72"/>
          <w:lang w:val="sr-Latn-RS"/>
        </w:rPr>
        <w:t xml:space="preserve"> </w:t>
      </w:r>
      <w:r w:rsidR="003C1E44">
        <w:rPr>
          <w:rFonts w:ascii="Calibri" w:eastAsia="Calibri" w:hAnsi="Calibri" w:cs="Calibri"/>
          <w:bCs/>
          <w:color w:val="4472C4"/>
          <w:szCs w:val="72"/>
          <w:lang w:val="sr-Cyrl-RS"/>
        </w:rPr>
        <w:t>БДП.</w:t>
      </w:r>
    </w:p>
    <w:p w14:paraId="6862C3F9" w14:textId="77777777" w:rsidR="001E1EFD" w:rsidRDefault="001E1EFD" w:rsidP="001E1EFD">
      <w:pPr>
        <w:rPr>
          <w:rFonts w:ascii="Calibri" w:eastAsia="Calibri" w:hAnsi="Calibri" w:cs="Calibri"/>
          <w:bCs/>
          <w:color w:val="4472C4"/>
          <w:szCs w:val="72"/>
          <w:lang w:val="sr-Cyrl-RS"/>
        </w:rPr>
      </w:pPr>
      <w:r w:rsidRPr="00B66CBD">
        <w:rPr>
          <w:rFonts w:ascii="Calibri" w:eastAsia="Calibri" w:hAnsi="Calibri" w:cs="Calibri"/>
          <w:b/>
          <w:bCs/>
          <w:color w:val="4472C4"/>
          <w:szCs w:val="72"/>
          <w:lang w:val="sr-Cyrl-RS"/>
        </w:rPr>
        <w:t>Основни циљеви постављени усвојеним Програмом економских мера за подршку привреди Србије испуњени су. Очувани су привредни капацитети и пружена подршка у одржавању ликвидности привреде у току трајања ових ванредних околности.</w:t>
      </w:r>
      <w:r w:rsidRPr="00B66CBD">
        <w:rPr>
          <w:rFonts w:ascii="Calibri" w:eastAsia="Calibri" w:hAnsi="Calibri" w:cs="Calibri"/>
          <w:bCs/>
          <w:color w:val="4472C4"/>
          <w:szCs w:val="72"/>
          <w:lang w:val="sr-Cyrl-RS"/>
        </w:rPr>
        <w:t xml:space="preserve"> </w:t>
      </w:r>
      <w:r>
        <w:rPr>
          <w:rFonts w:ascii="Calibri" w:eastAsia="Calibri" w:hAnsi="Calibri" w:cs="Calibri"/>
          <w:bCs/>
          <w:color w:val="4472C4"/>
          <w:szCs w:val="72"/>
          <w:lang w:val="sr-Cyrl-RS"/>
        </w:rPr>
        <w:t xml:space="preserve">Захваљујући адекватном одговору, привреда Републике Србије остварила добре резултате чак и у току 2020. </w:t>
      </w:r>
      <w:r>
        <w:rPr>
          <w:rFonts w:ascii="Calibri" w:eastAsia="Calibri" w:hAnsi="Calibri" w:cs="Calibri"/>
          <w:bCs/>
          <w:color w:val="4472C4"/>
          <w:szCs w:val="72"/>
          <w:lang w:val="sr-Cyrl-RS"/>
        </w:rPr>
        <w:t>године, упркос, до сада невиђеним ограничавајућим факторима по раст економије. У 2021. години очекује се потпуни опоравак и раст привреде. Економским кретањима у прилог иде и успешна имунизација становништва, чиме се стварају услови за потпуно отварање привреде и опоравак и оних делатности које су па</w:t>
      </w:r>
      <w:r w:rsidR="00774F69">
        <w:rPr>
          <w:rFonts w:ascii="Calibri" w:eastAsia="Calibri" w:hAnsi="Calibri" w:cs="Calibri"/>
          <w:bCs/>
          <w:color w:val="4472C4"/>
          <w:szCs w:val="72"/>
          <w:lang w:val="sr-Cyrl-RS"/>
        </w:rPr>
        <w:t>ндемијом биле највише погођене.</w:t>
      </w:r>
    </w:p>
    <w:p w14:paraId="300507BE" w14:textId="77777777" w:rsidR="001E1EFD" w:rsidRPr="00B66CBD" w:rsidRDefault="001E1EFD" w:rsidP="001E1EFD">
      <w:pPr>
        <w:rPr>
          <w:rFonts w:ascii="Calibri" w:eastAsia="Calibri" w:hAnsi="Calibri" w:cs="Calibri"/>
          <w:bCs/>
          <w:color w:val="4472C4"/>
          <w:szCs w:val="72"/>
          <w:lang w:val="sr-Cyrl-RS"/>
        </w:rPr>
      </w:pPr>
      <w:r w:rsidRPr="00B66CBD">
        <w:rPr>
          <w:rFonts w:ascii="Calibri" w:eastAsia="Calibri" w:hAnsi="Calibri" w:cs="Calibri"/>
          <w:b/>
          <w:bCs/>
          <w:color w:val="4472C4"/>
          <w:szCs w:val="72"/>
          <w:lang w:val="sr-Cyrl-RS"/>
        </w:rPr>
        <w:t xml:space="preserve">Фискална стратегија у средњем року предвиђа постепену стабилизацију јавних финансија и усмеравање фискалног простора на </w:t>
      </w:r>
      <w:r>
        <w:rPr>
          <w:rFonts w:ascii="Calibri" w:eastAsia="Calibri" w:hAnsi="Calibri" w:cs="Calibri"/>
          <w:b/>
          <w:bCs/>
          <w:color w:val="4472C4"/>
          <w:szCs w:val="72"/>
          <w:lang w:val="sr-Cyrl-RS"/>
        </w:rPr>
        <w:t>јавне</w:t>
      </w:r>
      <w:r w:rsidRPr="00B66CBD">
        <w:rPr>
          <w:rFonts w:ascii="Calibri" w:eastAsia="Calibri" w:hAnsi="Calibri" w:cs="Calibri"/>
          <w:bCs/>
          <w:color w:val="4472C4"/>
          <w:szCs w:val="72"/>
          <w:lang w:val="sr-Cyrl-RS"/>
        </w:rPr>
        <w:t xml:space="preserve"> </w:t>
      </w:r>
      <w:r>
        <w:rPr>
          <w:rFonts w:ascii="Calibri" w:eastAsia="Calibri" w:hAnsi="Calibri" w:cs="Calibri"/>
          <w:b/>
          <w:bCs/>
          <w:color w:val="4472C4"/>
          <w:szCs w:val="72"/>
          <w:lang w:val="sr-Cyrl-RS"/>
        </w:rPr>
        <w:t>инвестиције</w:t>
      </w:r>
      <w:r w:rsidRPr="00B66CBD">
        <w:rPr>
          <w:rFonts w:ascii="Calibri" w:eastAsia="Calibri" w:hAnsi="Calibri" w:cs="Calibri"/>
          <w:b/>
          <w:bCs/>
          <w:color w:val="4472C4"/>
          <w:szCs w:val="72"/>
          <w:lang w:val="sr-Cyrl-RS"/>
        </w:rPr>
        <w:t xml:space="preserve"> у циљу опоравка и раста привреде</w:t>
      </w:r>
      <w:r w:rsidRPr="00B66CBD">
        <w:rPr>
          <w:rFonts w:ascii="Calibri" w:eastAsia="Calibri" w:hAnsi="Calibri" w:cs="Calibri"/>
          <w:bCs/>
          <w:color w:val="4472C4"/>
          <w:szCs w:val="72"/>
          <w:lang w:val="sr-Cyrl-RS"/>
        </w:rPr>
        <w:t xml:space="preserve">. </w:t>
      </w:r>
      <w:r>
        <w:rPr>
          <w:rFonts w:ascii="Calibri" w:eastAsia="Calibri" w:hAnsi="Calibri" w:cs="Calibri"/>
          <w:bCs/>
          <w:color w:val="4472C4"/>
          <w:szCs w:val="72"/>
          <w:lang w:val="sr-Cyrl-RS"/>
        </w:rPr>
        <w:t xml:space="preserve">Борба против пандемије и њених економских последица привремено је погоршала фискалну позицију земље. </w:t>
      </w:r>
      <w:r w:rsidRPr="00B66CBD">
        <w:rPr>
          <w:rFonts w:ascii="Calibri" w:eastAsia="Calibri" w:hAnsi="Calibri" w:cs="Calibri"/>
          <w:bCs/>
          <w:color w:val="4472C4"/>
          <w:szCs w:val="72"/>
          <w:lang w:val="sr-Cyrl-RS"/>
        </w:rPr>
        <w:t xml:space="preserve">Основни сценарио економских кретања </w:t>
      </w:r>
      <w:r>
        <w:rPr>
          <w:rFonts w:ascii="Calibri" w:eastAsia="Calibri" w:hAnsi="Calibri" w:cs="Calibri"/>
          <w:bCs/>
          <w:color w:val="4472C4"/>
          <w:szCs w:val="72"/>
          <w:lang w:val="sr-Cyrl-RS"/>
        </w:rPr>
        <w:t xml:space="preserve">у средњем року </w:t>
      </w:r>
      <w:r w:rsidRPr="00B66CBD">
        <w:rPr>
          <w:rFonts w:ascii="Calibri" w:eastAsia="Calibri" w:hAnsi="Calibri" w:cs="Calibri"/>
          <w:bCs/>
          <w:color w:val="4472C4"/>
          <w:szCs w:val="72"/>
          <w:lang w:val="sr-Cyrl-RS"/>
        </w:rPr>
        <w:t>претпоставља окончање здравствене кризе и економски опоравак. Под тим претпоставкама средњорочна путања дефицита је опадајућа и приближна одрживом нивоу на крају посматраног периода. Изузетно, повећано учешће ј</w:t>
      </w:r>
      <w:r>
        <w:rPr>
          <w:rFonts w:ascii="Calibri" w:eastAsia="Calibri" w:hAnsi="Calibri" w:cs="Calibri"/>
          <w:bCs/>
          <w:color w:val="4472C4"/>
          <w:szCs w:val="72"/>
          <w:lang w:val="sr-Cyrl-RS"/>
        </w:rPr>
        <w:t xml:space="preserve">авног дуга у БДП у 2020. и 2021. години, </w:t>
      </w:r>
      <w:r w:rsidRPr="00B66CBD">
        <w:rPr>
          <w:rFonts w:ascii="Calibri" w:eastAsia="Calibri" w:hAnsi="Calibri" w:cs="Calibri"/>
          <w:bCs/>
          <w:color w:val="4472C4"/>
          <w:szCs w:val="72"/>
          <w:lang w:val="sr-Cyrl-RS"/>
        </w:rPr>
        <w:t>имајући у виду пројектоване фискалне резултате, од 202</w:t>
      </w:r>
      <w:r>
        <w:rPr>
          <w:rFonts w:ascii="Calibri" w:eastAsia="Calibri" w:hAnsi="Calibri" w:cs="Calibri"/>
          <w:bCs/>
          <w:color w:val="4472C4"/>
          <w:szCs w:val="72"/>
          <w:lang w:val="sr-Cyrl-RS"/>
        </w:rPr>
        <w:t>2</w:t>
      </w:r>
      <w:r w:rsidRPr="00B66CBD">
        <w:rPr>
          <w:rFonts w:ascii="Calibri" w:eastAsia="Calibri" w:hAnsi="Calibri" w:cs="Calibri"/>
          <w:bCs/>
          <w:color w:val="4472C4"/>
          <w:szCs w:val="72"/>
          <w:lang w:val="sr-Cyrl-RS"/>
        </w:rPr>
        <w:t xml:space="preserve">. године и на даље се смањује и враћа у одрживе оквире. Искуство у претходном периоду нам показује да су стабилне јавне финансије нужне не само као претпоставка одрживог раста, већ пре свега, као предуслов адекватне реакције државе у ванредним околностима попут ове изазване пандемијом коронавируса. Расположив фискални простор у наредном средњорочном периоду усмерава се </w:t>
      </w:r>
      <w:r>
        <w:rPr>
          <w:rFonts w:ascii="Calibri" w:eastAsia="Calibri" w:hAnsi="Calibri" w:cs="Calibri"/>
          <w:bCs/>
          <w:color w:val="4472C4"/>
          <w:szCs w:val="72"/>
          <w:lang w:val="sr-Cyrl-RS"/>
        </w:rPr>
        <w:t>одржање</w:t>
      </w:r>
      <w:r w:rsidRPr="00B66CBD">
        <w:rPr>
          <w:rFonts w:ascii="Calibri" w:eastAsia="Calibri" w:hAnsi="Calibri" w:cs="Calibri"/>
          <w:bCs/>
          <w:color w:val="4472C4"/>
          <w:szCs w:val="72"/>
          <w:lang w:val="sr-Cyrl-RS"/>
        </w:rPr>
        <w:t xml:space="preserve"> достигнутог нивоа јавних улагања. Јавне инвестиције кључан су фактор </w:t>
      </w:r>
      <w:r w:rsidRPr="00B66CBD">
        <w:rPr>
          <w:rFonts w:ascii="Calibri" w:eastAsia="Calibri" w:hAnsi="Calibri" w:cs="Calibri"/>
          <w:bCs/>
          <w:color w:val="4472C4"/>
          <w:szCs w:val="72"/>
          <w:lang w:val="sr-Cyrl-RS"/>
        </w:rPr>
        <w:lastRenderedPageBreak/>
        <w:t>бржег опоравка привреде и стварања основа за динамичан привредни раст.</w:t>
      </w:r>
    </w:p>
    <w:p w14:paraId="4C06C729" w14:textId="77777777" w:rsidR="00BA5C3A" w:rsidRPr="008E2FD8" w:rsidRDefault="001E1EFD" w:rsidP="001E1EFD">
      <w:pPr>
        <w:rPr>
          <w:rFonts w:cstheme="minorHAnsi"/>
          <w:bCs/>
          <w:color w:val="4472C4" w:themeColor="accent1"/>
          <w:szCs w:val="72"/>
          <w:lang w:val="sr-Cyrl-RS"/>
        </w:rPr>
      </w:pPr>
      <w:r w:rsidRPr="00B66CBD">
        <w:rPr>
          <w:rFonts w:ascii="Calibri" w:eastAsia="Calibri" w:hAnsi="Calibri" w:cs="Calibri"/>
          <w:b/>
          <w:bCs/>
          <w:color w:val="4472C4"/>
          <w:szCs w:val="72"/>
          <w:lang w:val="sr-Cyrl-RS"/>
        </w:rPr>
        <w:t>Макроекономски и фискални ризици по представљени основни сценарио су значајни</w:t>
      </w:r>
      <w:r>
        <w:rPr>
          <w:rFonts w:ascii="Calibri" w:eastAsia="Calibri" w:hAnsi="Calibri" w:cs="Calibri"/>
          <w:b/>
          <w:bCs/>
          <w:color w:val="4472C4"/>
          <w:szCs w:val="72"/>
          <w:lang w:val="sr-Cyrl-RS"/>
        </w:rPr>
        <w:t>.</w:t>
      </w:r>
      <w:r w:rsidRPr="000137D6">
        <w:rPr>
          <w:rFonts w:ascii="Calibri" w:eastAsia="Calibri" w:hAnsi="Calibri" w:cs="Calibri"/>
          <w:bCs/>
          <w:color w:val="4472C4"/>
          <w:szCs w:val="72"/>
          <w:lang w:val="sr-Cyrl-RS"/>
        </w:rPr>
        <w:t xml:space="preserve"> </w:t>
      </w:r>
      <w:r w:rsidRPr="007301E6">
        <w:rPr>
          <w:rFonts w:ascii="Calibri" w:eastAsia="Calibri" w:hAnsi="Calibri" w:cs="Calibri"/>
          <w:bCs/>
          <w:color w:val="4472C4"/>
          <w:szCs w:val="72"/>
          <w:lang w:val="sr-Cyrl-RS"/>
        </w:rPr>
        <w:t>И даље су п</w:t>
      </w:r>
      <w:r w:rsidRPr="00B66CBD">
        <w:rPr>
          <w:rFonts w:ascii="Calibri" w:eastAsia="Calibri" w:hAnsi="Calibri" w:cs="Calibri"/>
          <w:bCs/>
          <w:color w:val="4472C4"/>
          <w:szCs w:val="72"/>
          <w:lang w:val="sr-Cyrl-RS"/>
        </w:rPr>
        <w:t xml:space="preserve">рисутне неизвесности у вези са током и трајањем пандемије, </w:t>
      </w:r>
      <w:r>
        <w:rPr>
          <w:rFonts w:ascii="Calibri" w:eastAsia="Calibri" w:hAnsi="Calibri" w:cs="Calibri"/>
          <w:bCs/>
          <w:color w:val="4472C4"/>
          <w:szCs w:val="72"/>
          <w:lang w:val="sr-Cyrl-RS"/>
        </w:rPr>
        <w:t xml:space="preserve">брзином масовне </w:t>
      </w:r>
      <w:r>
        <w:rPr>
          <w:rFonts w:ascii="Calibri" w:eastAsia="Calibri" w:hAnsi="Calibri" w:cs="Calibri"/>
          <w:bCs/>
          <w:color w:val="4472C4"/>
          <w:szCs w:val="72"/>
          <w:lang w:val="sr-Cyrl-RS"/>
        </w:rPr>
        <w:t xml:space="preserve">имунизације, </w:t>
      </w:r>
      <w:r w:rsidRPr="00B66CBD">
        <w:rPr>
          <w:rFonts w:ascii="Calibri" w:eastAsia="Calibri" w:hAnsi="Calibri" w:cs="Calibri"/>
          <w:bCs/>
          <w:color w:val="4472C4"/>
          <w:szCs w:val="72"/>
          <w:lang w:val="sr-Cyrl-RS"/>
        </w:rPr>
        <w:t>начином и брзином којом ће се привреде опорављати, потребе за додатном помоћи привреди, као и бројне обавезе које могу проистећи из имплицитних и експлицитних гаранција државе датих као подршка привреди у току пандемије.</w:t>
      </w:r>
    </w:p>
    <w:p w14:paraId="3B134025" w14:textId="77777777" w:rsidR="00C32463" w:rsidRPr="008E2FD8" w:rsidRDefault="00C32463" w:rsidP="00BA5C3A">
      <w:pPr>
        <w:rPr>
          <w:rFonts w:cstheme="minorHAnsi"/>
          <w:bCs/>
          <w:color w:val="4472C4" w:themeColor="accent1"/>
          <w:szCs w:val="72"/>
          <w:lang w:val="sr-Cyrl-RS"/>
        </w:rPr>
        <w:sectPr w:rsidR="00C32463" w:rsidRPr="008E2FD8" w:rsidSect="007E6EA3">
          <w:footerReference w:type="default" r:id="rId9"/>
          <w:type w:val="continuous"/>
          <w:pgSz w:w="12240" w:h="15840" w:code="1"/>
          <w:pgMar w:top="1440" w:right="1440" w:bottom="1440" w:left="1440" w:header="720" w:footer="720" w:gutter="0"/>
          <w:cols w:num="2" w:space="720"/>
          <w:titlePg/>
          <w:docGrid w:linePitch="360"/>
        </w:sectPr>
      </w:pPr>
    </w:p>
    <w:p w14:paraId="6C909385" w14:textId="77777777" w:rsidR="007A529E" w:rsidRPr="008E2FD8" w:rsidRDefault="007A529E">
      <w:pPr>
        <w:jc w:val="left"/>
        <w:rPr>
          <w:rFonts w:eastAsiaTheme="majorEastAsia" w:cstheme="minorHAnsi"/>
          <w:b/>
          <w:color w:val="2E74B5" w:themeColor="accent5" w:themeShade="BF"/>
          <w:sz w:val="24"/>
          <w:szCs w:val="26"/>
          <w:lang w:val="sr-Cyrl-RS"/>
        </w:rPr>
      </w:pPr>
      <w:bookmarkStart w:id="2" w:name="_Toc57013542"/>
      <w:bookmarkStart w:id="3" w:name="_Toc23342461"/>
      <w:bookmarkStart w:id="4" w:name="_Toc530041993"/>
      <w:r w:rsidRPr="008E2FD8">
        <w:rPr>
          <w:rFonts w:cstheme="minorHAnsi"/>
          <w:b/>
          <w:color w:val="2E74B5" w:themeColor="accent5" w:themeShade="BF"/>
          <w:sz w:val="24"/>
          <w:lang w:val="sr-Cyrl-RS"/>
        </w:rPr>
        <w:br w:type="page"/>
      </w:r>
    </w:p>
    <w:p w14:paraId="01784B7C" w14:textId="77777777" w:rsidR="007A529E" w:rsidRPr="008E2FD8" w:rsidRDefault="007A529E" w:rsidP="00CE729E">
      <w:pPr>
        <w:pStyle w:val="Heading2"/>
        <w:jc w:val="center"/>
        <w:rPr>
          <w:rFonts w:asciiTheme="minorHAnsi" w:hAnsiTheme="minorHAnsi" w:cstheme="minorHAnsi"/>
          <w:b/>
          <w:sz w:val="24"/>
          <w:lang w:val="sr-Cyrl-RS"/>
        </w:rPr>
      </w:pPr>
      <w:bookmarkStart w:id="5" w:name="_Toc73364963"/>
      <w:r w:rsidRPr="008E2FD8">
        <w:rPr>
          <w:rFonts w:asciiTheme="minorHAnsi" w:hAnsiTheme="minorHAnsi" w:cstheme="minorHAnsi"/>
          <w:b/>
          <w:sz w:val="24"/>
          <w:lang w:val="sr-Cyrl-RS"/>
        </w:rPr>
        <w:lastRenderedPageBreak/>
        <w:t>2. Процене међународног економског окружења</w:t>
      </w:r>
      <w:bookmarkEnd w:id="2"/>
      <w:bookmarkEnd w:id="5"/>
    </w:p>
    <w:p w14:paraId="7EF47264" w14:textId="77777777" w:rsidR="007A529E" w:rsidRPr="008E2FD8" w:rsidRDefault="007A529E" w:rsidP="00CE729E">
      <w:pPr>
        <w:spacing w:before="40" w:after="0"/>
        <w:rPr>
          <w:lang w:val="sr-Cyrl-RS"/>
        </w:rPr>
      </w:pPr>
      <w:r w:rsidRPr="008E2FD8">
        <w:rPr>
          <w:rFonts w:cstheme="minorHAnsi"/>
          <w:b/>
          <w:noProof/>
          <w:sz w:val="24"/>
        </w:rPr>
        <mc:AlternateContent>
          <mc:Choice Requires="wps">
            <w:drawing>
              <wp:anchor distT="0" distB="0" distL="114300" distR="114300" simplePos="0" relativeHeight="251672064" behindDoc="1" locked="0" layoutInCell="1" allowOverlap="1" wp14:anchorId="48547E3F" wp14:editId="6C7C19B7">
                <wp:simplePos x="0" y="0"/>
                <wp:positionH relativeFrom="margin">
                  <wp:posOffset>-98425</wp:posOffset>
                </wp:positionH>
                <wp:positionV relativeFrom="paragraph">
                  <wp:posOffset>165660</wp:posOffset>
                </wp:positionV>
                <wp:extent cx="6140263" cy="3576918"/>
                <wp:effectExtent l="0" t="0" r="0" b="5080"/>
                <wp:wrapNone/>
                <wp:docPr id="63" name="Rectangle 63"/>
                <wp:cNvGraphicFramePr/>
                <a:graphic xmlns:a="http://schemas.openxmlformats.org/drawingml/2006/main">
                  <a:graphicData uri="http://schemas.microsoft.com/office/word/2010/wordprocessingShape">
                    <wps:wsp>
                      <wps:cNvSpPr/>
                      <wps:spPr>
                        <a:xfrm>
                          <a:off x="0" y="0"/>
                          <a:ext cx="6140263" cy="3576918"/>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E26772" id="Rectangle 63" o:spid="_x0000_s1026" style="position:absolute;margin-left:-7.75pt;margin-top:13.05pt;width:483.5pt;height:281.65pt;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" fillcolor="#d8d8d8 [2732]" stroked="f" strokeweight="1pt">
                <v:fill r:id="rId10" o:title="" color2="white [3212]" type="pattern"/>
                <w10:wrap anchorx="margin"/>
              </v:rect>
            </w:pict>
          </mc:Fallback>
        </mc:AlternateContent>
      </w:r>
    </w:p>
    <w:p w14:paraId="02D555D4" w14:textId="77777777" w:rsidR="007A529E" w:rsidRPr="008E2FD8" w:rsidRDefault="007A529E" w:rsidP="00CE729E">
      <w:pPr>
        <w:spacing w:before="40" w:after="0"/>
        <w:rPr>
          <w:lang w:val="sr-Cyrl-RS"/>
        </w:rPr>
        <w:sectPr w:rsidR="007A529E" w:rsidRPr="008E2FD8" w:rsidSect="00CE729E">
          <w:headerReference w:type="default" r:id="rId11"/>
          <w:type w:val="continuous"/>
          <w:pgSz w:w="12240" w:h="15840" w:code="1"/>
          <w:pgMar w:top="1440" w:right="1440" w:bottom="1440" w:left="1440" w:header="720" w:footer="720" w:gutter="0"/>
          <w:cols w:space="720"/>
          <w:docGrid w:linePitch="360"/>
        </w:sectPr>
      </w:pPr>
    </w:p>
    <w:p w14:paraId="4D4A4975" w14:textId="77777777" w:rsidR="007A529E" w:rsidRDefault="007A529E" w:rsidP="00F95294">
      <w:pPr>
        <w:spacing w:after="600"/>
        <w:rPr>
          <w:rFonts w:cstheme="minorHAnsi"/>
          <w:bCs/>
          <w:color w:val="0070C0"/>
          <w:szCs w:val="72"/>
          <w:lang w:val="sr-Cyrl-RS"/>
        </w:rPr>
      </w:pPr>
      <w:r w:rsidRPr="008E2FD8">
        <w:rPr>
          <w:rFonts w:cstheme="minorHAnsi"/>
          <w:bCs/>
          <w:color w:val="0070C0"/>
          <w:szCs w:val="72"/>
          <w:lang w:val="sr-Cyrl-RS"/>
        </w:rPr>
        <w:t xml:space="preserve">Глобални изгледи и даље остају врло неизвесни након годину дана од почетка пандемије. </w:t>
      </w:r>
      <w:r w:rsidR="00A25C38">
        <w:rPr>
          <w:rFonts w:cstheme="minorHAnsi"/>
          <w:bCs/>
          <w:color w:val="0070C0"/>
          <w:szCs w:val="72"/>
          <w:lang w:val="sr-Cyrl-RS"/>
        </w:rPr>
        <w:t>Иако процес вакцинације напредује и позитивно делује на опште друштвено расположење, н</w:t>
      </w:r>
      <w:r w:rsidRPr="008E2FD8">
        <w:rPr>
          <w:rFonts w:cstheme="minorHAnsi"/>
          <w:bCs/>
          <w:color w:val="0070C0"/>
          <w:szCs w:val="72"/>
          <w:lang w:val="sr-Cyrl-RS"/>
        </w:rPr>
        <w:t>ове мутације вируса и изгубљени животи</w:t>
      </w:r>
      <w:r w:rsidR="00A25C38">
        <w:rPr>
          <w:rFonts w:cstheme="minorHAnsi"/>
          <w:bCs/>
          <w:color w:val="0070C0"/>
          <w:szCs w:val="72"/>
          <w:lang w:val="sr-Cyrl-RS"/>
        </w:rPr>
        <w:t xml:space="preserve"> и даље изазивају забринутост</w:t>
      </w:r>
      <w:r w:rsidRPr="008E2FD8">
        <w:rPr>
          <w:rFonts w:cstheme="minorHAnsi"/>
          <w:bCs/>
          <w:color w:val="0070C0"/>
          <w:szCs w:val="72"/>
          <w:lang w:val="sr-Cyrl-RS"/>
        </w:rPr>
        <w:t xml:space="preserve">. Економски опоравак разликује се по земљама и секторима, одражавајући варијације поремећаја изазваних пандемијом и различите обиме економских пакета подршке. Изгледи не зависе само од исхода битке између вируса и вакцина, већ и од ефикасности економских политика које се примењују у условима велике неизвесности, како би се умањиле дуготрајне последице ове до сада незабележене кризе. Ревизија </w:t>
      </w:r>
      <w:r w:rsidR="009E7810">
        <w:rPr>
          <w:rFonts w:cstheme="minorHAnsi"/>
          <w:bCs/>
          <w:color w:val="0070C0"/>
          <w:szCs w:val="72"/>
          <w:lang w:val="sr-Cyrl-RS"/>
        </w:rPr>
        <w:t xml:space="preserve">глобалног </w:t>
      </w:r>
      <w:r w:rsidRPr="008E2FD8">
        <w:rPr>
          <w:rFonts w:cstheme="minorHAnsi"/>
          <w:bCs/>
          <w:color w:val="0070C0"/>
          <w:szCs w:val="72"/>
          <w:lang w:val="sr-Cyrl-RS"/>
        </w:rPr>
        <w:t xml:space="preserve">раста навише за 2020. годину услед бољих резултата од очекиваних из друге половине године, погурала је и пројекције за 2021. и 2022. годину у смеру </w:t>
      </w:r>
      <w:r w:rsidR="009E7810">
        <w:rPr>
          <w:rFonts w:cstheme="minorHAnsi"/>
          <w:bCs/>
          <w:color w:val="0070C0"/>
          <w:szCs w:val="72"/>
          <w:lang w:val="sr-Cyrl-RS"/>
        </w:rPr>
        <w:t xml:space="preserve">бржег опоравка </w:t>
      </w:r>
      <w:r w:rsidRPr="008E2FD8">
        <w:rPr>
          <w:rFonts w:cstheme="minorHAnsi"/>
          <w:bCs/>
          <w:color w:val="0070C0"/>
          <w:szCs w:val="72"/>
          <w:lang w:val="sr-Cyrl-RS"/>
        </w:rPr>
        <w:t xml:space="preserve">од претходно предвиђеног. Макроекономски резултати били би осетно слабији да није било значајног фискалног одговора, те се зато очекује </w:t>
      </w:r>
      <w:r w:rsidRPr="008E2FD8">
        <w:rPr>
          <w:rFonts w:cstheme="minorHAnsi"/>
          <w:bCs/>
          <w:color w:val="0070C0"/>
          <w:szCs w:val="72"/>
          <w:lang w:val="sr-Cyrl-RS"/>
        </w:rPr>
        <w:t>да ће ова криза изазвана пандемијом оставити мање последице од Велике економске кризе из 2008. године. Међутим, будући да су земље у развоју и неразвијене земље теже погођене кризом, очекује се да ће оне претрпети значајније средњорочне губитке.</w:t>
      </w:r>
      <w:r w:rsidRPr="008E2FD8">
        <w:rPr>
          <w:rFonts w:cstheme="minorHAnsi"/>
          <w:color w:val="0070C0"/>
          <w:lang w:val="sr-Cyrl-RS"/>
        </w:rPr>
        <w:t xml:space="preserve"> </w:t>
      </w:r>
      <w:r w:rsidRPr="008E2FD8">
        <w:rPr>
          <w:rFonts w:cstheme="minorHAnsi"/>
          <w:bCs/>
          <w:color w:val="0070C0"/>
          <w:szCs w:val="72"/>
          <w:lang w:val="sr-Cyrl-RS"/>
        </w:rPr>
        <w:t xml:space="preserve">Већина земаља суочава се са неуобичајено високом неизвесношћу која проистиче из даљег тока и трајања пандемије и одговора на њу. Основни изазови биће усмерени на процес нормализације и креирање одговарајућих политика својствених специфичном стању у појединим државама. Да би се то остварило, неопходна је значајна међународна сарадња и подршка здравственим системима, </w:t>
      </w:r>
      <w:r w:rsidR="00B53191">
        <w:rPr>
          <w:rFonts w:cstheme="minorHAnsi"/>
          <w:bCs/>
          <w:color w:val="0070C0"/>
          <w:szCs w:val="72"/>
          <w:lang w:val="sr-Cyrl-RS"/>
        </w:rPr>
        <w:t xml:space="preserve">као и </w:t>
      </w:r>
      <w:r w:rsidRPr="008E2FD8">
        <w:rPr>
          <w:rFonts w:cstheme="minorHAnsi"/>
          <w:bCs/>
          <w:color w:val="0070C0"/>
          <w:szCs w:val="72"/>
          <w:lang w:val="sr-Cyrl-RS"/>
        </w:rPr>
        <w:t xml:space="preserve">координација монетарне и фискалне политике у циљу сузбијања евентуалних дугорочних последица кризе. Глобална сарадња је неопходна и </w:t>
      </w:r>
      <w:r w:rsidR="00B53191">
        <w:rPr>
          <w:rFonts w:cstheme="minorHAnsi"/>
          <w:bCs/>
          <w:color w:val="0070C0"/>
          <w:szCs w:val="72"/>
          <w:lang w:val="sr-Cyrl-RS"/>
        </w:rPr>
        <w:t>у решавању</w:t>
      </w:r>
      <w:r w:rsidRPr="008E2FD8">
        <w:rPr>
          <w:rFonts w:cstheme="minorHAnsi"/>
          <w:bCs/>
          <w:color w:val="0070C0"/>
          <w:szCs w:val="72"/>
          <w:lang w:val="sr-Cyrl-RS"/>
        </w:rPr>
        <w:t xml:space="preserve"> дугорочног проблема климатских промена и евентуалних будућих здравствених криза.</w:t>
      </w:r>
    </w:p>
    <w:p w14:paraId="35F0E420" w14:textId="77777777" w:rsidR="00F95294" w:rsidRPr="008E2FD8" w:rsidRDefault="00F95294" w:rsidP="00CE729E">
      <w:pPr>
        <w:spacing w:after="240"/>
        <w:rPr>
          <w:rFonts w:cstheme="minorHAnsi"/>
          <w:bCs/>
          <w:color w:val="0070C0"/>
          <w:lang w:val="sr-Cyrl-RS"/>
        </w:rPr>
        <w:sectPr w:rsidR="00F95294" w:rsidRPr="008E2FD8" w:rsidSect="00CE729E">
          <w:type w:val="continuous"/>
          <w:pgSz w:w="12240" w:h="15840" w:code="1"/>
          <w:pgMar w:top="1440" w:right="1440" w:bottom="1440" w:left="1440" w:header="720" w:footer="720" w:gutter="0"/>
          <w:cols w:num="2" w:space="720"/>
          <w:docGrid w:linePitch="360"/>
        </w:sectPr>
      </w:pPr>
    </w:p>
    <w:p w14:paraId="756C6934" w14:textId="77777777" w:rsidR="007A529E" w:rsidRPr="008E2FD8" w:rsidRDefault="007A529E" w:rsidP="00CE729E">
      <w:pPr>
        <w:jc w:val="left"/>
        <w:rPr>
          <w:rFonts w:cstheme="minorHAnsi"/>
          <w:b/>
          <w:color w:val="2F5496" w:themeColor="accent1" w:themeShade="BF"/>
          <w:sz w:val="22"/>
          <w:lang w:val="sr-Cyrl-RS"/>
        </w:rPr>
      </w:pPr>
      <w:r w:rsidRPr="008E2FD8">
        <w:rPr>
          <w:rFonts w:cstheme="minorHAnsi"/>
          <w:b/>
          <w:color w:val="2F5496" w:themeColor="accent1" w:themeShade="BF"/>
          <w:sz w:val="22"/>
          <w:lang w:val="sr-Cyrl-RS"/>
        </w:rPr>
        <w:t>Макроекономске процене Међународног монетарног фонда</w:t>
      </w:r>
    </w:p>
    <w:p w14:paraId="5B0CD7F7" w14:textId="77777777" w:rsidR="007A529E" w:rsidRPr="008E2FD8" w:rsidRDefault="00170B9E" w:rsidP="00CE729E">
      <w:pPr>
        <w:rPr>
          <w:rFonts w:cstheme="minorHAnsi"/>
          <w:bCs/>
          <w:szCs w:val="72"/>
          <w:lang w:val="sr-Cyrl-RS"/>
        </w:rPr>
      </w:pPr>
      <w:r>
        <w:rPr>
          <w:rFonts w:cstheme="minorHAnsi"/>
          <w:bCs/>
          <w:szCs w:val="72"/>
          <w:lang w:val="sr-Cyrl-RS"/>
        </w:rPr>
        <w:t>Г</w:t>
      </w:r>
      <w:r w:rsidR="007A529E" w:rsidRPr="008E2FD8">
        <w:rPr>
          <w:rFonts w:cstheme="minorHAnsi"/>
          <w:bCs/>
          <w:szCs w:val="72"/>
          <w:lang w:val="sr-Cyrl-RS"/>
        </w:rPr>
        <w:t xml:space="preserve">одину дана од почетка пандемије, глобална економија </w:t>
      </w:r>
      <w:r>
        <w:rPr>
          <w:rFonts w:cstheme="minorHAnsi"/>
          <w:bCs/>
          <w:szCs w:val="72"/>
          <w:lang w:val="sr-Cyrl-RS"/>
        </w:rPr>
        <w:t>се опоравља од шока изазваног „в</w:t>
      </w:r>
      <w:r w:rsidR="007A529E" w:rsidRPr="008E2FD8">
        <w:rPr>
          <w:rFonts w:cstheme="minorHAnsi"/>
          <w:bCs/>
          <w:szCs w:val="72"/>
          <w:lang w:val="sr-Cyrl-RS"/>
        </w:rPr>
        <w:t>еликим закључавањем</w:t>
      </w:r>
      <w:r w:rsidR="00DF60D3" w:rsidRPr="008E2FD8">
        <w:rPr>
          <w:rFonts w:cstheme="minorHAnsi"/>
          <w:bCs/>
          <w:szCs w:val="72"/>
          <w:lang w:val="sr-Cyrl-RS"/>
        </w:rPr>
        <w:t>”</w:t>
      </w:r>
      <w:r w:rsidR="007A529E" w:rsidRPr="008E2FD8">
        <w:rPr>
          <w:rFonts w:cstheme="minorHAnsi"/>
          <w:bCs/>
          <w:szCs w:val="72"/>
          <w:lang w:val="sr-Cyrl-RS"/>
        </w:rPr>
        <w:t xml:space="preserve">. Контракција економске активности у 2020. години била је без преседана по својој брзини, а процене </w:t>
      </w:r>
      <w:r w:rsidR="00EE56DE" w:rsidRPr="008E2FD8">
        <w:rPr>
          <w:rFonts w:cstheme="minorHAnsi"/>
          <w:bCs/>
          <w:szCs w:val="72"/>
          <w:lang w:val="sr-Cyrl-RS"/>
        </w:rPr>
        <w:t xml:space="preserve">Међународног монетарног фонда (у даљем тексту: ММФ) </w:t>
      </w:r>
      <w:r w:rsidR="007A529E" w:rsidRPr="008E2FD8">
        <w:rPr>
          <w:rFonts w:cstheme="minorHAnsi"/>
          <w:bCs/>
          <w:szCs w:val="72"/>
          <w:lang w:val="sr-Cyrl-RS"/>
        </w:rPr>
        <w:t>сугеришу да је пад привреде могао бити и до три пута већи да није било ванредних мера подршке. Према пролећним пројекцијама релевантних међународних институција побољшани су изгледи за глобални опоравак. Актуелне пројекције глобалног раста за 2021. и 2022. годину ревидиране су навише и износе 6,0% и 4,4%, респективно, док у средњорочном периоду следи ублажавање темпа раста. Приметна је различита брзина опоравка, како између развијених земаља и земаља у развоју, тако и унутар самих група, што би могло довести до извесног раскорака у животном стандарду становништва.</w:t>
      </w:r>
    </w:p>
    <w:p w14:paraId="16C6041C" w14:textId="77777777" w:rsidR="007A529E" w:rsidRPr="008E2FD8" w:rsidRDefault="007A529E" w:rsidP="00CE729E">
      <w:pPr>
        <w:rPr>
          <w:rFonts w:cstheme="minorHAnsi"/>
          <w:bCs/>
          <w:szCs w:val="72"/>
          <w:lang w:val="sr-Cyrl-RS"/>
        </w:rPr>
      </w:pPr>
    </w:p>
    <w:p w14:paraId="459876CB" w14:textId="77777777" w:rsidR="007A529E" w:rsidRPr="008E2FD8" w:rsidRDefault="007A529E" w:rsidP="00CE729E">
      <w:pPr>
        <w:rPr>
          <w:rFonts w:cstheme="minorHAnsi"/>
          <w:bCs/>
          <w:szCs w:val="72"/>
          <w:lang w:val="sr-Cyrl-RS"/>
        </w:rPr>
      </w:pPr>
    </w:p>
    <w:p w14:paraId="051234AC" w14:textId="77777777" w:rsidR="007A529E" w:rsidRPr="008E2FD8" w:rsidRDefault="007A529E" w:rsidP="00CE729E">
      <w:pPr>
        <w:spacing w:after="0"/>
        <w:rPr>
          <w:rFonts w:cstheme="minorHAnsi"/>
          <w:bCs/>
          <w:sz w:val="24"/>
          <w:szCs w:val="72"/>
          <w:lang w:val="sr-Cyrl-RS"/>
        </w:rPr>
      </w:pPr>
    </w:p>
    <w:p w14:paraId="267B65AE" w14:textId="77777777" w:rsidR="007A529E" w:rsidRPr="008E2FD8" w:rsidRDefault="007A529E" w:rsidP="00CE729E">
      <w:pPr>
        <w:spacing w:after="400"/>
        <w:rPr>
          <w:rFonts w:cstheme="minorHAnsi"/>
          <w:lang w:val="sr-Cyrl-RS"/>
        </w:rPr>
        <w:sectPr w:rsidR="007A529E" w:rsidRPr="008E2FD8" w:rsidSect="00CE729E">
          <w:type w:val="continuous"/>
          <w:pgSz w:w="12240" w:h="15840" w:code="1"/>
          <w:pgMar w:top="1440" w:right="1440" w:bottom="1440" w:left="1440" w:header="720" w:footer="720" w:gutter="0"/>
          <w:cols w:num="2" w:space="720"/>
          <w:docGrid w:linePitch="360"/>
        </w:sectPr>
      </w:pPr>
      <w:r w:rsidRPr="008E2FD8">
        <w:rPr>
          <w:rFonts w:cstheme="minorHAnsi"/>
          <w:lang w:val="sr-Cyrl-RS"/>
        </w:rPr>
        <w:t>Ризици за остваривање пројекција и даље су праћени неуобичајено високом неизвесношћу. Будући развој догађаја ће зависити од путање здравствене кризе и тока вакцинације, ефективности политика у санирању дугорочних последица по економију, кретања цена примарних производа и услова на финансијском тржишту. Иако се тренутна ситуација разликује између држава, примарни фокус би требао бити на сузбијању последица кризе и јачању здравственог система, добро усмереној фискалној подршци и наставку акомодативне монетарне политике. За остваривање ових циљева неопходна је и снажна међународна сарадња, нарочито у производњи и расподели вакцина, али и код приступа глобалном финансијском тржишту.</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6"/>
        <w:gridCol w:w="1033"/>
        <w:gridCol w:w="1035"/>
        <w:gridCol w:w="1035"/>
        <w:gridCol w:w="1041"/>
      </w:tblGrid>
      <w:tr w:rsidR="007A529E" w:rsidRPr="008E2FD8" w14:paraId="67EE8BC2" w14:textId="77777777" w:rsidTr="00CE729E">
        <w:trPr>
          <w:trHeight w:val="414"/>
        </w:trPr>
        <w:tc>
          <w:tcPr>
            <w:tcW w:w="5000" w:type="pct"/>
            <w:gridSpan w:val="5"/>
            <w:tcBorders>
              <w:bottom w:val="single" w:sz="4" w:space="0" w:color="002060"/>
            </w:tcBorders>
            <w:vAlign w:val="center"/>
          </w:tcPr>
          <w:p w14:paraId="66F88AB7" w14:textId="77777777" w:rsidR="007A529E" w:rsidRPr="008E2FD8" w:rsidRDefault="007A529E" w:rsidP="00CE729E">
            <w:pPr>
              <w:jc w:val="center"/>
              <w:rPr>
                <w:rFonts w:cstheme="minorHAnsi"/>
                <w:b/>
                <w:color w:val="002060"/>
                <w:lang w:val="sr-Cyrl-RS"/>
              </w:rPr>
            </w:pPr>
            <w:r w:rsidRPr="008E2FD8">
              <w:rPr>
                <w:rFonts w:cstheme="minorHAnsi"/>
                <w:b/>
                <w:color w:val="002060"/>
                <w:lang w:val="sr-Cyrl-RS"/>
              </w:rPr>
              <w:lastRenderedPageBreak/>
              <w:t>Табела 1. Међународно окружење – макроекономски показатељи</w:t>
            </w:r>
          </w:p>
        </w:tc>
      </w:tr>
      <w:tr w:rsidR="007A529E" w:rsidRPr="008E2FD8" w14:paraId="7ACEE14F" w14:textId="77777777" w:rsidTr="00CE729E">
        <w:tc>
          <w:tcPr>
            <w:tcW w:w="2786"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4574864A" w14:textId="77777777" w:rsidR="007A529E" w:rsidRPr="008E2FD8" w:rsidRDefault="007A529E" w:rsidP="00CE729E">
            <w:pPr>
              <w:rPr>
                <w:rFonts w:cstheme="minorHAnsi"/>
                <w:color w:val="002060"/>
                <w:sz w:val="18"/>
                <w:lang w:val="sr-Cyrl-RS"/>
              </w:rPr>
            </w:pPr>
          </w:p>
        </w:tc>
        <w:tc>
          <w:tcPr>
            <w:tcW w:w="552" w:type="pct"/>
            <w:tcBorders>
              <w:top w:val="single" w:sz="4" w:space="0" w:color="002060"/>
              <w:left w:val="single" w:sz="2" w:space="0" w:color="FFFFFF" w:themeColor="background1"/>
              <w:bottom w:val="single" w:sz="4" w:space="0" w:color="002060"/>
              <w:right w:val="single" w:sz="2" w:space="0" w:color="FFFFFF" w:themeColor="background1"/>
            </w:tcBorders>
          </w:tcPr>
          <w:p w14:paraId="2250A58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2020</w:t>
            </w:r>
          </w:p>
        </w:tc>
        <w:tc>
          <w:tcPr>
            <w:tcW w:w="553" w:type="pct"/>
            <w:tcBorders>
              <w:top w:val="single" w:sz="4" w:space="0" w:color="002060"/>
              <w:left w:val="single" w:sz="2" w:space="0" w:color="FFFFFF" w:themeColor="background1"/>
              <w:bottom w:val="single" w:sz="4" w:space="0" w:color="002060"/>
              <w:right w:val="single" w:sz="2" w:space="0" w:color="FFFFFF" w:themeColor="background1"/>
            </w:tcBorders>
          </w:tcPr>
          <w:p w14:paraId="0AEB851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2021</w:t>
            </w:r>
          </w:p>
        </w:tc>
        <w:tc>
          <w:tcPr>
            <w:tcW w:w="553" w:type="pct"/>
            <w:tcBorders>
              <w:top w:val="single" w:sz="4" w:space="0" w:color="002060"/>
              <w:left w:val="single" w:sz="2" w:space="0" w:color="FFFFFF" w:themeColor="background1"/>
              <w:bottom w:val="single" w:sz="4" w:space="0" w:color="002060"/>
              <w:right w:val="single" w:sz="2" w:space="0" w:color="FFFFFF" w:themeColor="background1"/>
            </w:tcBorders>
          </w:tcPr>
          <w:p w14:paraId="085E652F"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2022</w:t>
            </w:r>
          </w:p>
        </w:tc>
        <w:tc>
          <w:tcPr>
            <w:tcW w:w="556" w:type="pct"/>
            <w:tcBorders>
              <w:top w:val="single" w:sz="4" w:space="0" w:color="002060"/>
              <w:left w:val="single" w:sz="2" w:space="0" w:color="FFFFFF" w:themeColor="background1"/>
              <w:bottom w:val="single" w:sz="4" w:space="0" w:color="002060"/>
              <w:right w:val="single" w:sz="2" w:space="0" w:color="FFFFFF" w:themeColor="background1"/>
            </w:tcBorders>
          </w:tcPr>
          <w:p w14:paraId="285C5FA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2023</w:t>
            </w:r>
          </w:p>
        </w:tc>
      </w:tr>
      <w:tr w:rsidR="007A529E" w:rsidRPr="008E2FD8" w14:paraId="29262672" w14:textId="77777777" w:rsidTr="00CE729E">
        <w:tc>
          <w:tcPr>
            <w:tcW w:w="5000" w:type="pct"/>
            <w:gridSpan w:val="5"/>
            <w:tcBorders>
              <w:top w:val="single" w:sz="2" w:space="0" w:color="FFFFFF" w:themeColor="background1"/>
              <w:left w:val="single" w:sz="2" w:space="0" w:color="FFFFFF" w:themeColor="background1"/>
              <w:bottom w:val="single" w:sz="2" w:space="0" w:color="FFFFFF" w:themeColor="background1"/>
              <w:right w:val="single" w:sz="2" w:space="0" w:color="FFFFFF" w:themeColor="background1"/>
            </w:tcBorders>
            <w:shd w:val="clear" w:color="auto" w:fill="E7E6E6" w:themeFill="background2"/>
          </w:tcPr>
          <w:p w14:paraId="6DA68AC2"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Реални раст БДП</w:t>
            </w:r>
            <w:r w:rsidRPr="008E2FD8">
              <w:rPr>
                <w:rFonts w:cstheme="minorHAnsi"/>
                <w:color w:val="002060"/>
                <w:sz w:val="18"/>
                <w:vertAlign w:val="superscript"/>
                <w:lang w:val="sr-Cyrl-RS"/>
              </w:rPr>
              <w:t>1</w:t>
            </w:r>
            <w:r w:rsidRPr="008E2FD8">
              <w:rPr>
                <w:rFonts w:cstheme="minorHAnsi"/>
                <w:color w:val="002060"/>
                <w:sz w:val="18"/>
                <w:lang w:val="sr-Cyrl-RS"/>
              </w:rPr>
              <w:t>, %</w:t>
            </w:r>
          </w:p>
        </w:tc>
      </w:tr>
      <w:tr w:rsidR="007A529E" w:rsidRPr="008E2FD8" w14:paraId="30C132E0" w14:textId="77777777" w:rsidTr="00CE729E">
        <w:tc>
          <w:tcPr>
            <w:tcW w:w="2786" w:type="pct"/>
            <w:tcBorders>
              <w:top w:val="single" w:sz="2" w:space="0" w:color="FFFFFF" w:themeColor="background1"/>
            </w:tcBorders>
          </w:tcPr>
          <w:p w14:paraId="379DA188" w14:textId="77777777" w:rsidR="007A529E" w:rsidRPr="008E2FD8" w:rsidRDefault="007A529E" w:rsidP="00CE729E">
            <w:pPr>
              <w:ind w:left="255"/>
              <w:rPr>
                <w:rFonts w:cstheme="minorHAnsi"/>
                <w:color w:val="002060"/>
                <w:sz w:val="18"/>
                <w:lang w:val="sr-Cyrl-RS"/>
              </w:rPr>
            </w:pPr>
            <w:r w:rsidRPr="008E2FD8">
              <w:rPr>
                <w:rFonts w:cstheme="minorHAnsi"/>
                <w:color w:val="002060"/>
                <w:sz w:val="18"/>
                <w:lang w:val="sr-Cyrl-RS"/>
              </w:rPr>
              <w:t>Свет укупно</w:t>
            </w:r>
          </w:p>
        </w:tc>
        <w:tc>
          <w:tcPr>
            <w:tcW w:w="552" w:type="pct"/>
            <w:tcBorders>
              <w:top w:val="single" w:sz="2" w:space="0" w:color="FFFFFF" w:themeColor="background1"/>
            </w:tcBorders>
          </w:tcPr>
          <w:p w14:paraId="354AA823"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-3,3</w:t>
            </w:r>
          </w:p>
        </w:tc>
        <w:tc>
          <w:tcPr>
            <w:tcW w:w="553" w:type="pct"/>
            <w:tcBorders>
              <w:top w:val="single" w:sz="2" w:space="0" w:color="FFFFFF" w:themeColor="background1"/>
            </w:tcBorders>
          </w:tcPr>
          <w:p w14:paraId="0C21165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6,0</w:t>
            </w:r>
          </w:p>
        </w:tc>
        <w:tc>
          <w:tcPr>
            <w:tcW w:w="553" w:type="pct"/>
            <w:tcBorders>
              <w:top w:val="single" w:sz="2" w:space="0" w:color="FFFFFF" w:themeColor="background1"/>
            </w:tcBorders>
          </w:tcPr>
          <w:p w14:paraId="6C63CAD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4,4</w:t>
            </w:r>
          </w:p>
        </w:tc>
        <w:tc>
          <w:tcPr>
            <w:tcW w:w="556" w:type="pct"/>
            <w:tcBorders>
              <w:top w:val="single" w:sz="2" w:space="0" w:color="FFFFFF" w:themeColor="background1"/>
            </w:tcBorders>
          </w:tcPr>
          <w:p w14:paraId="4B69B13C"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3,5</w:t>
            </w:r>
          </w:p>
        </w:tc>
      </w:tr>
      <w:tr w:rsidR="007A529E" w:rsidRPr="008E2FD8" w14:paraId="25DBB975" w14:textId="77777777" w:rsidTr="00CE729E">
        <w:tc>
          <w:tcPr>
            <w:tcW w:w="2786" w:type="pct"/>
          </w:tcPr>
          <w:p w14:paraId="7EC97A50" w14:textId="77777777" w:rsidR="007A529E" w:rsidRPr="008E2FD8" w:rsidRDefault="007A529E" w:rsidP="00CE729E">
            <w:pPr>
              <w:ind w:left="255"/>
              <w:rPr>
                <w:rFonts w:cstheme="minorHAnsi"/>
                <w:color w:val="002060"/>
                <w:sz w:val="18"/>
                <w:lang w:val="sr-Cyrl-RS"/>
              </w:rPr>
            </w:pPr>
            <w:r w:rsidRPr="008E2FD8">
              <w:rPr>
                <w:rFonts w:cstheme="minorHAnsi"/>
                <w:color w:val="002060"/>
                <w:sz w:val="18"/>
                <w:lang w:val="sr-Cyrl-RS"/>
              </w:rPr>
              <w:t>Развијене економије</w:t>
            </w:r>
          </w:p>
        </w:tc>
        <w:tc>
          <w:tcPr>
            <w:tcW w:w="552" w:type="pct"/>
          </w:tcPr>
          <w:p w14:paraId="12663F15"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-4,7</w:t>
            </w:r>
          </w:p>
        </w:tc>
        <w:tc>
          <w:tcPr>
            <w:tcW w:w="553" w:type="pct"/>
          </w:tcPr>
          <w:p w14:paraId="778ED162"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5,1</w:t>
            </w:r>
          </w:p>
        </w:tc>
        <w:tc>
          <w:tcPr>
            <w:tcW w:w="553" w:type="pct"/>
          </w:tcPr>
          <w:p w14:paraId="3D0384C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3,6</w:t>
            </w:r>
          </w:p>
        </w:tc>
        <w:tc>
          <w:tcPr>
            <w:tcW w:w="556" w:type="pct"/>
          </w:tcPr>
          <w:p w14:paraId="4B08A62C"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1,8</w:t>
            </w:r>
          </w:p>
        </w:tc>
      </w:tr>
      <w:tr w:rsidR="007A529E" w:rsidRPr="008E2FD8" w14:paraId="4725D0C3" w14:textId="77777777" w:rsidTr="00CE729E">
        <w:tc>
          <w:tcPr>
            <w:tcW w:w="2786" w:type="pct"/>
          </w:tcPr>
          <w:p w14:paraId="79667E50" w14:textId="77777777" w:rsidR="007A529E" w:rsidRPr="008E2FD8" w:rsidRDefault="007A529E" w:rsidP="00CE729E">
            <w:pPr>
              <w:ind w:left="615" w:hanging="180"/>
              <w:rPr>
                <w:rFonts w:cstheme="minorHAnsi"/>
                <w:color w:val="002060"/>
                <w:sz w:val="18"/>
                <w:lang w:val="sr-Cyrl-RS"/>
              </w:rPr>
            </w:pPr>
            <w:r w:rsidRPr="008E2FD8">
              <w:rPr>
                <w:rFonts w:cstheme="minorHAnsi"/>
                <w:color w:val="002060"/>
                <w:sz w:val="18"/>
                <w:lang w:val="sr-Cyrl-RS"/>
              </w:rPr>
              <w:t>САД</w:t>
            </w:r>
          </w:p>
        </w:tc>
        <w:tc>
          <w:tcPr>
            <w:tcW w:w="552" w:type="pct"/>
          </w:tcPr>
          <w:p w14:paraId="6C08C7D5"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-3,5</w:t>
            </w:r>
          </w:p>
        </w:tc>
        <w:tc>
          <w:tcPr>
            <w:tcW w:w="553" w:type="pct"/>
          </w:tcPr>
          <w:p w14:paraId="27E7317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6,4</w:t>
            </w:r>
          </w:p>
        </w:tc>
        <w:tc>
          <w:tcPr>
            <w:tcW w:w="553" w:type="pct"/>
          </w:tcPr>
          <w:p w14:paraId="6B624CA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3,5</w:t>
            </w:r>
          </w:p>
        </w:tc>
        <w:tc>
          <w:tcPr>
            <w:tcW w:w="556" w:type="pct"/>
          </w:tcPr>
          <w:p w14:paraId="3524282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1,4</w:t>
            </w:r>
          </w:p>
        </w:tc>
      </w:tr>
      <w:tr w:rsidR="007A529E" w:rsidRPr="008E2FD8" w14:paraId="6FB78935" w14:textId="77777777" w:rsidTr="00CE729E">
        <w:tc>
          <w:tcPr>
            <w:tcW w:w="2786" w:type="pct"/>
          </w:tcPr>
          <w:p w14:paraId="10C6AC33" w14:textId="77777777" w:rsidR="007A529E" w:rsidRPr="008E2FD8" w:rsidRDefault="007A529E" w:rsidP="00CE729E">
            <w:pPr>
              <w:ind w:left="615" w:hanging="180"/>
              <w:rPr>
                <w:rFonts w:cstheme="minorHAnsi"/>
                <w:color w:val="002060"/>
                <w:sz w:val="18"/>
                <w:lang w:val="sr-Cyrl-RS"/>
              </w:rPr>
            </w:pPr>
            <w:r w:rsidRPr="008E2FD8">
              <w:rPr>
                <w:rFonts w:cstheme="minorHAnsi"/>
                <w:color w:val="002060"/>
                <w:sz w:val="18"/>
                <w:lang w:val="sr-Cyrl-RS"/>
              </w:rPr>
              <w:t>Еврозона</w:t>
            </w:r>
          </w:p>
        </w:tc>
        <w:tc>
          <w:tcPr>
            <w:tcW w:w="552" w:type="pct"/>
          </w:tcPr>
          <w:p w14:paraId="30C8CE76"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-6,6</w:t>
            </w:r>
          </w:p>
        </w:tc>
        <w:tc>
          <w:tcPr>
            <w:tcW w:w="553" w:type="pct"/>
          </w:tcPr>
          <w:p w14:paraId="22A5459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4,4</w:t>
            </w:r>
          </w:p>
        </w:tc>
        <w:tc>
          <w:tcPr>
            <w:tcW w:w="553" w:type="pct"/>
          </w:tcPr>
          <w:p w14:paraId="396C22C0"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3,8</w:t>
            </w:r>
          </w:p>
        </w:tc>
        <w:tc>
          <w:tcPr>
            <w:tcW w:w="556" w:type="pct"/>
          </w:tcPr>
          <w:p w14:paraId="047DF89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1,9</w:t>
            </w:r>
          </w:p>
        </w:tc>
      </w:tr>
      <w:tr w:rsidR="007A529E" w:rsidRPr="008E2FD8" w14:paraId="349231E3" w14:textId="77777777" w:rsidTr="00CE729E">
        <w:tc>
          <w:tcPr>
            <w:tcW w:w="2786" w:type="pct"/>
          </w:tcPr>
          <w:p w14:paraId="6F179EDA" w14:textId="77777777" w:rsidR="007A529E" w:rsidRPr="008E2FD8" w:rsidRDefault="007A529E" w:rsidP="00CE729E">
            <w:pPr>
              <w:ind w:left="345" w:hanging="90"/>
              <w:rPr>
                <w:rFonts w:cstheme="minorHAnsi"/>
                <w:color w:val="002060"/>
                <w:sz w:val="18"/>
                <w:lang w:val="sr-Cyrl-RS"/>
              </w:rPr>
            </w:pPr>
            <w:r w:rsidRPr="008E2FD8">
              <w:rPr>
                <w:rFonts w:cstheme="minorHAnsi"/>
                <w:color w:val="002060"/>
                <w:sz w:val="18"/>
                <w:lang w:val="sr-Cyrl-RS"/>
              </w:rPr>
              <w:t>Земље у успону</w:t>
            </w:r>
          </w:p>
        </w:tc>
        <w:tc>
          <w:tcPr>
            <w:tcW w:w="552" w:type="pct"/>
          </w:tcPr>
          <w:p w14:paraId="783600E9"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-2,2</w:t>
            </w:r>
          </w:p>
        </w:tc>
        <w:tc>
          <w:tcPr>
            <w:tcW w:w="553" w:type="pct"/>
          </w:tcPr>
          <w:p w14:paraId="4ACDE44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6,7</w:t>
            </w:r>
          </w:p>
        </w:tc>
        <w:tc>
          <w:tcPr>
            <w:tcW w:w="553" w:type="pct"/>
          </w:tcPr>
          <w:p w14:paraId="57BA63F5"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5,0</w:t>
            </w:r>
          </w:p>
        </w:tc>
        <w:tc>
          <w:tcPr>
            <w:tcW w:w="556" w:type="pct"/>
          </w:tcPr>
          <w:p w14:paraId="24999FBF"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4,7</w:t>
            </w:r>
          </w:p>
        </w:tc>
      </w:tr>
      <w:tr w:rsidR="007A529E" w:rsidRPr="008E2FD8" w14:paraId="47FC7498" w14:textId="77777777" w:rsidTr="00CE729E">
        <w:tc>
          <w:tcPr>
            <w:tcW w:w="2786" w:type="pct"/>
          </w:tcPr>
          <w:p w14:paraId="6790A096" w14:textId="77777777" w:rsidR="007A529E" w:rsidRPr="008E2FD8" w:rsidRDefault="007A529E" w:rsidP="00CE729E">
            <w:pPr>
              <w:ind w:left="615" w:hanging="180"/>
              <w:rPr>
                <w:rFonts w:cstheme="minorHAnsi"/>
                <w:color w:val="002060"/>
                <w:sz w:val="18"/>
                <w:lang w:val="sr-Cyrl-RS"/>
              </w:rPr>
            </w:pPr>
            <w:r w:rsidRPr="008E2FD8">
              <w:rPr>
                <w:rFonts w:cstheme="minorHAnsi"/>
                <w:color w:val="002060"/>
                <w:sz w:val="18"/>
                <w:lang w:val="sr-Cyrl-RS"/>
              </w:rPr>
              <w:t>Кина</w:t>
            </w:r>
          </w:p>
        </w:tc>
        <w:tc>
          <w:tcPr>
            <w:tcW w:w="552" w:type="pct"/>
          </w:tcPr>
          <w:p w14:paraId="326D938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2,3</w:t>
            </w:r>
          </w:p>
        </w:tc>
        <w:tc>
          <w:tcPr>
            <w:tcW w:w="553" w:type="pct"/>
          </w:tcPr>
          <w:p w14:paraId="30C07CC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8,4</w:t>
            </w:r>
          </w:p>
        </w:tc>
        <w:tc>
          <w:tcPr>
            <w:tcW w:w="553" w:type="pct"/>
          </w:tcPr>
          <w:p w14:paraId="637EB720"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5,6</w:t>
            </w:r>
          </w:p>
        </w:tc>
        <w:tc>
          <w:tcPr>
            <w:tcW w:w="556" w:type="pct"/>
          </w:tcPr>
          <w:p w14:paraId="0F443D9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5,4</w:t>
            </w:r>
          </w:p>
        </w:tc>
      </w:tr>
      <w:tr w:rsidR="007A529E" w:rsidRPr="008E2FD8" w14:paraId="79DD5340" w14:textId="77777777" w:rsidTr="00CE729E">
        <w:tc>
          <w:tcPr>
            <w:tcW w:w="2786" w:type="pct"/>
          </w:tcPr>
          <w:p w14:paraId="3B11CCC7" w14:textId="77777777" w:rsidR="007A529E" w:rsidRPr="008E2FD8" w:rsidRDefault="007A529E" w:rsidP="00CE729E">
            <w:pPr>
              <w:ind w:left="615" w:hanging="180"/>
              <w:rPr>
                <w:rFonts w:cstheme="minorHAnsi"/>
                <w:color w:val="002060"/>
                <w:sz w:val="18"/>
                <w:lang w:val="sr-Cyrl-RS"/>
              </w:rPr>
            </w:pPr>
            <w:r w:rsidRPr="008E2FD8">
              <w:rPr>
                <w:rFonts w:cstheme="minorHAnsi"/>
                <w:color w:val="002060"/>
                <w:sz w:val="18"/>
                <w:lang w:val="sr-Cyrl-RS"/>
              </w:rPr>
              <w:t xml:space="preserve">Русија </w:t>
            </w:r>
          </w:p>
        </w:tc>
        <w:tc>
          <w:tcPr>
            <w:tcW w:w="552" w:type="pct"/>
          </w:tcPr>
          <w:p w14:paraId="34E9B4C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-3,1</w:t>
            </w:r>
          </w:p>
        </w:tc>
        <w:tc>
          <w:tcPr>
            <w:tcW w:w="553" w:type="pct"/>
          </w:tcPr>
          <w:p w14:paraId="04C9F365"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3,8</w:t>
            </w:r>
          </w:p>
        </w:tc>
        <w:tc>
          <w:tcPr>
            <w:tcW w:w="553" w:type="pct"/>
          </w:tcPr>
          <w:p w14:paraId="528B11C7"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3,8</w:t>
            </w:r>
          </w:p>
        </w:tc>
        <w:tc>
          <w:tcPr>
            <w:tcW w:w="556" w:type="pct"/>
          </w:tcPr>
          <w:p w14:paraId="3C35DFF3"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2,1</w:t>
            </w:r>
          </w:p>
        </w:tc>
      </w:tr>
      <w:tr w:rsidR="007A529E" w:rsidRPr="008E2FD8" w14:paraId="19EEF333" w14:textId="77777777" w:rsidTr="00CE729E">
        <w:tc>
          <w:tcPr>
            <w:tcW w:w="2786" w:type="pct"/>
          </w:tcPr>
          <w:p w14:paraId="3ACFC69F" w14:textId="77777777" w:rsidR="007A529E" w:rsidRPr="008E2FD8" w:rsidRDefault="007A529E" w:rsidP="00CE729E">
            <w:pPr>
              <w:ind w:left="345" w:hanging="90"/>
              <w:rPr>
                <w:rFonts w:cstheme="minorHAnsi"/>
                <w:color w:val="002060"/>
                <w:sz w:val="18"/>
                <w:lang w:val="sr-Cyrl-RS"/>
              </w:rPr>
            </w:pPr>
            <w:r w:rsidRPr="008E2FD8">
              <w:rPr>
                <w:rFonts w:cstheme="minorHAnsi"/>
                <w:color w:val="002060"/>
                <w:sz w:val="18"/>
                <w:lang w:val="sr-Cyrl-RS"/>
              </w:rPr>
              <w:t>Раст светске трговине, %</w:t>
            </w:r>
          </w:p>
        </w:tc>
        <w:tc>
          <w:tcPr>
            <w:tcW w:w="552" w:type="pct"/>
          </w:tcPr>
          <w:p w14:paraId="50038BB7"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-8,5</w:t>
            </w:r>
          </w:p>
        </w:tc>
        <w:tc>
          <w:tcPr>
            <w:tcW w:w="553" w:type="pct"/>
          </w:tcPr>
          <w:p w14:paraId="3313D009"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8,4</w:t>
            </w:r>
          </w:p>
        </w:tc>
        <w:tc>
          <w:tcPr>
            <w:tcW w:w="553" w:type="pct"/>
          </w:tcPr>
          <w:p w14:paraId="1A20B9F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6,5</w:t>
            </w:r>
          </w:p>
        </w:tc>
        <w:tc>
          <w:tcPr>
            <w:tcW w:w="556" w:type="pct"/>
          </w:tcPr>
          <w:p w14:paraId="748B2A9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4,2</w:t>
            </w:r>
          </w:p>
        </w:tc>
      </w:tr>
      <w:tr w:rsidR="007A529E" w:rsidRPr="008E2FD8" w14:paraId="0C70196A" w14:textId="77777777" w:rsidTr="00CE729E">
        <w:tc>
          <w:tcPr>
            <w:tcW w:w="5000" w:type="pct"/>
            <w:gridSpan w:val="5"/>
            <w:shd w:val="clear" w:color="auto" w:fill="E7E6E6" w:themeFill="background2"/>
          </w:tcPr>
          <w:p w14:paraId="7EF4B27B"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Стопа незапослености, %</w:t>
            </w:r>
          </w:p>
        </w:tc>
      </w:tr>
      <w:tr w:rsidR="007A529E" w:rsidRPr="008E2FD8" w14:paraId="374AAD62" w14:textId="77777777" w:rsidTr="00CE729E">
        <w:tc>
          <w:tcPr>
            <w:tcW w:w="2786" w:type="pct"/>
          </w:tcPr>
          <w:p w14:paraId="438BAD62" w14:textId="77777777" w:rsidR="007A529E" w:rsidRPr="008E2FD8" w:rsidRDefault="007A529E" w:rsidP="00CE729E">
            <w:pPr>
              <w:ind w:left="440" w:hanging="180"/>
              <w:rPr>
                <w:rFonts w:cstheme="minorHAnsi"/>
                <w:color w:val="002060"/>
                <w:sz w:val="18"/>
                <w:lang w:val="sr-Cyrl-RS"/>
              </w:rPr>
            </w:pPr>
            <w:r w:rsidRPr="008E2FD8">
              <w:rPr>
                <w:rFonts w:cstheme="minorHAnsi"/>
                <w:color w:val="002060"/>
                <w:sz w:val="18"/>
                <w:lang w:val="sr-Cyrl-RS"/>
              </w:rPr>
              <w:t>Еврозона</w:t>
            </w:r>
          </w:p>
        </w:tc>
        <w:tc>
          <w:tcPr>
            <w:tcW w:w="552" w:type="pct"/>
          </w:tcPr>
          <w:p w14:paraId="60875314"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7,9</w:t>
            </w:r>
          </w:p>
        </w:tc>
        <w:tc>
          <w:tcPr>
            <w:tcW w:w="553" w:type="pct"/>
          </w:tcPr>
          <w:p w14:paraId="428B153C"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8,7</w:t>
            </w:r>
          </w:p>
        </w:tc>
        <w:tc>
          <w:tcPr>
            <w:tcW w:w="553" w:type="pct"/>
          </w:tcPr>
          <w:p w14:paraId="6CBA7902"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8,5</w:t>
            </w:r>
          </w:p>
        </w:tc>
        <w:tc>
          <w:tcPr>
            <w:tcW w:w="556" w:type="pct"/>
          </w:tcPr>
          <w:p w14:paraId="48C1363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8,2</w:t>
            </w:r>
          </w:p>
        </w:tc>
      </w:tr>
      <w:tr w:rsidR="007A529E" w:rsidRPr="008E2FD8" w14:paraId="47AA6814" w14:textId="77777777" w:rsidTr="00CE729E">
        <w:tc>
          <w:tcPr>
            <w:tcW w:w="2786" w:type="pct"/>
          </w:tcPr>
          <w:p w14:paraId="46EA5FAB" w14:textId="77777777" w:rsidR="007A529E" w:rsidRPr="008E2FD8" w:rsidRDefault="007A529E" w:rsidP="00CE729E">
            <w:pPr>
              <w:ind w:left="440" w:hanging="180"/>
              <w:rPr>
                <w:rFonts w:cstheme="minorHAnsi"/>
                <w:color w:val="002060"/>
                <w:sz w:val="18"/>
                <w:lang w:val="sr-Cyrl-RS"/>
              </w:rPr>
            </w:pPr>
            <w:r w:rsidRPr="008E2FD8">
              <w:rPr>
                <w:rFonts w:cstheme="minorHAnsi"/>
                <w:color w:val="002060"/>
                <w:sz w:val="18"/>
                <w:lang w:val="sr-Cyrl-RS"/>
              </w:rPr>
              <w:t>САД</w:t>
            </w:r>
          </w:p>
        </w:tc>
        <w:tc>
          <w:tcPr>
            <w:tcW w:w="552" w:type="pct"/>
          </w:tcPr>
          <w:p w14:paraId="2864FF82"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8,1</w:t>
            </w:r>
          </w:p>
        </w:tc>
        <w:tc>
          <w:tcPr>
            <w:tcW w:w="553" w:type="pct"/>
          </w:tcPr>
          <w:p w14:paraId="45AAF6A4"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5,8</w:t>
            </w:r>
          </w:p>
        </w:tc>
        <w:tc>
          <w:tcPr>
            <w:tcW w:w="553" w:type="pct"/>
          </w:tcPr>
          <w:p w14:paraId="4AC4D84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4,2</w:t>
            </w:r>
          </w:p>
        </w:tc>
        <w:tc>
          <w:tcPr>
            <w:tcW w:w="556" w:type="pct"/>
          </w:tcPr>
          <w:p w14:paraId="7CAB034C"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3,7</w:t>
            </w:r>
          </w:p>
        </w:tc>
      </w:tr>
      <w:tr w:rsidR="007A529E" w:rsidRPr="008E2FD8" w14:paraId="77CA0163" w14:textId="77777777" w:rsidTr="00CE729E">
        <w:tc>
          <w:tcPr>
            <w:tcW w:w="5000" w:type="pct"/>
            <w:gridSpan w:val="5"/>
            <w:shd w:val="clear" w:color="auto" w:fill="E7E6E6" w:themeFill="background2"/>
          </w:tcPr>
          <w:p w14:paraId="6F67AFA3"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Потрошачке цене, просек периода, %</w:t>
            </w:r>
          </w:p>
        </w:tc>
      </w:tr>
      <w:tr w:rsidR="007A529E" w:rsidRPr="008E2FD8" w14:paraId="41299C12" w14:textId="77777777" w:rsidTr="00CE729E">
        <w:tc>
          <w:tcPr>
            <w:tcW w:w="2786" w:type="pct"/>
          </w:tcPr>
          <w:p w14:paraId="1BA438DD" w14:textId="77777777" w:rsidR="007A529E" w:rsidRPr="008E2FD8" w:rsidRDefault="007A529E" w:rsidP="00CE729E">
            <w:pPr>
              <w:ind w:left="350" w:hanging="90"/>
              <w:rPr>
                <w:rFonts w:cstheme="minorHAnsi"/>
                <w:color w:val="002060"/>
                <w:sz w:val="18"/>
                <w:lang w:val="sr-Cyrl-RS"/>
              </w:rPr>
            </w:pPr>
            <w:r w:rsidRPr="008E2FD8">
              <w:rPr>
                <w:rFonts w:cstheme="minorHAnsi"/>
                <w:color w:val="002060"/>
                <w:sz w:val="18"/>
                <w:lang w:val="sr-Cyrl-RS"/>
              </w:rPr>
              <w:t>Еврозона</w:t>
            </w:r>
          </w:p>
        </w:tc>
        <w:tc>
          <w:tcPr>
            <w:tcW w:w="552" w:type="pct"/>
          </w:tcPr>
          <w:p w14:paraId="0626408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0,3</w:t>
            </w:r>
          </w:p>
        </w:tc>
        <w:tc>
          <w:tcPr>
            <w:tcW w:w="553" w:type="pct"/>
          </w:tcPr>
          <w:p w14:paraId="0486C833"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1,4</w:t>
            </w:r>
          </w:p>
        </w:tc>
        <w:tc>
          <w:tcPr>
            <w:tcW w:w="553" w:type="pct"/>
          </w:tcPr>
          <w:p w14:paraId="41BB0CB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1,2</w:t>
            </w:r>
          </w:p>
        </w:tc>
        <w:tc>
          <w:tcPr>
            <w:tcW w:w="556" w:type="pct"/>
          </w:tcPr>
          <w:p w14:paraId="3FE4A20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1,4</w:t>
            </w:r>
          </w:p>
        </w:tc>
      </w:tr>
      <w:tr w:rsidR="007A529E" w:rsidRPr="008E2FD8" w14:paraId="5CFC86E3" w14:textId="77777777" w:rsidTr="00CE729E">
        <w:tc>
          <w:tcPr>
            <w:tcW w:w="2786" w:type="pct"/>
          </w:tcPr>
          <w:p w14:paraId="74554616" w14:textId="77777777" w:rsidR="007A529E" w:rsidRPr="008E2FD8" w:rsidRDefault="007A529E" w:rsidP="00CE729E">
            <w:pPr>
              <w:ind w:left="350" w:hanging="90"/>
              <w:rPr>
                <w:rFonts w:cstheme="minorHAnsi"/>
                <w:color w:val="002060"/>
                <w:sz w:val="18"/>
                <w:lang w:val="sr-Cyrl-RS"/>
              </w:rPr>
            </w:pPr>
            <w:r w:rsidRPr="008E2FD8">
              <w:rPr>
                <w:rFonts w:cstheme="minorHAnsi"/>
                <w:color w:val="002060"/>
                <w:sz w:val="18"/>
                <w:lang w:val="sr-Cyrl-RS"/>
              </w:rPr>
              <w:t>Развијене економије</w:t>
            </w:r>
          </w:p>
        </w:tc>
        <w:tc>
          <w:tcPr>
            <w:tcW w:w="552" w:type="pct"/>
          </w:tcPr>
          <w:p w14:paraId="066EBB3F"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0,7</w:t>
            </w:r>
          </w:p>
        </w:tc>
        <w:tc>
          <w:tcPr>
            <w:tcW w:w="553" w:type="pct"/>
          </w:tcPr>
          <w:p w14:paraId="61122019"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1,6</w:t>
            </w:r>
          </w:p>
        </w:tc>
        <w:tc>
          <w:tcPr>
            <w:tcW w:w="553" w:type="pct"/>
          </w:tcPr>
          <w:p w14:paraId="0F66527A"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1,7</w:t>
            </w:r>
          </w:p>
        </w:tc>
        <w:tc>
          <w:tcPr>
            <w:tcW w:w="556" w:type="pct"/>
          </w:tcPr>
          <w:p w14:paraId="6376BB4E"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1,8</w:t>
            </w:r>
          </w:p>
        </w:tc>
      </w:tr>
      <w:tr w:rsidR="007A529E" w:rsidRPr="008E2FD8" w14:paraId="2F25C9E8" w14:textId="77777777" w:rsidTr="00CE729E">
        <w:tc>
          <w:tcPr>
            <w:tcW w:w="2786" w:type="pct"/>
          </w:tcPr>
          <w:p w14:paraId="5ECF8D5A" w14:textId="77777777" w:rsidR="007A529E" w:rsidRPr="008E2FD8" w:rsidRDefault="007A529E" w:rsidP="00CE729E">
            <w:pPr>
              <w:ind w:left="350" w:hanging="90"/>
              <w:rPr>
                <w:rFonts w:cstheme="minorHAnsi"/>
                <w:color w:val="002060"/>
                <w:sz w:val="18"/>
                <w:lang w:val="sr-Cyrl-RS"/>
              </w:rPr>
            </w:pPr>
            <w:r w:rsidRPr="008E2FD8">
              <w:rPr>
                <w:rFonts w:cstheme="minorHAnsi"/>
                <w:color w:val="002060"/>
                <w:sz w:val="18"/>
                <w:lang w:val="sr-Cyrl-RS"/>
              </w:rPr>
              <w:t>Земље у успону</w:t>
            </w:r>
          </w:p>
        </w:tc>
        <w:tc>
          <w:tcPr>
            <w:tcW w:w="552" w:type="pct"/>
          </w:tcPr>
          <w:p w14:paraId="5B6E9C32"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5,1</w:t>
            </w:r>
          </w:p>
        </w:tc>
        <w:tc>
          <w:tcPr>
            <w:tcW w:w="553" w:type="pct"/>
          </w:tcPr>
          <w:p w14:paraId="3D6B1696"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4,9</w:t>
            </w:r>
          </w:p>
        </w:tc>
        <w:tc>
          <w:tcPr>
            <w:tcW w:w="553" w:type="pct"/>
          </w:tcPr>
          <w:p w14:paraId="504E4BF6"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4,4</w:t>
            </w:r>
          </w:p>
        </w:tc>
        <w:tc>
          <w:tcPr>
            <w:tcW w:w="556" w:type="pct"/>
          </w:tcPr>
          <w:p w14:paraId="66C5038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4,0</w:t>
            </w:r>
          </w:p>
        </w:tc>
      </w:tr>
      <w:tr w:rsidR="007A529E" w:rsidRPr="008E2FD8" w14:paraId="46BF60F5" w14:textId="77777777" w:rsidTr="00CE729E">
        <w:tc>
          <w:tcPr>
            <w:tcW w:w="2786" w:type="pct"/>
          </w:tcPr>
          <w:p w14:paraId="57BF9E06" w14:textId="77777777" w:rsidR="007A529E" w:rsidRPr="008E2FD8" w:rsidRDefault="007A529E" w:rsidP="00CE729E">
            <w:pPr>
              <w:rPr>
                <w:rFonts w:cstheme="minorHAnsi"/>
                <w:color w:val="002060"/>
                <w:sz w:val="18"/>
                <w:lang w:val="sr-Cyrl-RS"/>
              </w:rPr>
            </w:pPr>
          </w:p>
        </w:tc>
        <w:tc>
          <w:tcPr>
            <w:tcW w:w="552" w:type="pct"/>
          </w:tcPr>
          <w:p w14:paraId="6D1E36BA" w14:textId="77777777" w:rsidR="007A529E" w:rsidRPr="008E2FD8" w:rsidRDefault="007A529E" w:rsidP="00CE729E">
            <w:pPr>
              <w:rPr>
                <w:rFonts w:cstheme="minorHAnsi"/>
                <w:color w:val="002060"/>
                <w:sz w:val="18"/>
                <w:lang w:val="sr-Cyrl-RS"/>
              </w:rPr>
            </w:pPr>
          </w:p>
        </w:tc>
        <w:tc>
          <w:tcPr>
            <w:tcW w:w="553" w:type="pct"/>
          </w:tcPr>
          <w:p w14:paraId="3B2662A6" w14:textId="77777777" w:rsidR="007A529E" w:rsidRPr="008E2FD8" w:rsidRDefault="007A529E" w:rsidP="00CE729E">
            <w:pPr>
              <w:rPr>
                <w:rFonts w:cstheme="minorHAnsi"/>
                <w:color w:val="002060"/>
                <w:sz w:val="18"/>
                <w:lang w:val="sr-Cyrl-RS"/>
              </w:rPr>
            </w:pPr>
          </w:p>
        </w:tc>
        <w:tc>
          <w:tcPr>
            <w:tcW w:w="553" w:type="pct"/>
          </w:tcPr>
          <w:p w14:paraId="4AA3557E" w14:textId="77777777" w:rsidR="007A529E" w:rsidRPr="008E2FD8" w:rsidRDefault="007A529E" w:rsidP="00CE729E">
            <w:pPr>
              <w:rPr>
                <w:rFonts w:cstheme="minorHAnsi"/>
                <w:color w:val="002060"/>
                <w:sz w:val="18"/>
                <w:lang w:val="sr-Cyrl-RS"/>
              </w:rPr>
            </w:pPr>
          </w:p>
        </w:tc>
        <w:tc>
          <w:tcPr>
            <w:tcW w:w="556" w:type="pct"/>
          </w:tcPr>
          <w:p w14:paraId="77139EC8" w14:textId="77777777" w:rsidR="007A529E" w:rsidRPr="008E2FD8" w:rsidRDefault="007A529E" w:rsidP="00CE729E">
            <w:pPr>
              <w:rPr>
                <w:rFonts w:cstheme="minorHAnsi"/>
                <w:color w:val="002060"/>
                <w:sz w:val="18"/>
                <w:lang w:val="sr-Cyrl-RS"/>
              </w:rPr>
            </w:pPr>
          </w:p>
        </w:tc>
      </w:tr>
      <w:tr w:rsidR="007A529E" w:rsidRPr="008E2FD8" w14:paraId="688D52F6" w14:textId="77777777" w:rsidTr="00CE729E">
        <w:tc>
          <w:tcPr>
            <w:tcW w:w="2786" w:type="pct"/>
          </w:tcPr>
          <w:p w14:paraId="36F76C0C"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Девизни курс, евро/долар, крај периода</w:t>
            </w:r>
          </w:p>
        </w:tc>
        <w:tc>
          <w:tcPr>
            <w:tcW w:w="552" w:type="pct"/>
          </w:tcPr>
          <w:p w14:paraId="4CF8E86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1,1</w:t>
            </w:r>
          </w:p>
        </w:tc>
        <w:tc>
          <w:tcPr>
            <w:tcW w:w="553" w:type="pct"/>
          </w:tcPr>
          <w:p w14:paraId="03F9257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1,2</w:t>
            </w:r>
          </w:p>
        </w:tc>
        <w:tc>
          <w:tcPr>
            <w:tcW w:w="553" w:type="pct"/>
          </w:tcPr>
          <w:p w14:paraId="081F22D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1,2</w:t>
            </w:r>
          </w:p>
        </w:tc>
        <w:tc>
          <w:tcPr>
            <w:tcW w:w="556" w:type="pct"/>
          </w:tcPr>
          <w:p w14:paraId="2D887F6D"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w:t>
            </w:r>
          </w:p>
        </w:tc>
      </w:tr>
      <w:tr w:rsidR="007A529E" w:rsidRPr="008E2FD8" w14:paraId="14A2C028" w14:textId="77777777" w:rsidTr="00CE729E">
        <w:tc>
          <w:tcPr>
            <w:tcW w:w="2786" w:type="pct"/>
          </w:tcPr>
          <w:p w14:paraId="10B48375"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Цене житарица, у доларима, годишње промене</w:t>
            </w:r>
            <w:r w:rsidRPr="008E2FD8">
              <w:rPr>
                <w:rFonts w:cstheme="minorHAnsi"/>
                <w:color w:val="002060"/>
                <w:sz w:val="18"/>
                <w:vertAlign w:val="superscript"/>
                <w:lang w:val="sr-Cyrl-RS"/>
              </w:rPr>
              <w:t>2</w:t>
            </w:r>
          </w:p>
        </w:tc>
        <w:tc>
          <w:tcPr>
            <w:tcW w:w="552" w:type="pct"/>
          </w:tcPr>
          <w:p w14:paraId="7823DC0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8,4</w:t>
            </w:r>
          </w:p>
        </w:tc>
        <w:tc>
          <w:tcPr>
            <w:tcW w:w="553" w:type="pct"/>
          </w:tcPr>
          <w:p w14:paraId="12BD8936"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25,2</w:t>
            </w:r>
          </w:p>
        </w:tc>
        <w:tc>
          <w:tcPr>
            <w:tcW w:w="553" w:type="pct"/>
          </w:tcPr>
          <w:p w14:paraId="0C458FCC"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-4,4</w:t>
            </w:r>
          </w:p>
        </w:tc>
        <w:tc>
          <w:tcPr>
            <w:tcW w:w="556" w:type="pct"/>
          </w:tcPr>
          <w:p w14:paraId="63AA3AE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-2,4</w:t>
            </w:r>
          </w:p>
        </w:tc>
      </w:tr>
      <w:tr w:rsidR="007A529E" w:rsidRPr="008E2FD8" w14:paraId="76430C53" w14:textId="77777777" w:rsidTr="00CE729E">
        <w:tc>
          <w:tcPr>
            <w:tcW w:w="2786" w:type="pct"/>
          </w:tcPr>
          <w:p w14:paraId="42B28B42"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Цене метала, у доларима, годишње промене</w:t>
            </w:r>
            <w:r w:rsidRPr="008E2FD8">
              <w:rPr>
                <w:rFonts w:cstheme="minorHAnsi"/>
                <w:color w:val="002060"/>
                <w:sz w:val="18"/>
                <w:vertAlign w:val="superscript"/>
                <w:lang w:val="sr-Cyrl-RS"/>
              </w:rPr>
              <w:t>3</w:t>
            </w:r>
          </w:p>
        </w:tc>
        <w:tc>
          <w:tcPr>
            <w:tcW w:w="552" w:type="pct"/>
          </w:tcPr>
          <w:p w14:paraId="56953CD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3,5</w:t>
            </w:r>
          </w:p>
        </w:tc>
        <w:tc>
          <w:tcPr>
            <w:tcW w:w="553" w:type="pct"/>
          </w:tcPr>
          <w:p w14:paraId="364AEF99"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32,1</w:t>
            </w:r>
          </w:p>
        </w:tc>
        <w:tc>
          <w:tcPr>
            <w:tcW w:w="553" w:type="pct"/>
          </w:tcPr>
          <w:p w14:paraId="73D699F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-4,5</w:t>
            </w:r>
          </w:p>
        </w:tc>
        <w:tc>
          <w:tcPr>
            <w:tcW w:w="556" w:type="pct"/>
          </w:tcPr>
          <w:p w14:paraId="0ADDB3B0"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-0,4</w:t>
            </w:r>
          </w:p>
        </w:tc>
      </w:tr>
      <w:tr w:rsidR="007A529E" w:rsidRPr="008E2FD8" w14:paraId="18ED4E4D" w14:textId="77777777" w:rsidTr="00CE729E">
        <w:tc>
          <w:tcPr>
            <w:tcW w:w="2786" w:type="pct"/>
          </w:tcPr>
          <w:p w14:paraId="053CBE7F"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Цена руде гвожђа, у доларима</w:t>
            </w:r>
            <w:r w:rsidRPr="008E2FD8">
              <w:rPr>
                <w:rFonts w:cstheme="minorHAnsi"/>
                <w:color w:val="002060"/>
                <w:sz w:val="18"/>
                <w:vertAlign w:val="superscript"/>
                <w:lang w:val="sr-Cyrl-RS"/>
              </w:rPr>
              <w:t>4</w:t>
            </w:r>
          </w:p>
        </w:tc>
        <w:tc>
          <w:tcPr>
            <w:tcW w:w="552" w:type="pct"/>
          </w:tcPr>
          <w:p w14:paraId="0664C8CF"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108,1</w:t>
            </w:r>
          </w:p>
        </w:tc>
        <w:tc>
          <w:tcPr>
            <w:tcW w:w="553" w:type="pct"/>
          </w:tcPr>
          <w:p w14:paraId="6378694A"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146,5</w:t>
            </w:r>
          </w:p>
        </w:tc>
        <w:tc>
          <w:tcPr>
            <w:tcW w:w="553" w:type="pct"/>
          </w:tcPr>
          <w:p w14:paraId="1D6C2FA6"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130,5</w:t>
            </w:r>
          </w:p>
        </w:tc>
        <w:tc>
          <w:tcPr>
            <w:tcW w:w="556" w:type="pct"/>
          </w:tcPr>
          <w:p w14:paraId="5A6CBF2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130,5</w:t>
            </w:r>
          </w:p>
        </w:tc>
      </w:tr>
      <w:tr w:rsidR="007A529E" w:rsidRPr="008E2FD8" w14:paraId="06AA9432" w14:textId="77777777" w:rsidTr="00CE729E">
        <w:trPr>
          <w:trHeight w:val="369"/>
        </w:trPr>
        <w:tc>
          <w:tcPr>
            <w:tcW w:w="2786" w:type="pct"/>
            <w:tcBorders>
              <w:bottom w:val="single" w:sz="4" w:space="0" w:color="002060"/>
            </w:tcBorders>
          </w:tcPr>
          <w:p w14:paraId="62E1965E" w14:textId="77777777" w:rsidR="007A529E" w:rsidRPr="008E2FD8" w:rsidRDefault="007A529E" w:rsidP="00CE729E">
            <w:pPr>
              <w:rPr>
                <w:rFonts w:cstheme="minorHAnsi"/>
                <w:color w:val="002060"/>
                <w:sz w:val="18"/>
                <w:lang w:val="sr-Cyrl-RS"/>
              </w:rPr>
            </w:pPr>
            <w:r w:rsidRPr="008E2FD8">
              <w:rPr>
                <w:rFonts w:cstheme="minorHAnsi"/>
                <w:color w:val="002060"/>
                <w:sz w:val="18"/>
                <w:lang w:val="sr-Cyrl-RS"/>
              </w:rPr>
              <w:t>Цене нафте, у доларима, годишње промене, %</w:t>
            </w:r>
          </w:p>
        </w:tc>
        <w:tc>
          <w:tcPr>
            <w:tcW w:w="552" w:type="pct"/>
            <w:tcBorders>
              <w:bottom w:val="single" w:sz="4" w:space="0" w:color="002060"/>
            </w:tcBorders>
          </w:tcPr>
          <w:p w14:paraId="03528F69"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-32,7</w:t>
            </w:r>
          </w:p>
        </w:tc>
        <w:tc>
          <w:tcPr>
            <w:tcW w:w="553" w:type="pct"/>
            <w:tcBorders>
              <w:bottom w:val="single" w:sz="4" w:space="0" w:color="002060"/>
            </w:tcBorders>
          </w:tcPr>
          <w:p w14:paraId="11545AE8"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41,7</w:t>
            </w:r>
          </w:p>
        </w:tc>
        <w:tc>
          <w:tcPr>
            <w:tcW w:w="553" w:type="pct"/>
            <w:tcBorders>
              <w:bottom w:val="single" w:sz="4" w:space="0" w:color="002060"/>
            </w:tcBorders>
          </w:tcPr>
          <w:p w14:paraId="6C302CC1"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-6,3</w:t>
            </w:r>
          </w:p>
        </w:tc>
        <w:tc>
          <w:tcPr>
            <w:tcW w:w="556" w:type="pct"/>
            <w:tcBorders>
              <w:bottom w:val="single" w:sz="4" w:space="0" w:color="002060"/>
            </w:tcBorders>
          </w:tcPr>
          <w:p w14:paraId="0F31DAFB" w14:textId="77777777" w:rsidR="007A529E" w:rsidRPr="008E2FD8" w:rsidRDefault="007A529E" w:rsidP="00CE729E">
            <w:pPr>
              <w:jc w:val="center"/>
              <w:rPr>
                <w:rFonts w:cstheme="minorHAnsi"/>
                <w:color w:val="002060"/>
                <w:sz w:val="18"/>
                <w:lang w:val="sr-Cyrl-RS"/>
              </w:rPr>
            </w:pPr>
            <w:r w:rsidRPr="008E2FD8">
              <w:rPr>
                <w:rFonts w:cstheme="minorHAnsi"/>
                <w:color w:val="002060"/>
                <w:sz w:val="18"/>
                <w:lang w:val="sr-Cyrl-RS"/>
              </w:rPr>
              <w:t>4,2</w:t>
            </w:r>
          </w:p>
        </w:tc>
      </w:tr>
      <w:tr w:rsidR="007A529E" w:rsidRPr="008E2FD8" w14:paraId="099FB2FC" w14:textId="77777777" w:rsidTr="00CE729E">
        <w:tc>
          <w:tcPr>
            <w:tcW w:w="5000" w:type="pct"/>
            <w:gridSpan w:val="5"/>
            <w:tcBorders>
              <w:top w:val="single" w:sz="4" w:space="0" w:color="002060"/>
            </w:tcBorders>
          </w:tcPr>
          <w:p w14:paraId="590400CE" w14:textId="77777777" w:rsidR="007A529E" w:rsidRPr="008E2FD8" w:rsidRDefault="007A529E" w:rsidP="00EE56DE">
            <w:pPr>
              <w:rPr>
                <w:rFonts w:cstheme="minorHAnsi"/>
                <w:color w:val="002060"/>
                <w:sz w:val="16"/>
                <w:lang w:val="sr-Cyrl-RS"/>
              </w:rPr>
            </w:pP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tc>
      </w:tr>
      <w:tr w:rsidR="007A529E" w:rsidRPr="008E2FD8" w14:paraId="06131C47" w14:textId="77777777" w:rsidTr="00CE729E">
        <w:trPr>
          <w:trHeight w:val="630"/>
        </w:trPr>
        <w:tc>
          <w:tcPr>
            <w:tcW w:w="5000" w:type="pct"/>
            <w:gridSpan w:val="5"/>
          </w:tcPr>
          <w:p w14:paraId="4EA22059" w14:textId="77777777" w:rsidR="007A529E" w:rsidRPr="008E2FD8" w:rsidRDefault="007A529E" w:rsidP="00CE729E">
            <w:pPr>
              <w:rPr>
                <w:rFonts w:cstheme="minorHAnsi"/>
                <w:bCs/>
                <w:sz w:val="16"/>
                <w:szCs w:val="72"/>
                <w:lang w:val="sr-Cyrl-RS"/>
              </w:rPr>
            </w:pPr>
            <w:r w:rsidRPr="008E2FD8">
              <w:rPr>
                <w:rFonts w:cstheme="minorHAnsi"/>
                <w:bCs/>
                <w:sz w:val="16"/>
                <w:szCs w:val="72"/>
                <w:vertAlign w:val="superscript"/>
                <w:lang w:val="sr-Cyrl-RS"/>
              </w:rPr>
              <w:t>1</w:t>
            </w:r>
            <w:r w:rsidRPr="008E2FD8">
              <w:rPr>
                <w:rFonts w:cstheme="minorHAnsi"/>
                <w:bCs/>
                <w:sz w:val="16"/>
                <w:szCs w:val="72"/>
                <w:lang w:val="sr-Cyrl-RS"/>
              </w:rPr>
              <w:t xml:space="preserve"> Светски БДП израчунат је према паритету куповне моћи.</w:t>
            </w:r>
          </w:p>
          <w:p w14:paraId="3CBFD604" w14:textId="77777777" w:rsidR="007A529E" w:rsidRPr="008E2FD8" w:rsidRDefault="007A529E" w:rsidP="00CE729E">
            <w:pPr>
              <w:rPr>
                <w:rFonts w:cstheme="minorHAnsi"/>
                <w:bCs/>
                <w:sz w:val="16"/>
                <w:szCs w:val="72"/>
                <w:lang w:val="sr-Cyrl-RS"/>
              </w:rPr>
            </w:pPr>
            <w:r w:rsidRPr="008E2FD8">
              <w:rPr>
                <w:rFonts w:cstheme="minorHAnsi"/>
                <w:bCs/>
                <w:sz w:val="16"/>
                <w:szCs w:val="72"/>
                <w:vertAlign w:val="superscript"/>
                <w:lang w:val="sr-Cyrl-RS"/>
              </w:rPr>
              <w:t>2</w:t>
            </w:r>
            <w:r w:rsidRPr="008E2FD8">
              <w:rPr>
                <w:rFonts w:cstheme="minorHAnsi"/>
                <w:bCs/>
                <w:sz w:val="16"/>
                <w:szCs w:val="72"/>
                <w:lang w:val="sr-Cyrl-RS"/>
              </w:rPr>
              <w:t xml:space="preserve"> Цена житарица добијена као пондерисани просек цена пшенице, кукуруза, соје, пиринча и јечма.</w:t>
            </w:r>
          </w:p>
          <w:p w14:paraId="26822F92" w14:textId="77777777" w:rsidR="007A529E" w:rsidRPr="008E2FD8" w:rsidRDefault="007A529E" w:rsidP="00CE729E">
            <w:pPr>
              <w:rPr>
                <w:rFonts w:cstheme="minorHAnsi"/>
                <w:bCs/>
                <w:sz w:val="16"/>
                <w:szCs w:val="72"/>
                <w:lang w:val="sr-Cyrl-RS"/>
              </w:rPr>
            </w:pPr>
            <w:r w:rsidRPr="008E2FD8">
              <w:rPr>
                <w:rFonts w:cstheme="minorHAnsi"/>
                <w:bCs/>
                <w:sz w:val="16"/>
                <w:szCs w:val="72"/>
                <w:vertAlign w:val="superscript"/>
                <w:lang w:val="sr-Cyrl-RS"/>
              </w:rPr>
              <w:t>3</w:t>
            </w:r>
            <w:r w:rsidRPr="008E2FD8">
              <w:rPr>
                <w:rFonts w:cstheme="minorHAnsi"/>
                <w:bCs/>
                <w:sz w:val="16"/>
                <w:szCs w:val="72"/>
                <w:lang w:val="sr-Cyrl-RS"/>
              </w:rPr>
              <w:t xml:space="preserve"> Цена метала добијена као пондерисани просек цена бакра, алуминијума, руде гвожђа, калаја, никла, цинка, олова и уранијума.</w:t>
            </w:r>
          </w:p>
          <w:p w14:paraId="6B67BEE4" w14:textId="77777777" w:rsidR="007A529E" w:rsidRPr="008E2FD8" w:rsidRDefault="007A529E" w:rsidP="00CE729E">
            <w:pPr>
              <w:rPr>
                <w:rFonts w:cstheme="minorHAnsi"/>
                <w:bCs/>
                <w:sz w:val="16"/>
                <w:szCs w:val="72"/>
                <w:lang w:val="sr-Cyrl-RS"/>
              </w:rPr>
            </w:pPr>
            <w:r w:rsidRPr="008E2FD8">
              <w:rPr>
                <w:rFonts w:cstheme="minorHAnsi"/>
                <w:bCs/>
                <w:sz w:val="16"/>
                <w:szCs w:val="72"/>
                <w:vertAlign w:val="superscript"/>
                <w:lang w:val="sr-Cyrl-RS"/>
              </w:rPr>
              <w:t>4</w:t>
            </w:r>
            <w:r w:rsidRPr="008E2FD8">
              <w:rPr>
                <w:rFonts w:cstheme="minorHAnsi"/>
                <w:bCs/>
                <w:sz w:val="16"/>
                <w:szCs w:val="72"/>
                <w:lang w:val="sr-Cyrl-RS"/>
              </w:rPr>
              <w:t xml:space="preserve"> Цена руде гвожђа (садржај гвожђа од 62%) за увоз у Кини, лука Тиан Јан, у доларима по метричкој тони.</w:t>
            </w:r>
          </w:p>
        </w:tc>
      </w:tr>
    </w:tbl>
    <w:p w14:paraId="2630958E" w14:textId="77777777" w:rsidR="007A529E" w:rsidRPr="008E2FD8" w:rsidRDefault="007A529E" w:rsidP="00CE729E">
      <w:pPr>
        <w:rPr>
          <w:rFonts w:cstheme="minorHAnsi"/>
          <w:bCs/>
          <w:szCs w:val="72"/>
          <w:lang w:val="sr-Cyrl-RS"/>
        </w:rPr>
        <w:sectPr w:rsidR="007A529E" w:rsidRPr="008E2FD8" w:rsidSect="00CE729E">
          <w:headerReference w:type="even" r:id="rId12"/>
          <w:footerReference w:type="even" r:id="rId13"/>
          <w:footerReference w:type="default" r:id="rId14"/>
          <w:pgSz w:w="12240" w:h="15840"/>
          <w:pgMar w:top="1440" w:right="1440" w:bottom="1440" w:left="1440" w:header="708" w:footer="708" w:gutter="0"/>
          <w:cols w:space="708"/>
          <w:docGrid w:linePitch="360"/>
        </w:sectPr>
      </w:pPr>
    </w:p>
    <w:p w14:paraId="30E6202F" w14:textId="77777777" w:rsidR="007A529E" w:rsidRPr="008E2FD8" w:rsidRDefault="007A529E" w:rsidP="00CE729E">
      <w:pPr>
        <w:rPr>
          <w:rFonts w:cstheme="minorHAnsi"/>
          <w:bCs/>
          <w:szCs w:val="72"/>
          <w:lang w:val="sr-Cyrl-RS"/>
        </w:rPr>
      </w:pPr>
      <w:r w:rsidRPr="008E2FD8">
        <w:rPr>
          <w:rFonts w:cstheme="minorHAnsi"/>
          <w:bCs/>
          <w:szCs w:val="72"/>
          <w:lang w:val="sr-Cyrl-RS"/>
        </w:rPr>
        <w:t>Према априлским проценама ММФ, контракција глобалне економије у 2020. години се процењује на -3,3%, што је ревизија навише за 1,1 п.п. у односу на октобарску процену. Побољшани изгледи резултат су већег раста од очекиваног у другој половини године, због попуштања мера ограничења уведених услед пандемије</w:t>
      </w:r>
      <w:r w:rsidRPr="00CA0F8B">
        <w:rPr>
          <w:rFonts w:cstheme="minorHAnsi"/>
          <w:bCs/>
          <w:szCs w:val="72"/>
          <w:lang w:val="sr-Cyrl-RS"/>
        </w:rPr>
        <w:t xml:space="preserve">. </w:t>
      </w:r>
      <w:r w:rsidR="00921479" w:rsidRPr="00CA0F8B">
        <w:rPr>
          <w:rFonts w:cstheme="minorHAnsi"/>
          <w:bCs/>
          <w:szCs w:val="72"/>
          <w:lang w:val="sr-Cyrl-RS"/>
        </w:rPr>
        <w:t>У односу на извештај ММФ из октобра,</w:t>
      </w:r>
      <w:r w:rsidR="00921479" w:rsidRPr="00CA0F8B">
        <w:rPr>
          <w:rFonts w:cstheme="minorHAnsi"/>
          <w:bCs/>
          <w:szCs w:val="72"/>
          <w:lang w:val="en-GB"/>
        </w:rPr>
        <w:t xml:space="preserve"> </w:t>
      </w:r>
      <w:r w:rsidR="00921479" w:rsidRPr="00CA0F8B">
        <w:rPr>
          <w:rFonts w:cstheme="minorHAnsi"/>
          <w:bCs/>
          <w:szCs w:val="72"/>
          <w:lang w:val="sr-Cyrl-RS"/>
        </w:rPr>
        <w:t>п</w:t>
      </w:r>
      <w:r w:rsidRPr="00CA0F8B">
        <w:rPr>
          <w:rFonts w:cstheme="minorHAnsi"/>
          <w:bCs/>
          <w:szCs w:val="72"/>
          <w:lang w:val="sr-Cyrl-RS"/>
        </w:rPr>
        <w:t>ројекције раста за 2021. и 2022. годину такође су ревидиране навише за 0,8 п.п. и 0,2 п.п. респективно, одражавајући</w:t>
      </w:r>
      <w:r w:rsidRPr="008E2FD8">
        <w:rPr>
          <w:rFonts w:cstheme="minorHAnsi"/>
          <w:bCs/>
          <w:szCs w:val="72"/>
          <w:lang w:val="sr-Cyrl-RS"/>
        </w:rPr>
        <w:t xml:space="preserve"> додатну фискалну подршку појединих већих економија и очекивани опоравак у другој половини 2021. године као резултат вакцинације. У групи развијених земаља, брзина опоравка економске активности ће варирати између земаља услед разлика у одговору здравственог сектора на пандемију, флексибилности и прилагодљивости економске активности и стању у државама које је претходило кризи. Привреда САД ће у првој половини 2021. године достићи преткризни ниво из 2019. године, а додатни подстицај расту у наредне две године ће </w:t>
      </w:r>
      <w:r w:rsidRPr="008E2FD8">
        <w:rPr>
          <w:rFonts w:cstheme="minorHAnsi"/>
          <w:bCs/>
          <w:szCs w:val="72"/>
          <w:lang w:val="sr-Cyrl-RS"/>
        </w:rPr>
        <w:t>допринети и најављен план помоћи од 1,9 билиона долара. Раст привреде еврозоне и Уједињеног Краљевства за 2021. годину је ревидиран наниже због поновног увођења мера ограничења крајем 2020. године, а достизање преткризног нивоа се очекује тек у 2022. години. С друге стране, изгледи за земље у успону су ревидирани навише за 2021. годину, међутим подаци о набавци вакцина указују да већина становништва неће бити заштићена током 2021. године, те би чешће увођење мера ограничења могло утицати на раст ових земаља у средњем року. Такође, у средњем року се очекује успоравање глобалног раста, што је у складу и са предвиђеним тенденцијама у већини земаља.</w:t>
      </w:r>
    </w:p>
    <w:p w14:paraId="076D7C60" w14:textId="77777777" w:rsidR="007A529E" w:rsidRPr="008E2FD8" w:rsidRDefault="007A529E" w:rsidP="00CE729E">
      <w:pPr>
        <w:rPr>
          <w:rFonts w:cstheme="minorHAnsi"/>
          <w:bCs/>
          <w:szCs w:val="72"/>
          <w:lang w:val="sr-Cyrl-RS"/>
        </w:rPr>
      </w:pPr>
      <w:r w:rsidRPr="008E2FD8">
        <w:rPr>
          <w:rFonts w:cstheme="minorHAnsi"/>
          <w:bCs/>
          <w:szCs w:val="72"/>
          <w:lang w:val="sr-Cyrl-RS"/>
        </w:rPr>
        <w:t xml:space="preserve">Изгледи за азијске земље у развоју су ревидирани навише за 2021. годину, услед већег раста од очекиваног након што су мере ограничења укинуте у неким земљама, док је висок број заражених у другим државама (Индонезија и Малезија) ограничавајући фактор опоравка. Са </w:t>
      </w:r>
      <w:r w:rsidRPr="008E2FD8">
        <w:rPr>
          <w:rFonts w:cstheme="minorHAnsi"/>
          <w:bCs/>
          <w:szCs w:val="72"/>
          <w:lang w:val="sr-Cyrl-RS"/>
        </w:rPr>
        <w:lastRenderedPageBreak/>
        <w:t>друге стране, Кина је преткризни ниво раста достигла још у 2020. години, захваљујући ефективним мерама сузбијања пандемије и подршци централне банке и фискалне политике, а за 2021. годину пројекција раста је благо ревидирана навише. Иако су предвиђања за Русију коригована навише за 2021. годину, очекивања за наредни средњорочни период су слична као и код других земаља, те се очекује благо слабљење темпа економске активности. Након оштрог пада у 2020. години, за земље Латинске Америке раст је ревидиран навише за 2021–2022. годину, међутим недовољан број набављених вакцина може представљати препреку расту у средњорочном периоду. Пројекције за државе Блиског Истока и Централне Азије су углавном непромењене, али путања опоравка ће варирати у зависности од ситуације у појединим земљама, цене нафте као и тока пандемије и вакцинације.</w:t>
      </w:r>
    </w:p>
    <w:p w14:paraId="0E49256D" w14:textId="77777777" w:rsidR="007A529E" w:rsidRPr="008E2FD8" w:rsidRDefault="007A529E" w:rsidP="00CE729E">
      <w:pPr>
        <w:pStyle w:val="Caption"/>
        <w:keepNext/>
        <w:rPr>
          <w:rFonts w:cstheme="minorHAnsi"/>
          <w:b w:val="0"/>
          <w:i/>
          <w:iCs w:val="0"/>
          <w:szCs w:val="22"/>
          <w:lang w:val="sr-Cyrl-RS"/>
        </w:rPr>
      </w:pPr>
      <w:r w:rsidRPr="008E2FD8">
        <w:rPr>
          <w:rFonts w:cstheme="minorHAnsi"/>
          <w:iCs w:val="0"/>
          <w:szCs w:val="22"/>
          <w:lang w:val="sr-Cyrl-RS"/>
        </w:rPr>
        <w:t>Глобални економски раст, п.п.</w:t>
      </w:r>
    </w:p>
    <w:p w14:paraId="272D8311" w14:textId="77777777" w:rsidR="007A529E" w:rsidRPr="008E2FD8" w:rsidRDefault="007A529E" w:rsidP="00CE729E">
      <w:pPr>
        <w:rPr>
          <w:lang w:val="sr-Cyrl-RS"/>
        </w:rPr>
      </w:pPr>
      <w:r w:rsidRPr="008E2FD8">
        <w:rPr>
          <w:noProof/>
        </w:rPr>
        <w:drawing>
          <wp:inline distT="0" distB="0" distL="0" distR="0" wp14:anchorId="6FF371B8" wp14:editId="695EA3F1">
            <wp:extent cx="2743200" cy="2394000"/>
            <wp:effectExtent l="0" t="0" r="0" b="6350"/>
            <wp:docPr id="64" name="Chart 64">
              <a:extLst xmlns:a="http://schemas.openxmlformats.org/drawingml/2006/main">
                <a:ext uri="{FF2B5EF4-FFF2-40B4-BE49-F238E27FC236}">
                  <a16:creationId xmlns:a16="http://schemas.microsoft.com/office/drawing/2014/main" id="{00000000-0008-0000-06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p w14:paraId="1809ED0F" w14:textId="77777777" w:rsidR="007A529E" w:rsidRPr="008E2FD8" w:rsidRDefault="007A529E" w:rsidP="00CE729E">
      <w:pPr>
        <w:pStyle w:val="Caption"/>
        <w:jc w:val="both"/>
        <w:rPr>
          <w:rFonts w:cstheme="minorHAnsi"/>
          <w:b w:val="0"/>
          <w:bCs/>
          <w:iCs w:val="0"/>
          <w:color w:val="44546A" w:themeColor="text2"/>
          <w:szCs w:val="72"/>
          <w:lang w:val="sr-Cyrl-RS"/>
        </w:rPr>
      </w:pPr>
      <w:r w:rsidRPr="008E2FD8">
        <w:rPr>
          <w:rFonts w:cstheme="minorHAnsi"/>
          <w:b w:val="0"/>
          <w:bCs/>
          <w:iCs w:val="0"/>
          <w:color w:val="44546A" w:themeColor="text2"/>
          <w:szCs w:val="72"/>
          <w:lang w:val="sr-Cyrl-RS"/>
        </w:rPr>
        <w:t xml:space="preserve">Изгледи за инфлацију углавном одражавају наведене изгледе за раст и очекивано кретање цена примарних производа. У развијеним економијама инфлација ће благо расти са 1,6% у 2021. години, на 1,7% у 2022. години, након чега се предвиђа наставак благог раста у средњорочном периоду. Земље у успону ће, након раста цена од 4,9% у 2021. години, забележити благо успоравање инфлације у наредним годинама. Према априлским пројекцијама ММФ, очекује се да ће цена нафте у 2021. години износити 58,5 </w:t>
      </w:r>
      <w:r w:rsidRPr="008E2FD8">
        <w:rPr>
          <w:rFonts w:cstheme="minorHAnsi"/>
          <w:b w:val="0"/>
          <w:bCs/>
          <w:iCs w:val="0"/>
          <w:color w:val="44546A" w:themeColor="text2"/>
          <w:szCs w:val="72"/>
          <w:lang w:val="sr-Cyrl-RS"/>
        </w:rPr>
        <w:t>$/барел, што је повећање од 41,7% у односу на 2020. годину, након чега се очекује постепени пад.</w:t>
      </w:r>
    </w:p>
    <w:p w14:paraId="4FD80FAC" w14:textId="77777777" w:rsidR="007A529E" w:rsidRPr="008E2FD8" w:rsidRDefault="007A529E" w:rsidP="00CE729E">
      <w:pPr>
        <w:pStyle w:val="Caption"/>
        <w:keepNext/>
        <w:rPr>
          <w:rFonts w:cstheme="minorHAnsi"/>
          <w:b w:val="0"/>
          <w:i/>
          <w:iCs w:val="0"/>
          <w:szCs w:val="22"/>
          <w:lang w:val="sr-Cyrl-RS"/>
        </w:rPr>
      </w:pPr>
      <w:r w:rsidRPr="008E2FD8">
        <w:rPr>
          <w:rFonts w:cstheme="minorHAnsi"/>
          <w:iCs w:val="0"/>
          <w:szCs w:val="22"/>
          <w:lang w:val="sr-Cyrl-RS"/>
        </w:rPr>
        <w:t>Пројекција кретања цене нафте, УСД по барелу</w:t>
      </w:r>
    </w:p>
    <w:p w14:paraId="2EDE0E4E" w14:textId="77777777" w:rsidR="007A529E" w:rsidRPr="008E2FD8" w:rsidRDefault="007A529E" w:rsidP="00CE729E">
      <w:pPr>
        <w:rPr>
          <w:rFonts w:cstheme="minorHAnsi"/>
          <w:szCs w:val="72"/>
          <w:lang w:val="sr-Cyrl-RS"/>
        </w:rPr>
      </w:pPr>
      <w:r w:rsidRPr="008E2FD8">
        <w:rPr>
          <w:rFonts w:cstheme="minorHAnsi"/>
          <w:bCs/>
          <w:noProof/>
          <w:sz w:val="16"/>
          <w:szCs w:val="72"/>
        </w:rPr>
        <w:drawing>
          <wp:inline distT="0" distB="0" distL="0" distR="0" wp14:anchorId="6EC43761" wp14:editId="788D747A">
            <wp:extent cx="2836545" cy="1860606"/>
            <wp:effectExtent l="0" t="0" r="1905"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8173" cy="1861674"/>
                    </a:xfrm>
                    <a:prstGeom prst="rect">
                      <a:avLst/>
                    </a:prstGeom>
                    <a:noFill/>
                  </pic:spPr>
                </pic:pic>
              </a:graphicData>
            </a:graphic>
          </wp:inline>
        </w:drawing>
      </w: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p w14:paraId="17D7917E" w14:textId="77777777" w:rsidR="007A529E" w:rsidRPr="008E2FD8" w:rsidRDefault="007A529E" w:rsidP="00CE729E">
      <w:pPr>
        <w:rPr>
          <w:rFonts w:cstheme="minorHAnsi"/>
          <w:bCs/>
          <w:szCs w:val="72"/>
          <w:lang w:val="sr-Cyrl-RS"/>
        </w:rPr>
      </w:pPr>
      <w:r w:rsidRPr="008E2FD8">
        <w:rPr>
          <w:rFonts w:cstheme="minorHAnsi"/>
          <w:bCs/>
          <w:szCs w:val="72"/>
          <w:lang w:val="sr-Cyrl-RS"/>
        </w:rPr>
        <w:t>Пројектује се да ће цене основних метала забележити снажан раст од 32,1% у 2021. години вођен опоравком Кине, док се за наредни период предвиђа стабилизација и умерен пад цена. Након раста цене гвожђа од преко једне трећине у 2021. години пројектује се пад током наредне године и стагнација у средњем року. За цене житарица у 2021. години очекује се снажан раст, а потом пад у 2022. години и затим стагнација у средњорочном периоду. Каматна стопа на тромесечне депозите деноминоване у еврима остаће на непромењеном нивоу од -0,5% у 2021. и 2022. години, док ће стопа на шестомесечне депозите деноминоване у доларима износити 0,3% и 0,4%, респективно.</w:t>
      </w:r>
    </w:p>
    <w:p w14:paraId="43F5495E" w14:textId="77777777" w:rsidR="007A529E" w:rsidRPr="008E2FD8" w:rsidRDefault="007A529E" w:rsidP="00CE729E">
      <w:pPr>
        <w:pStyle w:val="Caption"/>
        <w:keepNext/>
        <w:rPr>
          <w:rFonts w:cstheme="minorHAnsi"/>
          <w:b w:val="0"/>
          <w:i/>
          <w:iCs w:val="0"/>
          <w:szCs w:val="22"/>
          <w:lang w:val="sr-Cyrl-RS"/>
        </w:rPr>
      </w:pPr>
      <w:r w:rsidRPr="008E2FD8">
        <w:rPr>
          <w:rFonts w:cstheme="minorHAnsi"/>
          <w:iCs w:val="0"/>
          <w:szCs w:val="22"/>
          <w:lang w:val="sr-Cyrl-RS"/>
        </w:rPr>
        <w:t>Кретање цена, индекси, 2014=100</w:t>
      </w:r>
    </w:p>
    <w:p w14:paraId="340C76A3" w14:textId="77777777" w:rsidR="007A529E" w:rsidRPr="008E2FD8" w:rsidRDefault="007A529E" w:rsidP="00CE729E">
      <w:pPr>
        <w:rPr>
          <w:lang w:val="sr-Cyrl-RS"/>
        </w:rPr>
      </w:pPr>
      <w:r w:rsidRPr="008E2FD8">
        <w:rPr>
          <w:noProof/>
        </w:rPr>
        <w:drawing>
          <wp:inline distT="0" distB="0" distL="0" distR="0" wp14:anchorId="65BA706B" wp14:editId="3C779BB4">
            <wp:extent cx="2743200" cy="1998000"/>
            <wp:effectExtent l="0" t="0" r="0" b="2540"/>
            <wp:docPr id="83" name="Chart 83">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p w14:paraId="5D301CBC" w14:textId="77777777" w:rsidR="007A529E" w:rsidRPr="008E2FD8" w:rsidRDefault="007A529E" w:rsidP="00D520B2">
      <w:pPr>
        <w:pStyle w:val="Caption"/>
        <w:keepNext/>
        <w:spacing w:after="40"/>
        <w:rPr>
          <w:rFonts w:cstheme="minorHAnsi"/>
          <w:b w:val="0"/>
          <w:i/>
          <w:iCs w:val="0"/>
          <w:szCs w:val="22"/>
          <w:lang w:val="sr-Cyrl-RS"/>
        </w:rPr>
      </w:pPr>
      <w:r w:rsidRPr="008E2FD8">
        <w:rPr>
          <w:rFonts w:cstheme="minorHAnsi"/>
          <w:iCs w:val="0"/>
          <w:szCs w:val="22"/>
          <w:lang w:val="sr-Cyrl-RS"/>
        </w:rPr>
        <w:lastRenderedPageBreak/>
        <w:t>Пројекција кретања цена, индекси, 2019=100</w:t>
      </w:r>
    </w:p>
    <w:p w14:paraId="19CB4A1E" w14:textId="77777777" w:rsidR="007A529E" w:rsidRPr="008E2FD8" w:rsidRDefault="007A529E" w:rsidP="00D520B2">
      <w:pPr>
        <w:spacing w:after="120"/>
        <w:rPr>
          <w:lang w:val="sr-Cyrl-RS"/>
        </w:rPr>
      </w:pPr>
      <w:r w:rsidRPr="008E2FD8">
        <w:rPr>
          <w:noProof/>
        </w:rPr>
        <w:drawing>
          <wp:inline distT="0" distB="0" distL="0" distR="0" wp14:anchorId="539D1245" wp14:editId="4BD2BEA7">
            <wp:extent cx="2743200" cy="1728000"/>
            <wp:effectExtent l="0" t="0" r="0" b="5715"/>
            <wp:docPr id="88" name="Chart 88">
              <a:extLst xmlns:a="http://schemas.openxmlformats.org/drawingml/2006/main">
                <a:ext uri="{FF2B5EF4-FFF2-40B4-BE49-F238E27FC236}">
                  <a16:creationId xmlns:a16="http://schemas.microsoft.com/office/drawing/2014/main" id="{00000000-0008-0000-02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6E71101" w14:textId="77777777" w:rsidR="007A529E" w:rsidRPr="008E2FD8" w:rsidRDefault="007A529E" w:rsidP="00CE729E">
      <w:pPr>
        <w:rPr>
          <w:rFonts w:cstheme="minorHAnsi"/>
          <w:szCs w:val="72"/>
          <w:lang w:val="sr-Cyrl-RS"/>
        </w:rPr>
      </w:pP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p w14:paraId="09841E5F" w14:textId="77777777" w:rsidR="007A529E" w:rsidRPr="008E2FD8" w:rsidRDefault="007A529E" w:rsidP="00D520B2">
      <w:pPr>
        <w:spacing w:after="120"/>
        <w:rPr>
          <w:rFonts w:cstheme="minorHAnsi"/>
          <w:bCs/>
          <w:szCs w:val="72"/>
          <w:lang w:val="sr-Cyrl-RS"/>
        </w:rPr>
      </w:pPr>
      <w:r w:rsidRPr="00475A0F">
        <w:rPr>
          <w:rFonts w:cstheme="minorHAnsi"/>
          <w:bCs/>
          <w:szCs w:val="72"/>
          <w:lang w:val="sr-Cyrl-RS"/>
        </w:rPr>
        <w:t xml:space="preserve">Систем федералних резерви САД (у даљем тексту: ФЕД) је у априлу </w:t>
      </w:r>
      <w:r w:rsidR="00141A18" w:rsidRPr="00475A0F">
        <w:rPr>
          <w:rFonts w:cstheme="minorHAnsi"/>
          <w:bCs/>
          <w:szCs w:val="72"/>
          <w:lang w:val="sr-Cyrl-RS"/>
        </w:rPr>
        <w:t xml:space="preserve">задржао </w:t>
      </w:r>
      <w:r w:rsidR="00EA00F6" w:rsidRPr="00475A0F">
        <w:rPr>
          <w:rFonts w:cstheme="minorHAnsi"/>
          <w:bCs/>
          <w:szCs w:val="72"/>
          <w:lang w:val="sr-Cyrl-RS"/>
        </w:rPr>
        <w:t>циљани распон за каматну стопу на нивоу од 0% до 0,25%</w:t>
      </w:r>
      <w:r w:rsidRPr="00475A0F">
        <w:rPr>
          <w:rFonts w:cstheme="minorHAnsi"/>
          <w:bCs/>
          <w:szCs w:val="72"/>
          <w:lang w:val="sr-Cyrl-RS"/>
        </w:rPr>
        <w:t>,</w:t>
      </w:r>
      <w:r w:rsidRPr="008E2FD8">
        <w:rPr>
          <w:rFonts w:cstheme="minorHAnsi"/>
          <w:bCs/>
          <w:szCs w:val="72"/>
          <w:lang w:val="sr-Cyrl-RS"/>
        </w:rPr>
        <w:t xml:space="preserve"> у складу са променом стратегије монетарне политике ка циљању просечне инфлације од 2%, што сигнализира да ће се основна каматна стопа задржати на ниском нивоу, све док се изгледи за раст не побољшају.</w:t>
      </w:r>
    </w:p>
    <w:p w14:paraId="2C8DCF2C" w14:textId="77777777" w:rsidR="007A529E" w:rsidRPr="008E2FD8" w:rsidRDefault="007A529E" w:rsidP="00D520B2">
      <w:pPr>
        <w:pStyle w:val="Caption"/>
        <w:keepNext/>
        <w:spacing w:after="40"/>
        <w:rPr>
          <w:rFonts w:cstheme="minorHAnsi"/>
          <w:iCs w:val="0"/>
          <w:spacing w:val="-2"/>
          <w:szCs w:val="22"/>
          <w:lang w:val="sr-Cyrl-RS"/>
        </w:rPr>
      </w:pPr>
      <w:r w:rsidRPr="008E2FD8">
        <w:rPr>
          <w:rFonts w:cstheme="minorHAnsi"/>
          <w:iCs w:val="0"/>
          <w:spacing w:val="-2"/>
          <w:szCs w:val="22"/>
          <w:lang w:val="sr-Cyrl-RS"/>
        </w:rPr>
        <w:t>Очекивана кретања референтне каматне стопе, %</w:t>
      </w:r>
    </w:p>
    <w:p w14:paraId="57518859" w14:textId="77777777" w:rsidR="007A529E" w:rsidRPr="008E2FD8" w:rsidRDefault="007A529E" w:rsidP="00D520B2">
      <w:pPr>
        <w:spacing w:after="120"/>
        <w:rPr>
          <w:lang w:val="sr-Cyrl-RS"/>
        </w:rPr>
      </w:pPr>
      <w:r w:rsidRPr="008E2FD8">
        <w:rPr>
          <w:noProof/>
        </w:rPr>
        <w:drawing>
          <wp:inline distT="0" distB="0" distL="0" distR="0" wp14:anchorId="6EE8E17C" wp14:editId="771F438F">
            <wp:extent cx="2743200" cy="1872000"/>
            <wp:effectExtent l="0" t="0" r="0" b="0"/>
            <wp:docPr id="89" name="Chart 89">
              <a:extLst xmlns:a="http://schemas.openxmlformats.org/drawingml/2006/main">
                <a:ext uri="{FF2B5EF4-FFF2-40B4-BE49-F238E27FC236}">
                  <a16:creationId xmlns:a16="http://schemas.microsoft.com/office/drawing/2014/main" id="{00000000-0008-0000-0400-000007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DE8B577" w14:textId="77777777" w:rsidR="007A529E" w:rsidRPr="008E2FD8" w:rsidRDefault="007A529E" w:rsidP="00CE729E">
      <w:pPr>
        <w:rPr>
          <w:rFonts w:cstheme="minorHAnsi"/>
          <w:szCs w:val="72"/>
          <w:lang w:val="sr-Cyrl-RS"/>
        </w:rPr>
      </w:pPr>
      <w:r w:rsidRPr="008E2FD8">
        <w:rPr>
          <w:rFonts w:cstheme="minorHAnsi"/>
          <w:bCs/>
          <w:sz w:val="16"/>
          <w:szCs w:val="72"/>
          <w:lang w:val="sr-Cyrl-RS"/>
        </w:rPr>
        <w:t xml:space="preserve">Извор: ММФ, </w:t>
      </w:r>
      <w:r w:rsidRPr="008E2FD8">
        <w:rPr>
          <w:rFonts w:cstheme="minorHAnsi"/>
          <w:bCs/>
          <w:i/>
          <w:sz w:val="16"/>
          <w:szCs w:val="72"/>
          <w:lang w:val="sr-Cyrl-RS"/>
        </w:rPr>
        <w:t>World Economic Outlook</w:t>
      </w:r>
      <w:r w:rsidRPr="008E2FD8">
        <w:rPr>
          <w:rFonts w:cstheme="minorHAnsi"/>
          <w:bCs/>
          <w:sz w:val="16"/>
          <w:szCs w:val="72"/>
          <w:lang w:val="sr-Cyrl-RS"/>
        </w:rPr>
        <w:t>, април 2021.</w:t>
      </w:r>
    </w:p>
    <w:p w14:paraId="13868F18" w14:textId="77777777" w:rsidR="007A529E" w:rsidRPr="008E2FD8" w:rsidRDefault="007A529E" w:rsidP="00CE729E">
      <w:pPr>
        <w:rPr>
          <w:rFonts w:cstheme="minorHAnsi"/>
          <w:bCs/>
          <w:szCs w:val="72"/>
          <w:lang w:val="sr-Cyrl-RS"/>
        </w:rPr>
      </w:pPr>
      <w:r w:rsidRPr="008E2FD8">
        <w:rPr>
          <w:rFonts w:cstheme="minorHAnsi"/>
          <w:bCs/>
          <w:szCs w:val="72"/>
          <w:lang w:val="sr-Cyrl-RS"/>
        </w:rPr>
        <w:t>Неизвесност око будућег тока пандемије је највећи ризик по пројекцију</w:t>
      </w:r>
      <w:r w:rsidR="00EE56DE" w:rsidRPr="008E2FD8">
        <w:rPr>
          <w:rFonts w:cstheme="minorHAnsi"/>
          <w:bCs/>
          <w:szCs w:val="72"/>
          <w:lang w:val="sr-Cyrl-RS"/>
        </w:rPr>
        <w:t xml:space="preserve"> раста ММФ</w:t>
      </w:r>
      <w:r w:rsidRPr="008E2FD8">
        <w:rPr>
          <w:rFonts w:cstheme="minorHAnsi"/>
          <w:bCs/>
          <w:szCs w:val="72"/>
          <w:lang w:val="sr-Cyrl-RS"/>
        </w:rPr>
        <w:t xml:space="preserve">. Појава нових сојева вируса, неповољни услови финансирања, продужени негативни утицај кризе, друштвени немири, геополитичке тензије као и учестале временске, климатске и природне непогоде, и даље су присутни као ризици по глобални раст и стабилност. Са друге стране, бржа производња, дистрибуција и примена вакцина, позитивни ефекти примене фискалних мера и правовремено координисана имплементација економских политика допринели би убрзању </w:t>
      </w:r>
      <w:r w:rsidRPr="008E2FD8">
        <w:rPr>
          <w:rFonts w:cstheme="minorHAnsi"/>
          <w:bCs/>
          <w:szCs w:val="72"/>
          <w:lang w:val="sr-Cyrl-RS"/>
        </w:rPr>
        <w:t>глобалног опоравка и нормализацији економске активности.</w:t>
      </w:r>
    </w:p>
    <w:p w14:paraId="2C2C3EBF" w14:textId="77777777" w:rsidR="007A529E" w:rsidRPr="008E2FD8" w:rsidRDefault="007A529E" w:rsidP="00CE729E">
      <w:pPr>
        <w:rPr>
          <w:b/>
          <w:color w:val="2F5496" w:themeColor="accent1" w:themeShade="BF"/>
          <w:lang w:val="sr-Cyrl-RS"/>
        </w:rPr>
      </w:pPr>
      <w:r w:rsidRPr="008E2FD8">
        <w:rPr>
          <w:b/>
          <w:color w:val="2F5496" w:themeColor="accent1" w:themeShade="BF"/>
          <w:lang w:val="sr-Cyrl-RS"/>
        </w:rPr>
        <w:t>Макроекономске процене ЕЦБ за подручје еврозоне</w:t>
      </w:r>
    </w:p>
    <w:p w14:paraId="386FF39D" w14:textId="77777777" w:rsidR="007A529E" w:rsidRPr="008E2FD8" w:rsidRDefault="007A529E" w:rsidP="009B49C0">
      <w:pPr>
        <w:rPr>
          <w:rFonts w:cstheme="minorHAnsi"/>
          <w:bCs/>
          <w:szCs w:val="72"/>
          <w:lang w:val="sr-Cyrl-RS"/>
        </w:rPr>
      </w:pPr>
      <w:r w:rsidRPr="008E2FD8">
        <w:rPr>
          <w:rFonts w:cstheme="minorHAnsi"/>
          <w:bCs/>
          <w:szCs w:val="72"/>
          <w:lang w:val="sr-Cyrl-RS"/>
        </w:rPr>
        <w:t xml:space="preserve">Према мартовским проценама Европске централне банке, очекује се пад економске активности еврозоне у првом кварталу 2021. године, услед увођења строгих мера ограничења као одговор на ширење вируса, уз благи опоравак у другом кварталу, а затим и снажан раст у другој половини године. Очекивана путања опоравка заснована је на претпоставци постепеног попуштања рестриктивних здравствених мера, уз истовремено спровођења масовне вакцинације. Опоравку ће допринети и раст иностране тражње, као и додатни </w:t>
      </w:r>
      <w:r w:rsidRPr="008E2FD8">
        <w:rPr>
          <w:rFonts w:cs="Times New Roman"/>
          <w:lang w:val="sr-Cyrl-RS"/>
        </w:rPr>
        <w:t>пакети</w:t>
      </w:r>
      <w:r w:rsidRPr="008E2FD8">
        <w:rPr>
          <w:rFonts w:cstheme="minorHAnsi"/>
          <w:bCs/>
          <w:szCs w:val="72"/>
          <w:lang w:val="sr-Cyrl-RS"/>
        </w:rPr>
        <w:t xml:space="preserve"> подршке фискалних и монетарних власти, те се очекује да ће реални БДП премашити преткризни ниво у другом кварталу 2022. године.</w:t>
      </w:r>
    </w:p>
    <w:p w14:paraId="39E199CA" w14:textId="77777777" w:rsidR="007A529E" w:rsidRPr="008E2FD8" w:rsidRDefault="007A529E" w:rsidP="009B49C0">
      <w:pPr>
        <w:rPr>
          <w:rFonts w:cs="Times New Roman"/>
          <w:lang w:val="sr-Cyrl-RS"/>
        </w:rPr>
      </w:pPr>
      <w:r w:rsidRPr="008E2FD8">
        <w:rPr>
          <w:rFonts w:cs="Times New Roman"/>
          <w:lang w:val="sr-Cyrl-RS"/>
        </w:rPr>
        <w:t>Према пројекцијама ЕЦБ, привреда еврозоне ће након пада од 6,9% у 2020. години забележити раст од 4,0% и 4,1% у 2021. и 2022. години, респективно. Приватна потрошња ће након оштрог пада од 8,0% у 2020. години забележити раст од 3,0% и 5,9% у 2021. и 2022. години, респективно, услед постепеног смањења неизвесности, те заокрета од тренутног тренда штедње становништва ка потрошњи. Очекивани раст тражње, повољни услови финансирања као и раст расположивог дохотка погураће како пословне, тако и стамбене инвестиције, па ће укупне инвестиције забележити раст од 5,5% и 5,9% у 2021. и 2022. години, респективно. Предвиђа се да ће услед раста спољне тражње и спољнотрговинска размена забележити опоравак у наредне две године, али ће након позитивног утицаја нето извоза на БДП у 2021. години, допринос углавном бити неутралан.</w:t>
      </w:r>
    </w:p>
    <w:p w14:paraId="1ED5A65D" w14:textId="77777777" w:rsidR="007A529E" w:rsidRPr="008E2FD8" w:rsidRDefault="007A529E" w:rsidP="009B49C0">
      <w:pPr>
        <w:rPr>
          <w:rFonts w:cstheme="minorHAnsi"/>
          <w:bCs/>
          <w:spacing w:val="-2"/>
          <w:szCs w:val="72"/>
          <w:lang w:val="sr-Cyrl-RS"/>
        </w:rPr>
      </w:pPr>
      <w:r w:rsidRPr="008E2FD8">
        <w:rPr>
          <w:rFonts w:cstheme="minorHAnsi"/>
          <w:bCs/>
          <w:spacing w:val="-2"/>
          <w:szCs w:val="72"/>
          <w:lang w:val="sr-Cyrl-RS"/>
        </w:rPr>
        <w:t xml:space="preserve">Са нормализацијом тржишта рада и напуштањем шема подршке запосленима, предвиђа се да ће стопа незапослености достићи врхунац у другом кварталу 2021. године, након чега ће пасти на 7,6% крајем 2023. године како се економија буде постепено опорављала. До краја периода пројекције, очекује се да ће се стопа незапослености и број запослених особа </w:t>
      </w:r>
      <w:r w:rsidRPr="008E2FD8">
        <w:rPr>
          <w:rFonts w:cstheme="minorHAnsi"/>
          <w:bCs/>
          <w:spacing w:val="-2"/>
          <w:szCs w:val="72"/>
          <w:lang w:val="sr-Cyrl-RS"/>
        </w:rPr>
        <w:lastRenderedPageBreak/>
        <w:t>приближити, али не и достићи, преткризне нивое. Такође, предвиђа се нешто бржи опоравак продуктивности рада у првој половини 2021. године, након чега ће се постепено ублажавати током остатка периода пројекције.</w:t>
      </w:r>
    </w:p>
    <w:p w14:paraId="055BF84F" w14:textId="77777777" w:rsidR="007A529E" w:rsidRPr="008E2FD8" w:rsidRDefault="007A529E" w:rsidP="009B49C0">
      <w:pPr>
        <w:rPr>
          <w:rFonts w:cstheme="minorHAnsi"/>
          <w:bCs/>
          <w:spacing w:val="-2"/>
          <w:szCs w:val="72"/>
          <w:lang w:val="sr-Cyrl-RS"/>
        </w:rPr>
      </w:pPr>
      <w:r w:rsidRPr="008E2FD8">
        <w:rPr>
          <w:rFonts w:cstheme="minorHAnsi"/>
          <w:bCs/>
          <w:spacing w:val="-2"/>
          <w:szCs w:val="72"/>
          <w:lang w:val="sr-Cyrl-RS"/>
        </w:rPr>
        <w:t>Очекују се значајне флуктуације инфлације у наредним кварталима, али у средњорочном периоду основни ценовни притисци би требало да остану ниски због слабе тражње, након чега се очекује постепено јачање у складу са економским опоравком. Спој утицаја недавног раста цена нафте и укидања привременог смањења стопе ПДВ у Немачкој указује на привремени раст стопе инфлације 2021. године која је ревидирана навише за 0,5 п.п. у поређењу са пројекцијама из децембра 2020. године. Очекује се да ће укупна инфлација нагло порасти са 0,3% у 2020. години на 1,5% у 2021. години, а затим пасти на 1,2% у 2022. години.</w:t>
      </w:r>
    </w:p>
    <w:p w14:paraId="34519CDB" w14:textId="77777777" w:rsidR="007A529E" w:rsidRPr="008E2FD8" w:rsidRDefault="007A529E" w:rsidP="009B49C0">
      <w:pPr>
        <w:rPr>
          <w:rFonts w:cstheme="minorHAnsi"/>
          <w:bCs/>
          <w:szCs w:val="72"/>
          <w:lang w:val="sr-Cyrl-RS"/>
        </w:rPr>
      </w:pPr>
      <w:r w:rsidRPr="008E2FD8">
        <w:rPr>
          <w:rStyle w:val="jlqj4b"/>
          <w:lang w:val="sr-Cyrl-RS"/>
        </w:rPr>
        <w:t xml:space="preserve">Након изразито експанзивне фискалне политике током 2020. године, очекује се да ће континуирана фискална подршка ублажити макроекономски утицај кризе изазване пандемијом и подржати </w:t>
      </w:r>
      <w:r w:rsidRPr="008E2FD8">
        <w:rPr>
          <w:rStyle w:val="jlqj4b"/>
          <w:lang w:val="sr-Cyrl-RS"/>
        </w:rPr>
        <w:t>даљи опоравак током 2021. године. Већина додатних мера је привремена и очекује се њихово укидање током 2022. године.</w:t>
      </w:r>
      <w:r w:rsidRPr="008E2FD8">
        <w:rPr>
          <w:lang w:val="sr-Cyrl-RS"/>
        </w:rPr>
        <w:t xml:space="preserve"> </w:t>
      </w:r>
      <w:r w:rsidRPr="008E2FD8">
        <w:rPr>
          <w:rStyle w:val="jlqj4b"/>
          <w:lang w:val="sr-Cyrl-RS"/>
        </w:rPr>
        <w:t>Након значајног фискалног дефицита у 2020. години од 7,2% БДП, предвиђа се да ће се фискални биланс еврозоне донекле побољшати у 2021. године на -6,1% БДП, да би се потом дефицит смањио на 3,1% , односно 2,4% БДП у 2022. и 2023. години, респективно. Предвиђа се да ће удео дуга у БДП у еврозони достићи врхунац 2021. године (98%), да би након тога почео благо да опада као резултат повољних разлика између каматних стопа и стопа економског раста које више него компензују, постојане, мада све мање примарне дефиците.</w:t>
      </w:r>
    </w:p>
    <w:p w14:paraId="39FB5334" w14:textId="77777777" w:rsidR="007A529E" w:rsidRPr="008E2FD8" w:rsidRDefault="007A529E" w:rsidP="00CE729E">
      <w:pPr>
        <w:spacing w:after="240"/>
        <w:rPr>
          <w:rStyle w:val="jlqj4b"/>
          <w:lang w:val="sr-Cyrl-RS"/>
        </w:rPr>
      </w:pPr>
      <w:r w:rsidRPr="008E2FD8">
        <w:rPr>
          <w:rStyle w:val="jlqj4b"/>
          <w:lang w:val="sr-Cyrl-RS"/>
        </w:rPr>
        <w:t xml:space="preserve">ЕЦБ је на састанку у априлу 2021. године </w:t>
      </w:r>
      <w:r w:rsidR="00141A18" w:rsidRPr="008E2FD8">
        <w:rPr>
          <w:rStyle w:val="jlqj4b"/>
          <w:lang w:val="sr-Cyrl-RS"/>
        </w:rPr>
        <w:t xml:space="preserve">задржала </w:t>
      </w:r>
      <w:r w:rsidRPr="008E2FD8">
        <w:rPr>
          <w:rStyle w:val="jlqj4b"/>
          <w:lang w:val="sr-Cyrl-RS"/>
        </w:rPr>
        <w:t>референтну каматну стопу на рекордно ниском нивоу од 0,00%, док је каматну стопу на кредитне и депозитне олакшице задржала на 0,25% и -0,50%, респективно. Савет гувернера ЕЦБ очекује да ће референтне каматне стопе остати на тренутном или нижем нивоу све док инфлација не достигне циљаних 2,0%.</w:t>
      </w:r>
    </w:p>
    <w:p w14:paraId="79B3BCF7" w14:textId="77777777" w:rsidR="007A529E" w:rsidRPr="008E2FD8" w:rsidRDefault="007A529E">
      <w:pPr>
        <w:rPr>
          <w:lang w:val="sr-Cyrl-RS"/>
        </w:rPr>
        <w:sectPr w:rsidR="007A529E" w:rsidRPr="008E2FD8" w:rsidSect="00CE729E">
          <w:type w:val="continuous"/>
          <w:pgSz w:w="12240" w:h="15840"/>
          <w:pgMar w:top="1440" w:right="1440" w:bottom="1440" w:left="1440" w:header="708" w:footer="708" w:gutter="0"/>
          <w:cols w:num="2" w:space="708"/>
          <w:docGrid w:linePitch="360"/>
        </w:sectPr>
      </w:pPr>
    </w:p>
    <w:tbl>
      <w:tblPr>
        <w:tblW w:w="5000" w:type="pct"/>
        <w:tblLook w:val="04A0" w:firstRow="1" w:lastRow="0" w:firstColumn="1" w:lastColumn="0" w:noHBand="0" w:noVBand="1"/>
      </w:tblPr>
      <w:tblGrid>
        <w:gridCol w:w="4448"/>
        <w:gridCol w:w="1228"/>
        <w:gridCol w:w="1229"/>
        <w:gridCol w:w="1229"/>
        <w:gridCol w:w="1226"/>
      </w:tblGrid>
      <w:tr w:rsidR="007A529E" w:rsidRPr="008E2FD8" w14:paraId="6CBE154F" w14:textId="77777777" w:rsidTr="00CE729E">
        <w:trPr>
          <w:trHeight w:val="300"/>
        </w:trPr>
        <w:tc>
          <w:tcPr>
            <w:tcW w:w="5000" w:type="pct"/>
            <w:gridSpan w:val="5"/>
            <w:tcBorders>
              <w:bottom w:val="single" w:sz="4" w:space="0" w:color="002060"/>
            </w:tcBorders>
            <w:shd w:val="clear" w:color="auto" w:fill="auto"/>
            <w:noWrap/>
            <w:vAlign w:val="bottom"/>
            <w:hideMark/>
          </w:tcPr>
          <w:p w14:paraId="7F655014" w14:textId="77777777" w:rsidR="007A529E" w:rsidRPr="008E2FD8" w:rsidRDefault="007A529E" w:rsidP="00CE729E">
            <w:pPr>
              <w:spacing w:after="0" w:line="240" w:lineRule="auto"/>
              <w:ind w:left="255"/>
              <w:jc w:val="center"/>
              <w:rPr>
                <w:rFonts w:cstheme="minorHAnsi"/>
                <w:color w:val="002060"/>
                <w:sz w:val="18"/>
                <w:lang w:val="sr-Cyrl-RS"/>
              </w:rPr>
            </w:pPr>
            <w:r w:rsidRPr="008E2FD8">
              <w:rPr>
                <w:b/>
                <w:color w:val="002060"/>
                <w:lang w:val="sr-Cyrl-RS"/>
              </w:rPr>
              <w:t>Табела 2. Макроекономске пројекције за подручје еврозоне, промена према истом периоду претходне године, %</w:t>
            </w:r>
          </w:p>
        </w:tc>
      </w:tr>
      <w:tr w:rsidR="007A529E" w:rsidRPr="008E2FD8" w14:paraId="2FA5B14A" w14:textId="77777777" w:rsidTr="00CE729E">
        <w:trPr>
          <w:trHeight w:val="227"/>
        </w:trPr>
        <w:tc>
          <w:tcPr>
            <w:tcW w:w="2395" w:type="pct"/>
            <w:tcBorders>
              <w:top w:val="single" w:sz="4" w:space="0" w:color="002060"/>
            </w:tcBorders>
            <w:shd w:val="clear" w:color="auto" w:fill="auto"/>
            <w:noWrap/>
            <w:vAlign w:val="center"/>
          </w:tcPr>
          <w:p w14:paraId="53447641" w14:textId="77777777" w:rsidR="007A529E" w:rsidRPr="008E2FD8" w:rsidRDefault="007A529E" w:rsidP="00CE729E">
            <w:pPr>
              <w:spacing w:after="0" w:line="240" w:lineRule="auto"/>
              <w:jc w:val="center"/>
              <w:rPr>
                <w:rFonts w:eastAsia="Times New Roman" w:cs="Times New Roman"/>
                <w:color w:val="002060"/>
                <w:sz w:val="18"/>
                <w:szCs w:val="18"/>
                <w:lang w:val="sr-Cyrl-RS"/>
              </w:rPr>
            </w:pPr>
          </w:p>
        </w:tc>
        <w:tc>
          <w:tcPr>
            <w:tcW w:w="651" w:type="pct"/>
            <w:tcBorders>
              <w:top w:val="single" w:sz="4" w:space="0" w:color="002060"/>
              <w:bottom w:val="single" w:sz="4" w:space="0" w:color="002060"/>
            </w:tcBorders>
            <w:shd w:val="clear" w:color="auto" w:fill="auto"/>
            <w:noWrap/>
            <w:vAlign w:val="center"/>
          </w:tcPr>
          <w:p w14:paraId="04796D84"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2020</w:t>
            </w:r>
          </w:p>
        </w:tc>
        <w:tc>
          <w:tcPr>
            <w:tcW w:w="652" w:type="pct"/>
            <w:tcBorders>
              <w:top w:val="single" w:sz="4" w:space="0" w:color="002060"/>
              <w:bottom w:val="single" w:sz="4" w:space="0" w:color="002060"/>
            </w:tcBorders>
            <w:shd w:val="clear" w:color="auto" w:fill="auto"/>
            <w:noWrap/>
            <w:vAlign w:val="center"/>
          </w:tcPr>
          <w:p w14:paraId="416B028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2021</w:t>
            </w:r>
          </w:p>
        </w:tc>
        <w:tc>
          <w:tcPr>
            <w:tcW w:w="652" w:type="pct"/>
            <w:tcBorders>
              <w:top w:val="single" w:sz="4" w:space="0" w:color="002060"/>
              <w:bottom w:val="single" w:sz="4" w:space="0" w:color="002060"/>
            </w:tcBorders>
            <w:shd w:val="clear" w:color="auto" w:fill="auto"/>
            <w:noWrap/>
            <w:vAlign w:val="center"/>
          </w:tcPr>
          <w:p w14:paraId="414C908B"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2022</w:t>
            </w:r>
          </w:p>
        </w:tc>
        <w:tc>
          <w:tcPr>
            <w:tcW w:w="651" w:type="pct"/>
            <w:tcBorders>
              <w:top w:val="single" w:sz="4" w:space="0" w:color="002060"/>
              <w:bottom w:val="single" w:sz="4" w:space="0" w:color="002060"/>
            </w:tcBorders>
            <w:shd w:val="clear" w:color="auto" w:fill="auto"/>
            <w:noWrap/>
            <w:vAlign w:val="center"/>
          </w:tcPr>
          <w:p w14:paraId="3151F160"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2023</w:t>
            </w:r>
          </w:p>
        </w:tc>
      </w:tr>
      <w:tr w:rsidR="007A529E" w:rsidRPr="008E2FD8" w14:paraId="28FFB533" w14:textId="77777777" w:rsidTr="00CE729E">
        <w:trPr>
          <w:trHeight w:val="227"/>
        </w:trPr>
        <w:tc>
          <w:tcPr>
            <w:tcW w:w="2395" w:type="pct"/>
            <w:shd w:val="clear" w:color="auto" w:fill="auto"/>
            <w:noWrap/>
            <w:vAlign w:val="bottom"/>
            <w:hideMark/>
          </w:tcPr>
          <w:p w14:paraId="028F2D51"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БДП</w:t>
            </w:r>
          </w:p>
        </w:tc>
        <w:tc>
          <w:tcPr>
            <w:tcW w:w="651" w:type="pct"/>
            <w:tcBorders>
              <w:top w:val="single" w:sz="4" w:space="0" w:color="002060"/>
            </w:tcBorders>
            <w:shd w:val="clear" w:color="auto" w:fill="auto"/>
            <w:noWrap/>
            <w:vAlign w:val="center"/>
            <w:hideMark/>
          </w:tcPr>
          <w:p w14:paraId="49CA303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-6,9</w:t>
            </w:r>
          </w:p>
        </w:tc>
        <w:tc>
          <w:tcPr>
            <w:tcW w:w="652" w:type="pct"/>
            <w:tcBorders>
              <w:top w:val="single" w:sz="4" w:space="0" w:color="002060"/>
            </w:tcBorders>
            <w:shd w:val="clear" w:color="auto" w:fill="FFFFFF" w:themeFill="background1"/>
            <w:noWrap/>
            <w:vAlign w:val="center"/>
            <w:hideMark/>
          </w:tcPr>
          <w:p w14:paraId="6CA8021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4,0</w:t>
            </w:r>
          </w:p>
        </w:tc>
        <w:tc>
          <w:tcPr>
            <w:tcW w:w="652" w:type="pct"/>
            <w:tcBorders>
              <w:top w:val="single" w:sz="4" w:space="0" w:color="002060"/>
            </w:tcBorders>
            <w:shd w:val="clear" w:color="auto" w:fill="auto"/>
            <w:noWrap/>
            <w:vAlign w:val="center"/>
            <w:hideMark/>
          </w:tcPr>
          <w:p w14:paraId="046472D1"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4,1</w:t>
            </w:r>
          </w:p>
        </w:tc>
        <w:tc>
          <w:tcPr>
            <w:tcW w:w="651" w:type="pct"/>
            <w:tcBorders>
              <w:top w:val="single" w:sz="4" w:space="0" w:color="002060"/>
            </w:tcBorders>
            <w:shd w:val="clear" w:color="auto" w:fill="auto"/>
            <w:noWrap/>
            <w:vAlign w:val="center"/>
            <w:hideMark/>
          </w:tcPr>
          <w:p w14:paraId="1C955C39"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2,1</w:t>
            </w:r>
          </w:p>
        </w:tc>
      </w:tr>
      <w:tr w:rsidR="007A529E" w:rsidRPr="008E2FD8" w14:paraId="60AC976E" w14:textId="77777777" w:rsidTr="00CE729E">
        <w:trPr>
          <w:trHeight w:val="227"/>
        </w:trPr>
        <w:tc>
          <w:tcPr>
            <w:tcW w:w="2395" w:type="pct"/>
            <w:shd w:val="clear" w:color="auto" w:fill="auto"/>
            <w:noWrap/>
            <w:vAlign w:val="bottom"/>
            <w:hideMark/>
          </w:tcPr>
          <w:p w14:paraId="74D72BBB" w14:textId="77777777" w:rsidR="007A529E" w:rsidRPr="008E2FD8" w:rsidRDefault="007A529E" w:rsidP="00CE729E">
            <w:pPr>
              <w:spacing w:after="0" w:line="240" w:lineRule="auto"/>
              <w:ind w:left="360" w:hanging="360"/>
              <w:rPr>
                <w:rFonts w:cstheme="minorHAnsi"/>
                <w:color w:val="002060"/>
                <w:sz w:val="18"/>
                <w:lang w:val="sr-Cyrl-RS"/>
              </w:rPr>
            </w:pPr>
            <w:r w:rsidRPr="008E2FD8">
              <w:rPr>
                <w:rFonts w:cstheme="minorHAnsi"/>
                <w:color w:val="002060"/>
                <w:sz w:val="18"/>
                <w:lang w:val="sr-Cyrl-RS"/>
              </w:rPr>
              <w:t>Лична потрошња</w:t>
            </w:r>
          </w:p>
        </w:tc>
        <w:tc>
          <w:tcPr>
            <w:tcW w:w="651" w:type="pct"/>
            <w:shd w:val="clear" w:color="auto" w:fill="auto"/>
            <w:noWrap/>
            <w:vAlign w:val="center"/>
            <w:hideMark/>
          </w:tcPr>
          <w:p w14:paraId="7DB5ACB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-8,0</w:t>
            </w:r>
          </w:p>
        </w:tc>
        <w:tc>
          <w:tcPr>
            <w:tcW w:w="652" w:type="pct"/>
            <w:shd w:val="clear" w:color="auto" w:fill="auto"/>
            <w:noWrap/>
            <w:vAlign w:val="center"/>
            <w:hideMark/>
          </w:tcPr>
          <w:p w14:paraId="3DAF545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3,0</w:t>
            </w:r>
          </w:p>
        </w:tc>
        <w:tc>
          <w:tcPr>
            <w:tcW w:w="652" w:type="pct"/>
            <w:shd w:val="clear" w:color="auto" w:fill="auto"/>
            <w:noWrap/>
            <w:vAlign w:val="center"/>
            <w:hideMark/>
          </w:tcPr>
          <w:p w14:paraId="0A42D364"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5,9</w:t>
            </w:r>
          </w:p>
        </w:tc>
        <w:tc>
          <w:tcPr>
            <w:tcW w:w="651" w:type="pct"/>
            <w:shd w:val="clear" w:color="auto" w:fill="auto"/>
            <w:noWrap/>
            <w:vAlign w:val="center"/>
            <w:hideMark/>
          </w:tcPr>
          <w:p w14:paraId="40B451A2"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2,1</w:t>
            </w:r>
          </w:p>
        </w:tc>
      </w:tr>
      <w:tr w:rsidR="007A529E" w:rsidRPr="008E2FD8" w14:paraId="794B429B" w14:textId="77777777" w:rsidTr="00CE729E">
        <w:trPr>
          <w:trHeight w:val="227"/>
        </w:trPr>
        <w:tc>
          <w:tcPr>
            <w:tcW w:w="2395" w:type="pct"/>
            <w:shd w:val="clear" w:color="auto" w:fill="auto"/>
            <w:noWrap/>
            <w:vAlign w:val="bottom"/>
            <w:hideMark/>
          </w:tcPr>
          <w:p w14:paraId="583A4029" w14:textId="77777777" w:rsidR="007A529E" w:rsidRPr="008E2FD8" w:rsidRDefault="007A529E" w:rsidP="00CE729E">
            <w:pPr>
              <w:spacing w:after="0" w:line="240" w:lineRule="auto"/>
              <w:ind w:left="360" w:hanging="360"/>
              <w:rPr>
                <w:rFonts w:cstheme="minorHAnsi"/>
                <w:color w:val="002060"/>
                <w:sz w:val="18"/>
                <w:lang w:val="sr-Cyrl-RS"/>
              </w:rPr>
            </w:pPr>
            <w:r w:rsidRPr="008E2FD8">
              <w:rPr>
                <w:rFonts w:cstheme="minorHAnsi"/>
                <w:color w:val="002060"/>
                <w:sz w:val="18"/>
                <w:lang w:val="sr-Cyrl-RS"/>
              </w:rPr>
              <w:t>Државна потрошња</w:t>
            </w:r>
          </w:p>
        </w:tc>
        <w:tc>
          <w:tcPr>
            <w:tcW w:w="651" w:type="pct"/>
            <w:shd w:val="clear" w:color="auto" w:fill="auto"/>
            <w:noWrap/>
            <w:vAlign w:val="center"/>
            <w:hideMark/>
          </w:tcPr>
          <w:p w14:paraId="4DBC3FA2"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1,0</w:t>
            </w:r>
          </w:p>
        </w:tc>
        <w:tc>
          <w:tcPr>
            <w:tcW w:w="652" w:type="pct"/>
            <w:shd w:val="clear" w:color="auto" w:fill="auto"/>
            <w:noWrap/>
            <w:vAlign w:val="center"/>
            <w:hideMark/>
          </w:tcPr>
          <w:p w14:paraId="49E2026B"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2,9</w:t>
            </w:r>
          </w:p>
        </w:tc>
        <w:tc>
          <w:tcPr>
            <w:tcW w:w="652" w:type="pct"/>
            <w:shd w:val="clear" w:color="auto" w:fill="auto"/>
            <w:noWrap/>
            <w:vAlign w:val="center"/>
            <w:hideMark/>
          </w:tcPr>
          <w:p w14:paraId="7E83912B"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0,1</w:t>
            </w:r>
          </w:p>
        </w:tc>
        <w:tc>
          <w:tcPr>
            <w:tcW w:w="651" w:type="pct"/>
            <w:shd w:val="clear" w:color="auto" w:fill="auto"/>
            <w:noWrap/>
            <w:vAlign w:val="center"/>
            <w:hideMark/>
          </w:tcPr>
          <w:p w14:paraId="186517B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1,1</w:t>
            </w:r>
          </w:p>
        </w:tc>
      </w:tr>
      <w:tr w:rsidR="007A529E" w:rsidRPr="008E2FD8" w14:paraId="75AF54C1" w14:textId="77777777" w:rsidTr="00CE729E">
        <w:trPr>
          <w:trHeight w:val="227"/>
        </w:trPr>
        <w:tc>
          <w:tcPr>
            <w:tcW w:w="2395" w:type="pct"/>
            <w:shd w:val="clear" w:color="auto" w:fill="auto"/>
            <w:noWrap/>
            <w:vAlign w:val="bottom"/>
            <w:hideMark/>
          </w:tcPr>
          <w:p w14:paraId="57473BED" w14:textId="77777777" w:rsidR="007A529E" w:rsidRPr="008E2FD8" w:rsidRDefault="007A529E" w:rsidP="00CE729E">
            <w:pPr>
              <w:spacing w:after="0" w:line="240" w:lineRule="auto"/>
              <w:ind w:left="360" w:hanging="360"/>
              <w:rPr>
                <w:rFonts w:cstheme="minorHAnsi"/>
                <w:color w:val="002060"/>
                <w:sz w:val="18"/>
                <w:lang w:val="sr-Cyrl-RS"/>
              </w:rPr>
            </w:pPr>
            <w:r w:rsidRPr="008E2FD8">
              <w:rPr>
                <w:rFonts w:cstheme="minorHAnsi"/>
                <w:color w:val="002060"/>
                <w:sz w:val="18"/>
                <w:lang w:val="sr-Cyrl-RS"/>
              </w:rPr>
              <w:t>Бруто инвестиције у основн</w:t>
            </w:r>
            <w:r w:rsidR="00D55D44" w:rsidRPr="008E2FD8">
              <w:rPr>
                <w:rFonts w:cstheme="minorHAnsi"/>
                <w:color w:val="002060"/>
                <w:sz w:val="18"/>
                <w:lang w:val="sr-Cyrl-RS"/>
              </w:rPr>
              <w:t>а средства</w:t>
            </w:r>
          </w:p>
        </w:tc>
        <w:tc>
          <w:tcPr>
            <w:tcW w:w="651" w:type="pct"/>
            <w:shd w:val="clear" w:color="auto" w:fill="auto"/>
            <w:noWrap/>
            <w:vAlign w:val="center"/>
            <w:hideMark/>
          </w:tcPr>
          <w:p w14:paraId="62D2EA9B"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-8,4</w:t>
            </w:r>
          </w:p>
        </w:tc>
        <w:tc>
          <w:tcPr>
            <w:tcW w:w="652" w:type="pct"/>
            <w:shd w:val="clear" w:color="auto" w:fill="auto"/>
            <w:noWrap/>
            <w:vAlign w:val="center"/>
            <w:hideMark/>
          </w:tcPr>
          <w:p w14:paraId="507F31A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5,5</w:t>
            </w:r>
          </w:p>
        </w:tc>
        <w:tc>
          <w:tcPr>
            <w:tcW w:w="652" w:type="pct"/>
            <w:shd w:val="clear" w:color="auto" w:fill="auto"/>
            <w:noWrap/>
            <w:vAlign w:val="center"/>
            <w:hideMark/>
          </w:tcPr>
          <w:p w14:paraId="3AA07204"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5,9</w:t>
            </w:r>
          </w:p>
        </w:tc>
        <w:tc>
          <w:tcPr>
            <w:tcW w:w="651" w:type="pct"/>
            <w:shd w:val="clear" w:color="auto" w:fill="auto"/>
            <w:noWrap/>
            <w:vAlign w:val="center"/>
            <w:hideMark/>
          </w:tcPr>
          <w:p w14:paraId="3842CC9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3,3</w:t>
            </w:r>
          </w:p>
        </w:tc>
      </w:tr>
      <w:tr w:rsidR="007A529E" w:rsidRPr="008E2FD8" w14:paraId="6CD08671" w14:textId="77777777" w:rsidTr="00CE729E">
        <w:trPr>
          <w:trHeight w:val="227"/>
        </w:trPr>
        <w:tc>
          <w:tcPr>
            <w:tcW w:w="2395" w:type="pct"/>
            <w:shd w:val="clear" w:color="auto" w:fill="auto"/>
            <w:noWrap/>
            <w:vAlign w:val="bottom"/>
            <w:hideMark/>
          </w:tcPr>
          <w:p w14:paraId="62536E24" w14:textId="77777777" w:rsidR="007A529E" w:rsidRPr="008E2FD8" w:rsidRDefault="007A529E" w:rsidP="00CE729E">
            <w:pPr>
              <w:spacing w:after="0" w:line="240" w:lineRule="auto"/>
              <w:ind w:left="360" w:hanging="360"/>
              <w:rPr>
                <w:rFonts w:cstheme="minorHAnsi"/>
                <w:color w:val="002060"/>
                <w:sz w:val="18"/>
                <w:lang w:val="sr-Cyrl-RS"/>
              </w:rPr>
            </w:pPr>
            <w:r w:rsidRPr="008E2FD8">
              <w:rPr>
                <w:rFonts w:cstheme="minorHAnsi"/>
                <w:color w:val="002060"/>
                <w:sz w:val="18"/>
                <w:lang w:val="sr-Cyrl-RS"/>
              </w:rPr>
              <w:t>Извоз</w:t>
            </w:r>
          </w:p>
        </w:tc>
        <w:tc>
          <w:tcPr>
            <w:tcW w:w="651" w:type="pct"/>
            <w:shd w:val="clear" w:color="auto" w:fill="auto"/>
            <w:noWrap/>
            <w:vAlign w:val="center"/>
            <w:hideMark/>
          </w:tcPr>
          <w:p w14:paraId="35B54900"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-10,5</w:t>
            </w:r>
          </w:p>
        </w:tc>
        <w:tc>
          <w:tcPr>
            <w:tcW w:w="652" w:type="pct"/>
            <w:shd w:val="clear" w:color="auto" w:fill="auto"/>
            <w:noWrap/>
            <w:vAlign w:val="center"/>
            <w:hideMark/>
          </w:tcPr>
          <w:p w14:paraId="06BE4A6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7,5</w:t>
            </w:r>
          </w:p>
        </w:tc>
        <w:tc>
          <w:tcPr>
            <w:tcW w:w="652" w:type="pct"/>
            <w:shd w:val="clear" w:color="auto" w:fill="auto"/>
            <w:noWrap/>
            <w:vAlign w:val="center"/>
            <w:hideMark/>
          </w:tcPr>
          <w:p w14:paraId="4D38731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5,5</w:t>
            </w:r>
          </w:p>
        </w:tc>
        <w:tc>
          <w:tcPr>
            <w:tcW w:w="651" w:type="pct"/>
            <w:shd w:val="clear" w:color="auto" w:fill="auto"/>
            <w:noWrap/>
            <w:vAlign w:val="center"/>
            <w:hideMark/>
          </w:tcPr>
          <w:p w14:paraId="09A3D289"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3,4</w:t>
            </w:r>
          </w:p>
        </w:tc>
      </w:tr>
      <w:tr w:rsidR="007A529E" w:rsidRPr="008E2FD8" w14:paraId="64BBEC9B" w14:textId="77777777" w:rsidTr="00CE729E">
        <w:trPr>
          <w:trHeight w:val="227"/>
        </w:trPr>
        <w:tc>
          <w:tcPr>
            <w:tcW w:w="2395" w:type="pct"/>
            <w:shd w:val="clear" w:color="auto" w:fill="auto"/>
            <w:noWrap/>
            <w:vAlign w:val="bottom"/>
            <w:hideMark/>
          </w:tcPr>
          <w:p w14:paraId="16C2917E" w14:textId="77777777" w:rsidR="007A529E" w:rsidRPr="008E2FD8" w:rsidRDefault="007A529E" w:rsidP="00CE729E">
            <w:pPr>
              <w:spacing w:after="0" w:line="240" w:lineRule="auto"/>
              <w:ind w:left="360" w:hanging="360"/>
              <w:rPr>
                <w:rFonts w:cstheme="minorHAnsi"/>
                <w:color w:val="002060"/>
                <w:sz w:val="18"/>
                <w:lang w:val="sr-Cyrl-RS"/>
              </w:rPr>
            </w:pPr>
            <w:r w:rsidRPr="008E2FD8">
              <w:rPr>
                <w:rFonts w:cstheme="minorHAnsi"/>
                <w:color w:val="002060"/>
                <w:sz w:val="18"/>
                <w:lang w:val="sr-Cyrl-RS"/>
              </w:rPr>
              <w:t>Увоз</w:t>
            </w:r>
          </w:p>
        </w:tc>
        <w:tc>
          <w:tcPr>
            <w:tcW w:w="651" w:type="pct"/>
            <w:shd w:val="clear" w:color="auto" w:fill="auto"/>
            <w:noWrap/>
            <w:vAlign w:val="center"/>
            <w:hideMark/>
          </w:tcPr>
          <w:p w14:paraId="41544CBD"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-10,0</w:t>
            </w:r>
          </w:p>
        </w:tc>
        <w:tc>
          <w:tcPr>
            <w:tcW w:w="652" w:type="pct"/>
            <w:shd w:val="clear" w:color="auto" w:fill="auto"/>
            <w:noWrap/>
            <w:vAlign w:val="center"/>
            <w:hideMark/>
          </w:tcPr>
          <w:p w14:paraId="5A10D0D1"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6,6</w:t>
            </w:r>
          </w:p>
        </w:tc>
        <w:tc>
          <w:tcPr>
            <w:tcW w:w="652" w:type="pct"/>
            <w:shd w:val="clear" w:color="auto" w:fill="auto"/>
            <w:noWrap/>
            <w:vAlign w:val="center"/>
            <w:hideMark/>
          </w:tcPr>
          <w:p w14:paraId="5227B9D1"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6,4</w:t>
            </w:r>
          </w:p>
        </w:tc>
        <w:tc>
          <w:tcPr>
            <w:tcW w:w="651" w:type="pct"/>
            <w:shd w:val="clear" w:color="auto" w:fill="auto"/>
            <w:noWrap/>
            <w:vAlign w:val="center"/>
            <w:hideMark/>
          </w:tcPr>
          <w:p w14:paraId="5910633C"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3,6</w:t>
            </w:r>
          </w:p>
        </w:tc>
      </w:tr>
      <w:tr w:rsidR="007A529E" w:rsidRPr="008E2FD8" w14:paraId="2929E3F3" w14:textId="77777777" w:rsidTr="00CE729E">
        <w:trPr>
          <w:trHeight w:val="227"/>
        </w:trPr>
        <w:tc>
          <w:tcPr>
            <w:tcW w:w="2395" w:type="pct"/>
            <w:shd w:val="clear" w:color="auto" w:fill="auto"/>
            <w:noWrap/>
            <w:vAlign w:val="bottom"/>
            <w:hideMark/>
          </w:tcPr>
          <w:p w14:paraId="1870E129"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Запосленост</w:t>
            </w:r>
          </w:p>
        </w:tc>
        <w:tc>
          <w:tcPr>
            <w:tcW w:w="651" w:type="pct"/>
            <w:shd w:val="clear" w:color="auto" w:fill="auto"/>
            <w:noWrap/>
            <w:vAlign w:val="center"/>
            <w:hideMark/>
          </w:tcPr>
          <w:p w14:paraId="3D7A961F"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-1,7</w:t>
            </w:r>
          </w:p>
        </w:tc>
        <w:tc>
          <w:tcPr>
            <w:tcW w:w="652" w:type="pct"/>
            <w:shd w:val="clear" w:color="auto" w:fill="auto"/>
            <w:noWrap/>
            <w:vAlign w:val="center"/>
            <w:hideMark/>
          </w:tcPr>
          <w:p w14:paraId="22DDEDE4"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-0,2</w:t>
            </w:r>
          </w:p>
        </w:tc>
        <w:tc>
          <w:tcPr>
            <w:tcW w:w="652" w:type="pct"/>
            <w:shd w:val="clear" w:color="auto" w:fill="auto"/>
            <w:noWrap/>
            <w:vAlign w:val="center"/>
            <w:hideMark/>
          </w:tcPr>
          <w:p w14:paraId="36FC1A5F"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1,3</w:t>
            </w:r>
          </w:p>
        </w:tc>
        <w:tc>
          <w:tcPr>
            <w:tcW w:w="651" w:type="pct"/>
            <w:shd w:val="clear" w:color="auto" w:fill="auto"/>
            <w:noWrap/>
            <w:vAlign w:val="center"/>
            <w:hideMark/>
          </w:tcPr>
          <w:p w14:paraId="008C807D"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1,0</w:t>
            </w:r>
          </w:p>
        </w:tc>
      </w:tr>
      <w:tr w:rsidR="007A529E" w:rsidRPr="008E2FD8" w14:paraId="4C34811B" w14:textId="77777777" w:rsidTr="00CE729E">
        <w:trPr>
          <w:trHeight w:val="227"/>
        </w:trPr>
        <w:tc>
          <w:tcPr>
            <w:tcW w:w="2395" w:type="pct"/>
            <w:shd w:val="clear" w:color="auto" w:fill="auto"/>
            <w:noWrap/>
            <w:vAlign w:val="bottom"/>
            <w:hideMark/>
          </w:tcPr>
          <w:p w14:paraId="471A9F05"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Стопа незапослености</w:t>
            </w:r>
          </w:p>
        </w:tc>
        <w:tc>
          <w:tcPr>
            <w:tcW w:w="651" w:type="pct"/>
            <w:shd w:val="clear" w:color="auto" w:fill="auto"/>
            <w:noWrap/>
            <w:vAlign w:val="center"/>
            <w:hideMark/>
          </w:tcPr>
          <w:p w14:paraId="63535B91"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7,8</w:t>
            </w:r>
          </w:p>
        </w:tc>
        <w:tc>
          <w:tcPr>
            <w:tcW w:w="652" w:type="pct"/>
            <w:shd w:val="clear" w:color="auto" w:fill="auto"/>
            <w:noWrap/>
            <w:vAlign w:val="center"/>
            <w:hideMark/>
          </w:tcPr>
          <w:p w14:paraId="0FECBC9E"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8,6</w:t>
            </w:r>
          </w:p>
        </w:tc>
        <w:tc>
          <w:tcPr>
            <w:tcW w:w="652" w:type="pct"/>
            <w:shd w:val="clear" w:color="auto" w:fill="auto"/>
            <w:noWrap/>
            <w:vAlign w:val="center"/>
            <w:hideMark/>
          </w:tcPr>
          <w:p w14:paraId="080CC54E"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8,1</w:t>
            </w:r>
          </w:p>
        </w:tc>
        <w:tc>
          <w:tcPr>
            <w:tcW w:w="651" w:type="pct"/>
            <w:shd w:val="clear" w:color="auto" w:fill="auto"/>
            <w:noWrap/>
            <w:vAlign w:val="center"/>
            <w:hideMark/>
          </w:tcPr>
          <w:p w14:paraId="6CF9F4E2"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7,6</w:t>
            </w:r>
          </w:p>
        </w:tc>
      </w:tr>
      <w:tr w:rsidR="007A529E" w:rsidRPr="008E2FD8" w14:paraId="3873624C" w14:textId="77777777" w:rsidTr="00CE729E">
        <w:trPr>
          <w:trHeight w:val="227"/>
        </w:trPr>
        <w:tc>
          <w:tcPr>
            <w:tcW w:w="2395" w:type="pct"/>
            <w:shd w:val="clear" w:color="auto" w:fill="auto"/>
            <w:noWrap/>
            <w:vAlign w:val="bottom"/>
            <w:hideMark/>
          </w:tcPr>
          <w:p w14:paraId="1549BE28"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Инфлација</w:t>
            </w:r>
          </w:p>
        </w:tc>
        <w:tc>
          <w:tcPr>
            <w:tcW w:w="651" w:type="pct"/>
            <w:shd w:val="clear" w:color="auto" w:fill="auto"/>
            <w:noWrap/>
            <w:vAlign w:val="center"/>
            <w:hideMark/>
          </w:tcPr>
          <w:p w14:paraId="4910B3BC"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0,3</w:t>
            </w:r>
          </w:p>
        </w:tc>
        <w:tc>
          <w:tcPr>
            <w:tcW w:w="652" w:type="pct"/>
            <w:shd w:val="clear" w:color="auto" w:fill="auto"/>
            <w:noWrap/>
            <w:vAlign w:val="center"/>
            <w:hideMark/>
          </w:tcPr>
          <w:p w14:paraId="20CC1DC6"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1,5</w:t>
            </w:r>
          </w:p>
        </w:tc>
        <w:tc>
          <w:tcPr>
            <w:tcW w:w="652" w:type="pct"/>
            <w:shd w:val="clear" w:color="auto" w:fill="auto"/>
            <w:noWrap/>
            <w:vAlign w:val="center"/>
            <w:hideMark/>
          </w:tcPr>
          <w:p w14:paraId="519EECAD"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1,2</w:t>
            </w:r>
          </w:p>
        </w:tc>
        <w:tc>
          <w:tcPr>
            <w:tcW w:w="651" w:type="pct"/>
            <w:shd w:val="clear" w:color="auto" w:fill="auto"/>
            <w:noWrap/>
            <w:vAlign w:val="center"/>
            <w:hideMark/>
          </w:tcPr>
          <w:p w14:paraId="58EA881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1,4</w:t>
            </w:r>
          </w:p>
        </w:tc>
      </w:tr>
      <w:tr w:rsidR="007A529E" w:rsidRPr="008E2FD8" w14:paraId="27E9D84F" w14:textId="77777777" w:rsidTr="00CE729E">
        <w:trPr>
          <w:trHeight w:val="227"/>
        </w:trPr>
        <w:tc>
          <w:tcPr>
            <w:tcW w:w="2395" w:type="pct"/>
            <w:shd w:val="clear" w:color="auto" w:fill="auto"/>
            <w:noWrap/>
            <w:vAlign w:val="bottom"/>
            <w:hideMark/>
          </w:tcPr>
          <w:p w14:paraId="3D8EE131"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Јединични трошкови рада</w:t>
            </w:r>
          </w:p>
        </w:tc>
        <w:tc>
          <w:tcPr>
            <w:tcW w:w="651" w:type="pct"/>
            <w:shd w:val="clear" w:color="auto" w:fill="auto"/>
            <w:noWrap/>
            <w:vAlign w:val="center"/>
            <w:hideMark/>
          </w:tcPr>
          <w:p w14:paraId="2D61D7A3"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4,7</w:t>
            </w:r>
          </w:p>
        </w:tc>
        <w:tc>
          <w:tcPr>
            <w:tcW w:w="652" w:type="pct"/>
            <w:shd w:val="clear" w:color="auto" w:fill="auto"/>
            <w:noWrap/>
            <w:vAlign w:val="center"/>
            <w:hideMark/>
          </w:tcPr>
          <w:p w14:paraId="1D9A62F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-0,3</w:t>
            </w:r>
          </w:p>
        </w:tc>
        <w:tc>
          <w:tcPr>
            <w:tcW w:w="652" w:type="pct"/>
            <w:shd w:val="clear" w:color="auto" w:fill="auto"/>
            <w:noWrap/>
            <w:vAlign w:val="center"/>
            <w:hideMark/>
          </w:tcPr>
          <w:p w14:paraId="46D30335"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-0,6</w:t>
            </w:r>
          </w:p>
        </w:tc>
        <w:tc>
          <w:tcPr>
            <w:tcW w:w="651" w:type="pct"/>
            <w:shd w:val="clear" w:color="auto" w:fill="auto"/>
            <w:noWrap/>
            <w:vAlign w:val="center"/>
            <w:hideMark/>
          </w:tcPr>
          <w:p w14:paraId="282ED68E"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1,2</w:t>
            </w:r>
          </w:p>
        </w:tc>
      </w:tr>
      <w:tr w:rsidR="007A529E" w:rsidRPr="008E2FD8" w14:paraId="5A201B37" w14:textId="77777777" w:rsidTr="00CE729E">
        <w:trPr>
          <w:trHeight w:val="227"/>
        </w:trPr>
        <w:tc>
          <w:tcPr>
            <w:tcW w:w="2395" w:type="pct"/>
            <w:shd w:val="clear" w:color="auto" w:fill="auto"/>
            <w:noWrap/>
            <w:vAlign w:val="bottom"/>
            <w:hideMark/>
          </w:tcPr>
          <w:p w14:paraId="511C168E"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Фискални резултат опште државе, % БДП</w:t>
            </w:r>
          </w:p>
        </w:tc>
        <w:tc>
          <w:tcPr>
            <w:tcW w:w="651" w:type="pct"/>
            <w:shd w:val="clear" w:color="auto" w:fill="auto"/>
            <w:noWrap/>
            <w:vAlign w:val="center"/>
            <w:hideMark/>
          </w:tcPr>
          <w:p w14:paraId="3D9A26D8"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-7,2</w:t>
            </w:r>
          </w:p>
        </w:tc>
        <w:tc>
          <w:tcPr>
            <w:tcW w:w="652" w:type="pct"/>
            <w:shd w:val="clear" w:color="auto" w:fill="auto"/>
            <w:noWrap/>
            <w:vAlign w:val="center"/>
            <w:hideMark/>
          </w:tcPr>
          <w:p w14:paraId="5DD0FD77"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-6,1</w:t>
            </w:r>
          </w:p>
        </w:tc>
        <w:tc>
          <w:tcPr>
            <w:tcW w:w="652" w:type="pct"/>
            <w:shd w:val="clear" w:color="auto" w:fill="auto"/>
            <w:noWrap/>
            <w:vAlign w:val="center"/>
            <w:hideMark/>
          </w:tcPr>
          <w:p w14:paraId="3598A5A2"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-3,1</w:t>
            </w:r>
          </w:p>
        </w:tc>
        <w:tc>
          <w:tcPr>
            <w:tcW w:w="651" w:type="pct"/>
            <w:shd w:val="clear" w:color="auto" w:fill="auto"/>
            <w:noWrap/>
            <w:vAlign w:val="center"/>
            <w:hideMark/>
          </w:tcPr>
          <w:p w14:paraId="3C1704CE"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-2,4</w:t>
            </w:r>
          </w:p>
        </w:tc>
      </w:tr>
      <w:tr w:rsidR="007A529E" w:rsidRPr="008E2FD8" w14:paraId="29421127" w14:textId="77777777" w:rsidTr="00CE729E">
        <w:trPr>
          <w:trHeight w:val="227"/>
        </w:trPr>
        <w:tc>
          <w:tcPr>
            <w:tcW w:w="2395" w:type="pct"/>
            <w:shd w:val="clear" w:color="auto" w:fill="auto"/>
            <w:noWrap/>
            <w:vAlign w:val="bottom"/>
            <w:hideMark/>
          </w:tcPr>
          <w:p w14:paraId="1CC0F8A8"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Бруто дуг опште државе, % БДП</w:t>
            </w:r>
          </w:p>
        </w:tc>
        <w:tc>
          <w:tcPr>
            <w:tcW w:w="651" w:type="pct"/>
            <w:shd w:val="clear" w:color="auto" w:fill="auto"/>
            <w:noWrap/>
            <w:vAlign w:val="center"/>
            <w:hideMark/>
          </w:tcPr>
          <w:p w14:paraId="320FF92F"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96,9</w:t>
            </w:r>
          </w:p>
        </w:tc>
        <w:tc>
          <w:tcPr>
            <w:tcW w:w="652" w:type="pct"/>
            <w:shd w:val="clear" w:color="auto" w:fill="auto"/>
            <w:noWrap/>
            <w:vAlign w:val="center"/>
            <w:hideMark/>
          </w:tcPr>
          <w:p w14:paraId="29D743BC"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98,2</w:t>
            </w:r>
          </w:p>
        </w:tc>
        <w:tc>
          <w:tcPr>
            <w:tcW w:w="652" w:type="pct"/>
            <w:shd w:val="clear" w:color="auto" w:fill="auto"/>
            <w:noWrap/>
            <w:vAlign w:val="center"/>
            <w:hideMark/>
          </w:tcPr>
          <w:p w14:paraId="424E5DF6"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96,1</w:t>
            </w:r>
          </w:p>
        </w:tc>
        <w:tc>
          <w:tcPr>
            <w:tcW w:w="651" w:type="pct"/>
            <w:shd w:val="clear" w:color="auto" w:fill="auto"/>
            <w:noWrap/>
            <w:vAlign w:val="center"/>
            <w:hideMark/>
          </w:tcPr>
          <w:p w14:paraId="537777F7"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95,1</w:t>
            </w:r>
          </w:p>
        </w:tc>
      </w:tr>
      <w:tr w:rsidR="007A529E" w:rsidRPr="008E2FD8" w14:paraId="6A11BF36" w14:textId="77777777" w:rsidTr="00CE729E">
        <w:trPr>
          <w:trHeight w:val="227"/>
        </w:trPr>
        <w:tc>
          <w:tcPr>
            <w:tcW w:w="2395" w:type="pct"/>
            <w:tcBorders>
              <w:bottom w:val="single" w:sz="4" w:space="0" w:color="002060"/>
            </w:tcBorders>
            <w:shd w:val="clear" w:color="auto" w:fill="auto"/>
            <w:noWrap/>
            <w:vAlign w:val="bottom"/>
            <w:hideMark/>
          </w:tcPr>
          <w:p w14:paraId="6698D783" w14:textId="77777777" w:rsidR="007A529E" w:rsidRPr="008E2FD8" w:rsidRDefault="007A529E" w:rsidP="00CE729E">
            <w:pPr>
              <w:spacing w:after="0" w:line="240" w:lineRule="auto"/>
              <w:ind w:left="255" w:hanging="360"/>
              <w:rPr>
                <w:rFonts w:cstheme="minorHAnsi"/>
                <w:color w:val="002060"/>
                <w:sz w:val="18"/>
                <w:lang w:val="sr-Cyrl-RS"/>
              </w:rPr>
            </w:pPr>
            <w:r w:rsidRPr="008E2FD8">
              <w:rPr>
                <w:rFonts w:cstheme="minorHAnsi"/>
                <w:color w:val="002060"/>
                <w:sz w:val="18"/>
                <w:lang w:val="sr-Cyrl-RS"/>
              </w:rPr>
              <w:t>Салдо текућег рачуна, %БДП</w:t>
            </w:r>
          </w:p>
        </w:tc>
        <w:tc>
          <w:tcPr>
            <w:tcW w:w="651" w:type="pct"/>
            <w:tcBorders>
              <w:bottom w:val="single" w:sz="4" w:space="0" w:color="002060"/>
            </w:tcBorders>
            <w:shd w:val="clear" w:color="auto" w:fill="auto"/>
            <w:noWrap/>
            <w:vAlign w:val="center"/>
            <w:hideMark/>
          </w:tcPr>
          <w:p w14:paraId="1090AE56"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2,2</w:t>
            </w:r>
          </w:p>
        </w:tc>
        <w:tc>
          <w:tcPr>
            <w:tcW w:w="652" w:type="pct"/>
            <w:tcBorders>
              <w:bottom w:val="single" w:sz="4" w:space="0" w:color="002060"/>
            </w:tcBorders>
            <w:shd w:val="clear" w:color="auto" w:fill="auto"/>
            <w:noWrap/>
            <w:vAlign w:val="center"/>
            <w:hideMark/>
          </w:tcPr>
          <w:p w14:paraId="197CC261"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2,0</w:t>
            </w:r>
          </w:p>
        </w:tc>
        <w:tc>
          <w:tcPr>
            <w:tcW w:w="652" w:type="pct"/>
            <w:tcBorders>
              <w:bottom w:val="single" w:sz="4" w:space="0" w:color="002060"/>
            </w:tcBorders>
            <w:shd w:val="clear" w:color="auto" w:fill="auto"/>
            <w:noWrap/>
            <w:vAlign w:val="center"/>
            <w:hideMark/>
          </w:tcPr>
          <w:p w14:paraId="6239D25C"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1,7</w:t>
            </w:r>
          </w:p>
        </w:tc>
        <w:tc>
          <w:tcPr>
            <w:tcW w:w="651" w:type="pct"/>
            <w:tcBorders>
              <w:bottom w:val="single" w:sz="4" w:space="0" w:color="002060"/>
            </w:tcBorders>
            <w:shd w:val="clear" w:color="auto" w:fill="auto"/>
            <w:noWrap/>
            <w:vAlign w:val="center"/>
            <w:hideMark/>
          </w:tcPr>
          <w:p w14:paraId="5F480C6E" w14:textId="77777777" w:rsidR="007A529E" w:rsidRPr="008E2FD8" w:rsidRDefault="007A529E" w:rsidP="00CE729E">
            <w:pPr>
              <w:spacing w:after="0" w:line="240" w:lineRule="auto"/>
              <w:jc w:val="center"/>
              <w:rPr>
                <w:rFonts w:cstheme="minorHAnsi"/>
                <w:color w:val="002060"/>
                <w:sz w:val="18"/>
                <w:lang w:val="sr-Cyrl-RS"/>
              </w:rPr>
            </w:pPr>
            <w:r w:rsidRPr="008E2FD8">
              <w:rPr>
                <w:rFonts w:cstheme="minorHAnsi"/>
                <w:color w:val="002060"/>
                <w:sz w:val="18"/>
                <w:lang w:val="sr-Cyrl-RS"/>
              </w:rPr>
              <w:t>1,7</w:t>
            </w:r>
          </w:p>
        </w:tc>
      </w:tr>
    </w:tbl>
    <w:p w14:paraId="45E15FFF" w14:textId="77777777" w:rsidR="009B49C0" w:rsidRPr="008E2FD8" w:rsidRDefault="007A529E">
      <w:pPr>
        <w:rPr>
          <w:sz w:val="16"/>
          <w:lang w:val="sr-Cyrl-RS"/>
        </w:rPr>
      </w:pPr>
      <w:r w:rsidRPr="008E2FD8">
        <w:rPr>
          <w:sz w:val="16"/>
          <w:lang w:val="sr-Cyrl-RS"/>
        </w:rPr>
        <w:t>Извор: Макроекономске пројекције стручњака ЕЦБ за подручје еврозоне, март 2021.</w:t>
      </w:r>
    </w:p>
    <w:p w14:paraId="722C8A42" w14:textId="77777777" w:rsidR="009B49C0" w:rsidRPr="008E2FD8" w:rsidRDefault="009B49C0">
      <w:pPr>
        <w:jc w:val="left"/>
        <w:rPr>
          <w:sz w:val="16"/>
          <w:lang w:val="sr-Cyrl-RS"/>
        </w:rPr>
      </w:pPr>
      <w:r w:rsidRPr="008E2FD8">
        <w:rPr>
          <w:sz w:val="16"/>
          <w:lang w:val="sr-Cyrl-RS"/>
        </w:rPr>
        <w:br w:type="page"/>
      </w:r>
    </w:p>
    <w:p w14:paraId="31C0F0E7" w14:textId="77777777" w:rsidR="007A529E" w:rsidRPr="008E2FD8" w:rsidRDefault="007A529E" w:rsidP="001476C8">
      <w:pPr>
        <w:pStyle w:val="Heading2"/>
        <w:jc w:val="center"/>
        <w:rPr>
          <w:rFonts w:asciiTheme="minorHAnsi" w:hAnsiTheme="minorHAnsi" w:cstheme="minorHAnsi"/>
          <w:b/>
          <w:sz w:val="24"/>
          <w:lang w:val="sr-Cyrl-RS"/>
        </w:rPr>
      </w:pPr>
      <w:bookmarkStart w:id="6" w:name="_Toc73364964"/>
      <w:r w:rsidRPr="008E2FD8">
        <w:rPr>
          <w:rFonts w:asciiTheme="minorHAnsi" w:hAnsiTheme="minorHAnsi" w:cstheme="minorHAnsi"/>
          <w:b/>
          <w:sz w:val="24"/>
          <w:lang w:val="sr-Cyrl-RS"/>
        </w:rPr>
        <w:lastRenderedPageBreak/>
        <w:t>3. Текућа макроекономска кретања у Републици Србији и изгледи</w:t>
      </w:r>
      <w:r w:rsidRPr="008E2FD8">
        <w:rPr>
          <w:rFonts w:asciiTheme="minorHAnsi" w:hAnsiTheme="minorHAnsi" w:cstheme="minorHAnsi"/>
          <w:b/>
          <w:sz w:val="24"/>
          <w:lang w:val="sr-Cyrl-RS"/>
        </w:rPr>
        <w:br w:type="textWrapping" w:clear="all"/>
        <w:t>за период 2022–2024. године</w:t>
      </w:r>
      <w:bookmarkEnd w:id="6"/>
    </w:p>
    <w:p w14:paraId="51E6892F" w14:textId="77777777" w:rsidR="007A529E" w:rsidRPr="008E2FD8" w:rsidRDefault="00057424" w:rsidP="00B435B3">
      <w:pPr>
        <w:rPr>
          <w:lang w:val="sr-Cyrl-RS"/>
        </w:rPr>
      </w:pPr>
      <w:r w:rsidRPr="008E2FD8">
        <w:rPr>
          <w:rFonts w:cstheme="minorHAnsi"/>
          <w:noProof/>
        </w:rPr>
        <mc:AlternateContent>
          <mc:Choice Requires="wps">
            <w:drawing>
              <wp:anchor distT="0" distB="0" distL="114300" distR="114300" simplePos="0" relativeHeight="251674112" behindDoc="1" locked="0" layoutInCell="1" allowOverlap="1" wp14:anchorId="056FCC59" wp14:editId="2CFF2E80">
                <wp:simplePos x="0" y="0"/>
                <wp:positionH relativeFrom="margin">
                  <wp:posOffset>-200025</wp:posOffset>
                </wp:positionH>
                <wp:positionV relativeFrom="paragraph">
                  <wp:posOffset>198754</wp:posOffset>
                </wp:positionV>
                <wp:extent cx="6334963" cy="6905625"/>
                <wp:effectExtent l="0" t="0" r="8890" b="9525"/>
                <wp:wrapNone/>
                <wp:docPr id="90" name="Rectangle 90"/>
                <wp:cNvGraphicFramePr/>
                <a:graphic xmlns:a="http://schemas.openxmlformats.org/drawingml/2006/main">
                  <a:graphicData uri="http://schemas.microsoft.com/office/word/2010/wordprocessingShape">
                    <wps:wsp>
                      <wps:cNvSpPr/>
                      <wps:spPr>
                        <a:xfrm>
                          <a:off x="0" y="0"/>
                          <a:ext cx="6334963" cy="6905625"/>
                        </a:xfrm>
                        <a:prstGeom prst="rect">
                          <a:avLst/>
                        </a:prstGeom>
                        <a:pattFill prst="pct25">
                          <a:fgClr>
                            <a:schemeClr val="bg1">
                              <a:lumMod val="85000"/>
                            </a:schemeClr>
                          </a:fgClr>
                          <a:bgClr>
                            <a:schemeClr val="bg1"/>
                          </a:bgClr>
                        </a:patt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31E389" id="Rectangle 90" o:spid="_x0000_s1026" style="position:absolute;margin-left:-15.75pt;margin-top:15.65pt;width:498.8pt;height:543.75pt;z-index:-251642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" fillcolor="#d8d8d8 [2732]" stroked="f" strokeweight="1pt">
                <v:fill r:id="rId10" o:title="" color2="white [3212]" type="pattern"/>
                <w10:wrap anchorx="margin"/>
              </v:rect>
            </w:pict>
          </mc:Fallback>
        </mc:AlternateContent>
      </w:r>
    </w:p>
    <w:p w14:paraId="1429C3EB" w14:textId="77777777" w:rsidR="007A529E" w:rsidRPr="008E2FD8" w:rsidRDefault="007A529E" w:rsidP="00B435B3">
      <w:pPr>
        <w:rPr>
          <w:lang w:val="sr-Cyrl-RS"/>
        </w:rPr>
        <w:sectPr w:rsidR="007A529E" w:rsidRPr="008E2FD8" w:rsidSect="00CE729E">
          <w:headerReference w:type="even" r:id="rId20"/>
          <w:headerReference w:type="default" r:id="rId21"/>
          <w:footerReference w:type="even" r:id="rId22"/>
          <w:footerReference w:type="default" r:id="rId23"/>
          <w:type w:val="continuous"/>
          <w:pgSz w:w="12240" w:h="15840" w:code="1"/>
          <w:pgMar w:top="1440" w:right="1440" w:bottom="1440" w:left="1440" w:header="720" w:footer="720" w:gutter="0"/>
          <w:cols w:space="720"/>
          <w:docGrid w:linePitch="360"/>
        </w:sectPr>
      </w:pPr>
    </w:p>
    <w:p w14:paraId="214DBACE" w14:textId="77777777" w:rsidR="007A529E" w:rsidRPr="008E2FD8" w:rsidRDefault="007A529E" w:rsidP="00CE729E">
      <w:pPr>
        <w:rPr>
          <w:rFonts w:cstheme="minorHAnsi"/>
          <w:color w:val="0070C0"/>
          <w:lang w:val="sr-Cyrl-RS"/>
        </w:rPr>
      </w:pPr>
      <w:r w:rsidRPr="008E2FD8">
        <w:rPr>
          <w:rFonts w:cstheme="minorHAnsi"/>
          <w:color w:val="0070C0"/>
          <w:lang w:val="sr-Cyrl-RS"/>
        </w:rPr>
        <w:t xml:space="preserve">Глобална криза која је погодила светску економију као последица пандемије коронавируса неминовно се одразила и на привреду Србије. </w:t>
      </w:r>
      <w:r w:rsidRPr="00475A0F">
        <w:rPr>
          <w:rFonts w:cstheme="minorHAnsi"/>
          <w:color w:val="0070C0"/>
          <w:lang w:val="sr-Cyrl-RS"/>
        </w:rPr>
        <w:t xml:space="preserve">Међутим, достигнута фискална равнотежа </w:t>
      </w:r>
      <w:r w:rsidR="00E45688" w:rsidRPr="00475A0F">
        <w:rPr>
          <w:rFonts w:cstheme="minorHAnsi"/>
          <w:color w:val="0070C0"/>
          <w:lang w:val="sr-Cyrl-RS"/>
        </w:rPr>
        <w:t xml:space="preserve">и ценовна </w:t>
      </w:r>
      <w:r w:rsidRPr="00475A0F">
        <w:rPr>
          <w:rFonts w:cstheme="minorHAnsi"/>
          <w:color w:val="0070C0"/>
          <w:lang w:val="sr-Cyrl-RS"/>
        </w:rPr>
        <w:t>и финансијска стабилност у претходном периоду</w:t>
      </w:r>
      <w:r w:rsidRPr="008E2FD8">
        <w:rPr>
          <w:rFonts w:cstheme="minorHAnsi"/>
          <w:color w:val="0070C0"/>
          <w:lang w:val="sr-Cyrl-RS"/>
        </w:rPr>
        <w:t xml:space="preserve"> омогућиле су креирање свеобухватног економског пакета подршке привреди и становништву у 2020. години вредног </w:t>
      </w:r>
      <w:r w:rsidRPr="00974CED">
        <w:rPr>
          <w:rFonts w:cstheme="minorHAnsi"/>
          <w:color w:val="0070C0"/>
          <w:lang w:val="sr-Cyrl-RS"/>
        </w:rPr>
        <w:t xml:space="preserve">12,9% БДП, </w:t>
      </w:r>
      <w:r w:rsidRPr="008E2FD8">
        <w:rPr>
          <w:rFonts w:cstheme="minorHAnsi"/>
          <w:color w:val="0070C0"/>
          <w:lang w:val="sr-Cyrl-RS"/>
        </w:rPr>
        <w:t>чиме је очувана макроекономска стабилност и створене основе за убрзани опоравак. Избегнут је сценарио драматичног пада БДП са којим су се суочиле многе земље. Тако је у 2020. години забележена контракција привреде од само 1,0% што представља један од најбољих резултата у Европи, да би већ у првом кварталу 2021. године економска активности п</w:t>
      </w:r>
      <w:r w:rsidR="009B49C0" w:rsidRPr="008E2FD8">
        <w:rPr>
          <w:rFonts w:cstheme="minorHAnsi"/>
          <w:color w:val="0070C0"/>
          <w:lang w:val="sr-Cyrl-RS"/>
        </w:rPr>
        <w:t>рестигла пред-пандемијски ниво.</w:t>
      </w:r>
    </w:p>
    <w:p w14:paraId="3E043FA9" w14:textId="77777777" w:rsidR="007A529E" w:rsidRPr="008E2FD8" w:rsidRDefault="007A529E" w:rsidP="00CE729E">
      <w:pPr>
        <w:rPr>
          <w:rFonts w:cstheme="minorHAnsi"/>
          <w:color w:val="0070C0"/>
          <w:lang w:val="sr-Cyrl-RS"/>
        </w:rPr>
      </w:pPr>
      <w:r w:rsidRPr="008E2FD8">
        <w:rPr>
          <w:rFonts w:cstheme="minorHAnsi"/>
          <w:color w:val="0070C0"/>
          <w:lang w:val="sr-Cyrl-RS"/>
        </w:rPr>
        <w:t>Успех економског пакета верификован је изостанком негативних ефекта пандемије на тржиште рада. Очувана су радна места и зараде, како у приватном тако и у јавном сектору, а сценарио повећања незапослености крајем 2020. и почетком 2021. године је избегнут</w:t>
      </w:r>
      <w:r w:rsidR="007E131A" w:rsidRPr="008E2FD8">
        <w:rPr>
          <w:rFonts w:cstheme="minorHAnsi"/>
          <w:color w:val="0070C0"/>
          <w:lang w:val="sr-Cyrl-RS"/>
        </w:rPr>
        <w:t xml:space="preserve">. </w:t>
      </w:r>
      <w:r w:rsidRPr="008E2FD8">
        <w:rPr>
          <w:rFonts w:cstheme="minorHAnsi"/>
          <w:color w:val="0070C0"/>
          <w:lang w:val="sr-Cyrl-RS"/>
        </w:rPr>
        <w:t>Истовремено, повећање плата и пензија није угрозило успостављену макроекономску равнотежу и допринело је бржем опоравку домаће тражње. Поред тога, активним учешћем у социо-економском дијалогу повећана је и минимална цене рада на начин који не оптерећује додатно привреду и не угрожава њену конкурентност, а са интенцијом да се обезбеди инклузивни привредни раст и креира амбијент социјалне кохезије.</w:t>
      </w:r>
    </w:p>
    <w:p w14:paraId="440B1388" w14:textId="77777777" w:rsidR="007A529E" w:rsidRPr="008E2FD8" w:rsidRDefault="007A529E" w:rsidP="00CE729E">
      <w:pPr>
        <w:rPr>
          <w:rFonts w:cstheme="minorHAnsi"/>
          <w:color w:val="0070C0"/>
          <w:lang w:val="sr-Cyrl-RS"/>
        </w:rPr>
      </w:pPr>
      <w:r w:rsidRPr="008E2FD8">
        <w:rPr>
          <w:rFonts w:cstheme="minorHAnsi"/>
          <w:color w:val="0070C0"/>
          <w:lang w:val="sr-Cyrl-RS"/>
        </w:rPr>
        <w:t xml:space="preserve">Почетком 2021. године Влада је креирала додатни фискални пакет подршке привреди и становништву у вредности </w:t>
      </w:r>
      <w:r w:rsidRPr="00974CED">
        <w:rPr>
          <w:rFonts w:cstheme="minorHAnsi"/>
          <w:color w:val="0070C0"/>
          <w:lang w:val="sr-Cyrl-RS"/>
        </w:rPr>
        <w:t xml:space="preserve">од 4,5% БДП </w:t>
      </w:r>
      <w:r w:rsidRPr="008E2FD8">
        <w:rPr>
          <w:rFonts w:cstheme="minorHAnsi"/>
          <w:color w:val="0070C0"/>
          <w:lang w:val="sr-Cyrl-RS"/>
        </w:rPr>
        <w:t xml:space="preserve">и обезбедила додатни фискални простор намењен већим капиталним улагањима. Истовремено, успешан процес имунизације становништва, уз </w:t>
      </w:r>
      <w:r w:rsidRPr="008E2FD8">
        <w:rPr>
          <w:rFonts w:cstheme="minorHAnsi"/>
          <w:color w:val="0070C0"/>
          <w:lang w:val="sr-Cyrl-RS"/>
        </w:rPr>
        <w:t>обезбеђену доступност вакцина свим старосним групама, у значајној мери утиче на побољшање епидемиолошке ситуације и постепено попуштање рестриктивних мера. На тај начин стварају се предуслови и за потпуни опоравак појединих услужних делатности које су највише биле погођене епидемијом попут туризма, угоститељства, забавних и рекреативних услуга, али и за додатно убрзање раста осталих делова привреде, а посебно индустрије и грађевинарства.</w:t>
      </w:r>
    </w:p>
    <w:p w14:paraId="77F919C6" w14:textId="77777777" w:rsidR="007A529E" w:rsidRPr="008E2FD8" w:rsidRDefault="007A529E" w:rsidP="00031215">
      <w:pPr>
        <w:rPr>
          <w:rFonts w:cstheme="minorHAnsi"/>
          <w:color w:val="0070C0"/>
          <w:lang w:val="sr-Cyrl-RS"/>
        </w:rPr>
      </w:pPr>
      <w:r w:rsidRPr="008E2FD8">
        <w:rPr>
          <w:rFonts w:cstheme="minorHAnsi"/>
          <w:color w:val="0070C0"/>
          <w:lang w:val="sr-Cyrl-RS"/>
        </w:rPr>
        <w:t xml:space="preserve">Правовремено спровођење пакета економске помоћи привреди и становништву утицало је на фискалну позицију земље и привремено </w:t>
      </w:r>
      <w:r w:rsidR="00141A18" w:rsidRPr="008E2FD8">
        <w:rPr>
          <w:rFonts w:cstheme="minorHAnsi"/>
          <w:color w:val="0070C0"/>
          <w:lang w:val="sr-Cyrl-RS"/>
        </w:rPr>
        <w:t xml:space="preserve">повећање фискалног дефицита и </w:t>
      </w:r>
      <w:r w:rsidRPr="008E2FD8">
        <w:rPr>
          <w:rFonts w:cstheme="minorHAnsi"/>
          <w:color w:val="0070C0"/>
          <w:lang w:val="sr-Cyrl-RS"/>
        </w:rPr>
        <w:t>јавног дуга.</w:t>
      </w:r>
      <w:r w:rsidRPr="008E2FD8">
        <w:rPr>
          <w:rFonts w:cstheme="minorHAnsi"/>
          <w:color w:val="FF0000"/>
          <w:lang w:val="sr-Cyrl-RS"/>
        </w:rPr>
        <w:t xml:space="preserve"> </w:t>
      </w:r>
      <w:r w:rsidRPr="008E2FD8">
        <w:rPr>
          <w:rFonts w:cstheme="minorHAnsi"/>
          <w:color w:val="0070C0"/>
          <w:lang w:val="sr-Cyrl-RS"/>
        </w:rPr>
        <w:t>Међутим, повећана експанзивност фискалне политике није нарушила одрживост јавних финансија. Истовремено, адекватна и правовремена реакција монетарне политике обезбедила је довољну ликвидност становништву и привреди, уз стабилно и предвидиво кретање инфлације и релативну стабилност девизног курса.</w:t>
      </w:r>
    </w:p>
    <w:p w14:paraId="2A5ECB2D" w14:textId="77777777" w:rsidR="007A529E" w:rsidRPr="008E2FD8" w:rsidRDefault="007A529E" w:rsidP="00031215">
      <w:pPr>
        <w:rPr>
          <w:rFonts w:cstheme="minorHAnsi"/>
          <w:color w:val="0070C0"/>
          <w:lang w:val="sr-Cyrl-RS"/>
        </w:rPr>
        <w:sectPr w:rsidR="007A529E" w:rsidRPr="008E2FD8" w:rsidSect="00CE5657">
          <w:type w:val="continuous"/>
          <w:pgSz w:w="12240" w:h="15840"/>
          <w:pgMar w:top="1440" w:right="1440" w:bottom="1440" w:left="1440" w:header="720" w:footer="720" w:gutter="0"/>
          <w:cols w:num="2" w:space="720"/>
          <w:docGrid w:linePitch="360"/>
          <w15:footnoteColumns w:val="1"/>
        </w:sectPr>
      </w:pPr>
      <w:r w:rsidRPr="008E2FD8">
        <w:rPr>
          <w:rFonts w:cstheme="minorHAnsi"/>
          <w:color w:val="0070C0"/>
          <w:lang w:val="sr-Cyrl-RS"/>
        </w:rPr>
        <w:t>Мере које у свом фокусу имају ублажавање последица епидемије остају приоритет креатора економске политике и у наредном периоду. Поред тога, напори су усмерени на интензивирање реформских процеса, како би се обезбедио континуитет побољшања привредног окружења, напретка на међународним листама конкурентности и даљег подизања кредитног рејтинга земље. Препозната је неопходност проналажења нових извора раста, па су иновације, истраживање и развој и креативне индустрије у сталном фокусу приликом дефинисања будућих политика. Како би се подржао економски раст и о</w:t>
      </w:r>
      <w:r w:rsidR="00CF2EFE" w:rsidRPr="008E2FD8">
        <w:rPr>
          <w:rFonts w:cstheme="minorHAnsi"/>
          <w:color w:val="0070C0"/>
          <w:lang w:val="sr-Cyrl-RS"/>
        </w:rPr>
        <w:t>сигурао одрживији и еколошки при</w:t>
      </w:r>
      <w:r w:rsidRPr="008E2FD8">
        <w:rPr>
          <w:rFonts w:cstheme="minorHAnsi"/>
          <w:color w:val="0070C0"/>
          <w:lang w:val="sr-Cyrl-RS"/>
        </w:rPr>
        <w:t>хватљивији развој један од приоритета Владе биће и имплементација зелених пројеката и подршка програму зеленог раста.</w:t>
      </w:r>
    </w:p>
    <w:p w14:paraId="11A535C6" w14:textId="77777777" w:rsidR="007A529E" w:rsidRPr="008E2FD8" w:rsidRDefault="007A529E" w:rsidP="00031215">
      <w:pPr>
        <w:rPr>
          <w:rFonts w:cstheme="minorHAnsi"/>
          <w:color w:val="0070C0"/>
          <w:lang w:val="sr-Cyrl-RS"/>
        </w:rPr>
      </w:pPr>
    </w:p>
    <w:p w14:paraId="0A0C97CB" w14:textId="77777777" w:rsidR="007A529E" w:rsidRPr="008E2FD8" w:rsidRDefault="007A529E">
      <w:pPr>
        <w:jc w:val="left"/>
        <w:rPr>
          <w:rFonts w:cstheme="minorHAnsi"/>
          <w:b/>
          <w:color w:val="002060"/>
          <w:spacing w:val="-6"/>
          <w:lang w:val="sr-Cyrl-RS"/>
        </w:rPr>
      </w:pPr>
      <w:r w:rsidRPr="008E2FD8">
        <w:rPr>
          <w:rFonts w:cstheme="minorHAnsi"/>
          <w:color w:val="002060"/>
          <w:spacing w:val="-6"/>
          <w:lang w:val="sr-Cyrl-RS"/>
        </w:rPr>
        <w:br w:type="page"/>
      </w:r>
    </w:p>
    <w:p w14:paraId="2027F654" w14:textId="77777777" w:rsidR="007A529E" w:rsidRPr="008E2FD8" w:rsidRDefault="007A529E" w:rsidP="00B435B3">
      <w:pPr>
        <w:pStyle w:val="NoSpacing"/>
        <w:jc w:val="center"/>
        <w:rPr>
          <w:rFonts w:cstheme="minorHAnsi"/>
          <w:color w:val="002060"/>
          <w:spacing w:val="-6"/>
          <w:lang w:val="sr-Cyrl-RS"/>
        </w:rPr>
      </w:pPr>
      <w:r w:rsidRPr="008E2FD8">
        <w:rPr>
          <w:rFonts w:cstheme="minorHAnsi"/>
          <w:color w:val="002060"/>
          <w:spacing w:val="-6"/>
          <w:lang w:val="sr-Cyrl-RS"/>
        </w:rPr>
        <w:lastRenderedPageBreak/>
        <w:t>Ревизија кретања основних макроекономских агрегата у односу на претходну Фискалну стратегију</w:t>
      </w:r>
    </w:p>
    <w:p w14:paraId="3821B51B" w14:textId="77777777" w:rsidR="007A529E" w:rsidRPr="008E2FD8" w:rsidRDefault="007A529E" w:rsidP="00B435B3">
      <w:pPr>
        <w:spacing w:after="0"/>
        <w:rPr>
          <w:color w:val="002060"/>
          <w:sz w:val="10"/>
          <w:lang w:val="sr-Cyrl-RS"/>
        </w:rPr>
      </w:pPr>
    </w:p>
    <w:p w14:paraId="002D9651" w14:textId="77777777" w:rsidR="007A529E" w:rsidRPr="008E2FD8" w:rsidRDefault="007A529E" w:rsidP="00B435B3">
      <w:pPr>
        <w:jc w:val="center"/>
        <w:rPr>
          <w:b/>
          <w:color w:val="002060"/>
          <w:szCs w:val="21"/>
          <w:lang w:val="sr-Cyrl-RS"/>
        </w:rPr>
      </w:pPr>
      <w:r w:rsidRPr="008E2FD8">
        <w:rPr>
          <w:b/>
          <w:color w:val="002060"/>
          <w:szCs w:val="21"/>
          <w:lang w:val="sr-Cyrl-RS"/>
        </w:rPr>
        <w:t>Реални раст БДП, %</w:t>
      </w:r>
    </w:p>
    <w:p w14:paraId="6FEC5C2B" w14:textId="77777777" w:rsidR="007A529E" w:rsidRPr="008E2FD8" w:rsidRDefault="007A529E" w:rsidP="00B435B3">
      <w:pPr>
        <w:spacing w:after="0"/>
        <w:rPr>
          <w:lang w:val="sr-Cyrl-RS"/>
        </w:rPr>
      </w:pPr>
      <w:r w:rsidRPr="008E2FD8">
        <w:rPr>
          <w:noProof/>
        </w:rPr>
        <w:drawing>
          <wp:inline distT="0" distB="0" distL="0" distR="0" wp14:anchorId="54A7B8DE" wp14:editId="416C0AB8">
            <wp:extent cx="1332000" cy="1224000"/>
            <wp:effectExtent l="0" t="0" r="0" b="0"/>
            <wp:docPr id="93" name="Chart 93">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r w:rsidRPr="008E2FD8">
        <w:rPr>
          <w:lang w:val="sr-Cyrl-RS"/>
        </w:rPr>
        <w:t xml:space="preserve">  </w:t>
      </w:r>
      <w:r w:rsidRPr="008E2FD8">
        <w:rPr>
          <w:noProof/>
        </w:rPr>
        <w:drawing>
          <wp:inline distT="0" distB="0" distL="0" distR="0" wp14:anchorId="68E40829" wp14:editId="0F1A0C80">
            <wp:extent cx="1332000" cy="1224000"/>
            <wp:effectExtent l="0" t="0" r="1905" b="0"/>
            <wp:docPr id="94" name="Chart 94">
              <a:extLst xmlns:a="http://schemas.openxmlformats.org/drawingml/2006/main">
                <a:ext uri="{FF2B5EF4-FFF2-40B4-BE49-F238E27FC236}">
                  <a16:creationId xmlns:a16="http://schemas.microsoft.com/office/drawing/2014/main" id="{00000000-0008-0000-0900-00002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998C70C" w14:textId="77777777" w:rsidR="007A529E" w:rsidRPr="008E2FD8" w:rsidRDefault="007A529E" w:rsidP="00B435B3">
      <w:pPr>
        <w:spacing w:after="0"/>
        <w:rPr>
          <w:lang w:val="sr-Cyrl-RS"/>
        </w:rPr>
      </w:pPr>
    </w:p>
    <w:p w14:paraId="5518EF19" w14:textId="77777777" w:rsidR="007A529E" w:rsidRPr="008E2FD8" w:rsidRDefault="007A529E" w:rsidP="00CE729E">
      <w:pPr>
        <w:jc w:val="center"/>
        <w:rPr>
          <w:b/>
          <w:color w:val="002060"/>
          <w:szCs w:val="21"/>
          <w:lang w:val="sr-Cyrl-RS"/>
        </w:rPr>
      </w:pPr>
      <w:r w:rsidRPr="008E2FD8">
        <w:rPr>
          <w:b/>
          <w:color w:val="002060"/>
          <w:szCs w:val="21"/>
          <w:lang w:val="sr-Cyrl-RS"/>
        </w:rPr>
        <w:t>Салдо текућег рачуна, % БДП</w:t>
      </w:r>
    </w:p>
    <w:p w14:paraId="389986D2" w14:textId="77777777" w:rsidR="007A529E" w:rsidRPr="008E2FD8" w:rsidRDefault="007A529E" w:rsidP="00B435B3">
      <w:pPr>
        <w:spacing w:after="0"/>
        <w:jc w:val="left"/>
        <w:rPr>
          <w:lang w:val="sr-Cyrl-RS"/>
        </w:rPr>
      </w:pPr>
      <w:r w:rsidRPr="008E2FD8">
        <w:rPr>
          <w:noProof/>
        </w:rPr>
        <w:drawing>
          <wp:inline distT="0" distB="0" distL="0" distR="0" wp14:anchorId="755E4AC9" wp14:editId="3D67FB61">
            <wp:extent cx="1332000" cy="1224000"/>
            <wp:effectExtent l="0" t="0" r="1905" b="0"/>
            <wp:docPr id="95" name="Chart 95">
              <a:extLst xmlns:a="http://schemas.openxmlformats.org/drawingml/2006/main">
                <a:ext uri="{FF2B5EF4-FFF2-40B4-BE49-F238E27FC236}">
                  <a16:creationId xmlns:a16="http://schemas.microsoft.com/office/drawing/2014/main" id="{00000000-0008-0000-0900-00002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8E2FD8">
        <w:rPr>
          <w:lang w:val="sr-Cyrl-RS"/>
        </w:rPr>
        <w:t xml:space="preserve">  </w:t>
      </w:r>
      <w:r w:rsidRPr="008E2FD8">
        <w:rPr>
          <w:noProof/>
        </w:rPr>
        <w:drawing>
          <wp:inline distT="0" distB="0" distL="0" distR="0" wp14:anchorId="5923838A" wp14:editId="427A3407">
            <wp:extent cx="1332000" cy="1224000"/>
            <wp:effectExtent l="0" t="0" r="1905" b="0"/>
            <wp:docPr id="97" name="Chart 97">
              <a:extLst xmlns:a="http://schemas.openxmlformats.org/drawingml/2006/main">
                <a:ext uri="{FF2B5EF4-FFF2-40B4-BE49-F238E27FC236}">
                  <a16:creationId xmlns:a16="http://schemas.microsoft.com/office/drawing/2014/main" id="{00000000-0008-0000-0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4D5FFFA" w14:textId="77777777" w:rsidR="007A529E" w:rsidRPr="008E2FD8" w:rsidRDefault="007A529E" w:rsidP="00B435B3">
      <w:pPr>
        <w:spacing w:after="0"/>
        <w:rPr>
          <w:lang w:val="sr-Cyrl-RS"/>
        </w:rPr>
      </w:pPr>
    </w:p>
    <w:p w14:paraId="50CA03EB" w14:textId="77777777" w:rsidR="007A529E" w:rsidRPr="008E2FD8" w:rsidRDefault="007A529E" w:rsidP="00B435B3">
      <w:pPr>
        <w:spacing w:after="0"/>
        <w:jc w:val="center"/>
        <w:rPr>
          <w:b/>
          <w:color w:val="002060"/>
          <w:szCs w:val="21"/>
          <w:lang w:val="sr-Cyrl-RS"/>
        </w:rPr>
      </w:pPr>
      <w:r w:rsidRPr="008E2FD8">
        <w:rPr>
          <w:b/>
          <w:color w:val="002060"/>
          <w:szCs w:val="21"/>
          <w:lang w:val="sr-Cyrl-RS"/>
        </w:rPr>
        <w:t>Инфлација, просек периода, %</w:t>
      </w:r>
    </w:p>
    <w:p w14:paraId="71053000" w14:textId="77777777" w:rsidR="007A529E" w:rsidRPr="008E2FD8" w:rsidRDefault="007A529E" w:rsidP="00B435B3">
      <w:pPr>
        <w:spacing w:after="0"/>
        <w:rPr>
          <w:lang w:val="sr-Cyrl-RS"/>
        </w:rPr>
      </w:pPr>
      <w:r w:rsidRPr="008E2FD8">
        <w:rPr>
          <w:noProof/>
        </w:rPr>
        <w:drawing>
          <wp:inline distT="0" distB="0" distL="0" distR="0" wp14:anchorId="652AC3C9" wp14:editId="34A5EEA8">
            <wp:extent cx="1332000" cy="1008000"/>
            <wp:effectExtent l="0" t="0" r="0" b="0"/>
            <wp:docPr id="98" name="Chart 98">
              <a:extLst xmlns:a="http://schemas.openxmlformats.org/drawingml/2006/main">
                <a:ext uri="{FF2B5EF4-FFF2-40B4-BE49-F238E27FC236}">
                  <a16:creationId xmlns:a16="http://schemas.microsoft.com/office/drawing/2014/main" id="{00000000-0008-0000-0900-00003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8E2FD8">
        <w:rPr>
          <w:lang w:val="sr-Cyrl-RS"/>
        </w:rPr>
        <w:t xml:space="preserve">  </w:t>
      </w:r>
      <w:r w:rsidRPr="008E2FD8">
        <w:rPr>
          <w:noProof/>
        </w:rPr>
        <w:drawing>
          <wp:inline distT="0" distB="0" distL="0" distR="0" wp14:anchorId="5CC16770" wp14:editId="02AA2DAD">
            <wp:extent cx="1332000" cy="1008000"/>
            <wp:effectExtent l="0" t="0" r="0" b="0"/>
            <wp:docPr id="99" name="Chart 99">
              <a:extLst xmlns:a="http://schemas.openxmlformats.org/drawingml/2006/main">
                <a:ext uri="{FF2B5EF4-FFF2-40B4-BE49-F238E27FC236}">
                  <a16:creationId xmlns:a16="http://schemas.microsoft.com/office/drawing/2014/main" id="{00000000-0008-0000-0900-00003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6F0F63D6" w14:textId="77777777" w:rsidR="007A529E" w:rsidRPr="008E2FD8" w:rsidRDefault="007A529E" w:rsidP="00B435B3">
      <w:pPr>
        <w:spacing w:after="0"/>
        <w:rPr>
          <w:rFonts w:cstheme="minorHAnsi"/>
          <w:szCs w:val="72"/>
          <w:lang w:val="sr-Cyrl-RS"/>
        </w:rPr>
      </w:pPr>
    </w:p>
    <w:p w14:paraId="3C76020D" w14:textId="77777777" w:rsidR="007A529E" w:rsidRPr="008E2FD8" w:rsidRDefault="007A529E" w:rsidP="00CE729E">
      <w:pPr>
        <w:spacing w:after="0"/>
        <w:jc w:val="center"/>
        <w:rPr>
          <w:b/>
          <w:color w:val="002060"/>
          <w:szCs w:val="21"/>
          <w:lang w:val="sr-Cyrl-RS"/>
        </w:rPr>
      </w:pPr>
      <w:r w:rsidRPr="008E2FD8">
        <w:rPr>
          <w:b/>
          <w:color w:val="002060"/>
          <w:szCs w:val="21"/>
          <w:lang w:val="sr-Cyrl-RS"/>
        </w:rPr>
        <w:t>Фискални резултат, % БДП</w:t>
      </w:r>
    </w:p>
    <w:p w14:paraId="16398990" w14:textId="77777777" w:rsidR="007A529E" w:rsidRPr="008E2FD8" w:rsidRDefault="007A529E" w:rsidP="00B435B3">
      <w:pPr>
        <w:spacing w:after="0"/>
        <w:rPr>
          <w:lang w:val="sr-Cyrl-RS"/>
        </w:rPr>
      </w:pPr>
      <w:r w:rsidRPr="008E2FD8">
        <w:rPr>
          <w:noProof/>
        </w:rPr>
        <w:drawing>
          <wp:inline distT="0" distB="0" distL="0" distR="0" wp14:anchorId="55A6EE3C" wp14:editId="000E49F9">
            <wp:extent cx="1332000" cy="1224000"/>
            <wp:effectExtent l="0" t="0" r="1905" b="0"/>
            <wp:docPr id="100" name="Chart 100">
              <a:extLst xmlns:a="http://schemas.openxmlformats.org/drawingml/2006/main">
                <a:ext uri="{FF2B5EF4-FFF2-40B4-BE49-F238E27FC236}">
                  <a16:creationId xmlns:a16="http://schemas.microsoft.com/office/drawing/2014/main" id="{00000000-0008-0000-0900-00003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8E2FD8">
        <w:rPr>
          <w:lang w:val="sr-Cyrl-RS" w:eastAsia="en-GB"/>
        </w:rPr>
        <w:t xml:space="preserve">  </w:t>
      </w:r>
      <w:r w:rsidRPr="008E2FD8">
        <w:rPr>
          <w:noProof/>
        </w:rPr>
        <w:drawing>
          <wp:inline distT="0" distB="0" distL="0" distR="0" wp14:anchorId="3F38753A" wp14:editId="73F60C82">
            <wp:extent cx="1332000" cy="1224000"/>
            <wp:effectExtent l="0" t="0" r="1905" b="0"/>
            <wp:docPr id="101" name="Chart 101">
              <a:extLst xmlns:a="http://schemas.openxmlformats.org/drawingml/2006/main">
                <a:ext uri="{FF2B5EF4-FFF2-40B4-BE49-F238E27FC236}">
                  <a16:creationId xmlns:a16="http://schemas.microsoft.com/office/drawing/2014/main" id="{00000000-0008-0000-0900-00004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85F0ED0" w14:textId="77777777" w:rsidR="007A529E" w:rsidRPr="008E2FD8" w:rsidRDefault="007A529E" w:rsidP="00B435B3">
      <w:pPr>
        <w:spacing w:after="0"/>
        <w:rPr>
          <w:lang w:val="sr-Cyrl-RS"/>
        </w:rPr>
      </w:pPr>
    </w:p>
    <w:p w14:paraId="31C80F90" w14:textId="77777777" w:rsidR="007A529E" w:rsidRPr="008E2FD8" w:rsidRDefault="007A529E" w:rsidP="00CE729E">
      <w:pPr>
        <w:spacing w:after="0"/>
        <w:jc w:val="center"/>
        <w:rPr>
          <w:b/>
          <w:color w:val="002060"/>
          <w:szCs w:val="21"/>
          <w:lang w:val="sr-Cyrl-RS"/>
        </w:rPr>
      </w:pPr>
      <w:r w:rsidRPr="008E2FD8">
        <w:rPr>
          <w:b/>
          <w:color w:val="002060"/>
          <w:szCs w:val="21"/>
          <w:lang w:val="sr-Cyrl-RS"/>
        </w:rPr>
        <w:t>Јавни дуг опште државе, % БДП</w:t>
      </w:r>
    </w:p>
    <w:p w14:paraId="6309E485" w14:textId="77777777" w:rsidR="007A529E" w:rsidRPr="008E2FD8" w:rsidRDefault="007A529E" w:rsidP="00CE729E">
      <w:pPr>
        <w:spacing w:after="0"/>
        <w:jc w:val="center"/>
        <w:rPr>
          <w:lang w:val="sr-Cyrl-RS"/>
        </w:rPr>
      </w:pPr>
      <w:r w:rsidRPr="008E2FD8">
        <w:rPr>
          <w:noProof/>
        </w:rPr>
        <w:drawing>
          <wp:inline distT="0" distB="0" distL="0" distR="0" wp14:anchorId="414AC7EB" wp14:editId="6CE46367">
            <wp:extent cx="1332000" cy="1224000"/>
            <wp:effectExtent l="0" t="0" r="0" b="0"/>
            <wp:docPr id="102" name="Chart 102">
              <a:extLst xmlns:a="http://schemas.openxmlformats.org/drawingml/2006/main">
                <a:ext uri="{FF2B5EF4-FFF2-40B4-BE49-F238E27FC236}">
                  <a16:creationId xmlns:a16="http://schemas.microsoft.com/office/drawing/2014/main" id="{00000000-0008-0000-0900-00004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8E2FD8">
        <w:rPr>
          <w:lang w:val="sr-Cyrl-RS"/>
        </w:rPr>
        <w:t xml:space="preserve">  </w:t>
      </w:r>
      <w:r w:rsidRPr="008E2FD8">
        <w:rPr>
          <w:noProof/>
        </w:rPr>
        <w:drawing>
          <wp:inline distT="0" distB="0" distL="0" distR="0" wp14:anchorId="10C648E1" wp14:editId="21E686EE">
            <wp:extent cx="1332000" cy="1224000"/>
            <wp:effectExtent l="0" t="0" r="0" b="0"/>
            <wp:docPr id="103" name="Chart 103">
              <a:extLst xmlns:a="http://schemas.openxmlformats.org/drawingml/2006/main">
                <a:ext uri="{FF2B5EF4-FFF2-40B4-BE49-F238E27FC236}">
                  <a16:creationId xmlns:a16="http://schemas.microsoft.com/office/drawing/2014/main" id="{00000000-0008-0000-0900-00004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D90C106" w14:textId="77777777" w:rsidR="007A529E" w:rsidRPr="008E2FD8" w:rsidRDefault="007A529E" w:rsidP="00CE729E">
      <w:pPr>
        <w:spacing w:before="240"/>
        <w:jc w:val="left"/>
        <w:rPr>
          <w:rFonts w:cstheme="minorHAnsi"/>
          <w:b/>
          <w:color w:val="2F5496" w:themeColor="accent1" w:themeShade="BF"/>
          <w:sz w:val="22"/>
          <w:lang w:val="sr-Cyrl-RS"/>
        </w:rPr>
      </w:pPr>
      <w:r w:rsidRPr="008E2FD8">
        <w:rPr>
          <w:rFonts w:cstheme="minorHAnsi"/>
          <w:b/>
          <w:color w:val="2F5496" w:themeColor="accent1" w:themeShade="BF"/>
          <w:sz w:val="22"/>
          <w:lang w:val="sr-Cyrl-RS"/>
        </w:rPr>
        <w:t>Текућа кретања реалног сектора</w:t>
      </w:r>
    </w:p>
    <w:p w14:paraId="0549BC94" w14:textId="77777777" w:rsidR="007A529E" w:rsidRPr="008E2FD8" w:rsidRDefault="007A529E" w:rsidP="00CE729E">
      <w:pPr>
        <w:rPr>
          <w:rFonts w:cstheme="minorHAnsi"/>
          <w:bCs/>
          <w:szCs w:val="72"/>
          <w:lang w:val="sr-Cyrl-RS"/>
        </w:rPr>
      </w:pPr>
      <w:r w:rsidRPr="008E2FD8">
        <w:rPr>
          <w:rFonts w:cstheme="minorHAnsi"/>
          <w:bCs/>
          <w:szCs w:val="72"/>
          <w:lang w:val="sr-Cyrl-RS"/>
        </w:rPr>
        <w:t xml:space="preserve">Према прелиминарним подацима РЗС добијених на бази кварталних обрачуна, пад привреде у 2020. години износио је 1,0%. Након шока у другом кварталу 2020. године изазваног епидемијом коронавируса уследио је снажан опоравак у трећем и четвртом тромесечју. Опоравку БДП, поред укидања ванредног стања и „откључавања” економије, у великој мери допринео је и програм подршке привреди и становништву који су заједнички донели Влада и </w:t>
      </w:r>
      <w:r w:rsidR="00BA23FA">
        <w:rPr>
          <w:rFonts w:cstheme="minorHAnsi"/>
          <w:bCs/>
          <w:szCs w:val="72"/>
          <w:lang w:val="sr-Cyrl-RS"/>
        </w:rPr>
        <w:t xml:space="preserve">Народна банка Србије </w:t>
      </w:r>
      <w:r w:rsidR="00BA23FA" w:rsidRPr="00BA23FA">
        <w:rPr>
          <w:rFonts w:cstheme="minorHAnsi"/>
          <w:bCs/>
          <w:szCs w:val="72"/>
          <w:lang w:val="sr-Cyrl-RS"/>
        </w:rPr>
        <w:t>(у даљем тексту: НБС)</w:t>
      </w:r>
      <w:r w:rsidRPr="00BA23FA">
        <w:rPr>
          <w:rFonts w:cstheme="minorHAnsi"/>
          <w:bCs/>
          <w:szCs w:val="72"/>
          <w:lang w:val="sr-Cyrl-RS"/>
        </w:rPr>
        <w:t>.</w:t>
      </w:r>
      <w:r w:rsidRPr="008E2FD8">
        <w:rPr>
          <w:rFonts w:cstheme="minorHAnsi"/>
          <w:bCs/>
          <w:szCs w:val="72"/>
          <w:lang w:val="sr-Cyrl-RS"/>
        </w:rPr>
        <w:t xml:space="preserve"> Усвојени пакет мере очувао је макроекономску стабилност, додатно је осигурао ликвидност привреде и домаћинстава и у највећој мери спречио дисторзије на тржишту радне снаге.</w:t>
      </w:r>
    </w:p>
    <w:p w14:paraId="78D4327C" w14:textId="77777777" w:rsidR="007A529E" w:rsidRPr="008E2FD8" w:rsidRDefault="007A529E" w:rsidP="00CE729E">
      <w:pPr>
        <w:rPr>
          <w:rFonts w:cstheme="minorHAnsi"/>
          <w:bCs/>
          <w:szCs w:val="72"/>
          <w:lang w:val="sr-Cyrl-RS"/>
        </w:rPr>
      </w:pPr>
      <w:r w:rsidRPr="008E2FD8">
        <w:rPr>
          <w:rFonts w:cstheme="minorHAnsi"/>
          <w:bCs/>
          <w:szCs w:val="72"/>
          <w:lang w:val="sr-Cyrl-RS"/>
        </w:rPr>
        <w:t xml:space="preserve">У таквим околностима, већ у трећем кварталу, по елиминисању сезонског ефекта, раст БДП у односу на претходни квартал износио је 7,2%, док је у четвртом тромесечју уследио додатни опоравак од 2,2%. Тиме је крајем 2020. године укупна привредна динамика била мања за свега 0,6% у односу на пред-пандемијски ниво из првог тромесечја 2020. године. Међутим, треба напоменути да се економска активност у појединим секторима, попут индустрије, ИКТ и финансијских услуга већ током друге половине године у потпуности опоравила и достигла је рекордно високе нивое у последњем тромесечју 2020. године. Истовремено, умерен опоравак бележе и сектори туризма, саобраћаја, уметности забаве и рекреације који су и највише погођени епидемијом, али је њихов ниво </w:t>
      </w:r>
      <w:r w:rsidR="00040D82" w:rsidRPr="008E2FD8">
        <w:rPr>
          <w:rFonts w:cstheme="minorHAnsi"/>
          <w:bCs/>
          <w:szCs w:val="72"/>
          <w:lang w:val="sr-Cyrl-RS"/>
        </w:rPr>
        <w:t>бруто додате вредности (у даљем тексту: БДВ)</w:t>
      </w:r>
      <w:r w:rsidRPr="008E2FD8">
        <w:rPr>
          <w:rFonts w:cstheme="minorHAnsi"/>
          <w:bCs/>
          <w:szCs w:val="72"/>
          <w:lang w:val="sr-Cyrl-RS"/>
        </w:rPr>
        <w:t xml:space="preserve"> крајем 2020. године још увек био значајно мањи од пред-пандемијског.</w:t>
      </w:r>
    </w:p>
    <w:p w14:paraId="7FA1AC24" w14:textId="77777777" w:rsidR="007A529E" w:rsidRPr="008E2FD8" w:rsidRDefault="007A529E" w:rsidP="00CE729E">
      <w:pPr>
        <w:rPr>
          <w:rFonts w:cstheme="minorHAnsi"/>
          <w:bCs/>
          <w:szCs w:val="72"/>
          <w:lang w:val="sr-Cyrl-RS"/>
        </w:rPr>
      </w:pPr>
      <w:r w:rsidRPr="008E2FD8">
        <w:rPr>
          <w:rFonts w:cstheme="minorHAnsi"/>
          <w:bCs/>
          <w:szCs w:val="72"/>
          <w:lang w:val="sr-Cyrl-RS"/>
        </w:rPr>
        <w:t>Макроекономска кретања почетком 2021. године боља су од очекиваних. Према флеш процени РЗС, раст БДП износио 1,2% мг. што је за 2,5 п.п. бољи резултат у односу на иницијалну пројекцију за овај период, а која је подразумевала годишњу путању раста од 6%.</w:t>
      </w:r>
    </w:p>
    <w:p w14:paraId="7855CCE6" w14:textId="77777777" w:rsidR="007A529E" w:rsidRPr="008E2FD8" w:rsidRDefault="007A529E" w:rsidP="00CE729E">
      <w:pPr>
        <w:rPr>
          <w:rFonts w:cstheme="minorHAnsi"/>
          <w:bCs/>
          <w:szCs w:val="72"/>
          <w:lang w:val="sr-Cyrl-RS"/>
        </w:rPr>
      </w:pPr>
    </w:p>
    <w:p w14:paraId="0EA27C15" w14:textId="77777777" w:rsidR="007A529E" w:rsidRPr="008E2FD8" w:rsidRDefault="007A529E" w:rsidP="00CE729E">
      <w:pPr>
        <w:rPr>
          <w:rFonts w:cstheme="minorHAnsi"/>
          <w:bCs/>
          <w:szCs w:val="72"/>
          <w:lang w:val="sr-Cyrl-RS"/>
        </w:rPr>
      </w:pPr>
    </w:p>
    <w:p w14:paraId="0A7EF418" w14:textId="77777777" w:rsidR="007A529E" w:rsidRPr="008E2FD8" w:rsidRDefault="007A529E" w:rsidP="00CE729E">
      <w:pPr>
        <w:rPr>
          <w:rFonts w:cstheme="minorHAnsi"/>
          <w:bCs/>
          <w:szCs w:val="72"/>
          <w:lang w:val="sr-Cyrl-RS"/>
        </w:rPr>
      </w:pPr>
    </w:p>
    <w:p w14:paraId="4366F49E" w14:textId="77777777" w:rsidR="007A529E" w:rsidRPr="008E2FD8" w:rsidRDefault="007A529E" w:rsidP="00CE729E">
      <w:pPr>
        <w:rPr>
          <w:rFonts w:cstheme="minorHAnsi"/>
          <w:bCs/>
          <w:szCs w:val="72"/>
          <w:lang w:val="sr-Cyrl-RS"/>
        </w:rPr>
      </w:pPr>
      <w:r w:rsidRPr="008E2FD8">
        <w:rPr>
          <w:rFonts w:cstheme="minorHAnsi"/>
          <w:bCs/>
          <w:szCs w:val="72"/>
          <w:lang w:val="sr-Cyrl-RS"/>
        </w:rPr>
        <w:lastRenderedPageBreak/>
        <w:t>Посматрано са производне стране, према процени Министарства финансија, економски раст у првом кварталу 2021. године био је вођен индустријском производњом која је остварила повећање од 3</w:t>
      </w:r>
      <w:r w:rsidR="00974CED">
        <w:rPr>
          <w:rFonts w:cstheme="minorHAnsi"/>
          <w:bCs/>
          <w:szCs w:val="72"/>
          <w:lang w:val="sr-Cyrl-RS"/>
        </w:rPr>
        <w:t>,7</w:t>
      </w:r>
      <w:r w:rsidRPr="008E2FD8">
        <w:rPr>
          <w:rFonts w:cstheme="minorHAnsi"/>
          <w:bCs/>
          <w:szCs w:val="72"/>
          <w:lang w:val="sr-Cyrl-RS"/>
        </w:rPr>
        <w:t xml:space="preserve">% мг. и тиме допринела расту БДП са 0,8 п.п. Интензивирање инфраструктурних радова уз опоравак приватне грађевинске оперативе резултирао је снажним растом грађевинарства, тако да је овај сектор са доприносом од 0,7 п.п. био други по значају у погледу утицаја на раст БДП. Услужне делатности бележе дивергентна кретања. Наставља се раст трговине, ИКТ и финансијских услуга, док туризам, угоститељство и саобраћај и даље негативно доприносе привредним кретањима. У целини посматрано, допринос услужног сектора у првом кварталу 2021. године био је благо негативан и износио је </w:t>
      </w:r>
      <w:r w:rsidR="00086B41" w:rsidRPr="008E2FD8">
        <w:rPr>
          <w:rFonts w:cstheme="minorHAnsi"/>
          <w:bCs/>
          <w:szCs w:val="72"/>
          <w:lang w:val="sr-Cyrl-RS"/>
        </w:rPr>
        <w:br w:type="textWrapping" w:clear="all"/>
      </w:r>
      <w:r w:rsidRPr="008E2FD8">
        <w:rPr>
          <w:rFonts w:cstheme="minorHAnsi"/>
          <w:bCs/>
          <w:szCs w:val="72"/>
          <w:lang w:val="sr-Cyrl-RS"/>
        </w:rPr>
        <w:t>-0,2 п.п. У процену привредних кретања током првог тромесечја укључена је и претпоставка просечне пољопривредне сезоне која је имплицира благи негативан допринос пољопривреде</w:t>
      </w:r>
      <w:r w:rsidR="00EE56DE" w:rsidRPr="008E2FD8">
        <w:rPr>
          <w:rFonts w:cstheme="minorHAnsi"/>
          <w:bCs/>
          <w:szCs w:val="72"/>
          <w:lang w:val="sr-Cyrl-RS"/>
        </w:rPr>
        <w:t xml:space="preserve"> БДВ</w:t>
      </w:r>
      <w:r w:rsidR="008A1568" w:rsidRPr="008E2FD8">
        <w:rPr>
          <w:rFonts w:cstheme="minorHAnsi"/>
          <w:bCs/>
          <w:szCs w:val="72"/>
          <w:lang w:val="sr-Cyrl-RS"/>
        </w:rPr>
        <w:t>-у</w:t>
      </w:r>
      <w:r w:rsidRPr="008E2FD8">
        <w:rPr>
          <w:rFonts w:cstheme="minorHAnsi"/>
          <w:bCs/>
          <w:szCs w:val="72"/>
          <w:lang w:val="sr-Cyrl-RS"/>
        </w:rPr>
        <w:t>.</w:t>
      </w:r>
    </w:p>
    <w:p w14:paraId="5FC31834" w14:textId="77777777" w:rsidR="007A529E" w:rsidRPr="008E2FD8" w:rsidRDefault="007A529E" w:rsidP="00CE729E">
      <w:pPr>
        <w:jc w:val="center"/>
        <w:rPr>
          <w:rFonts w:cstheme="minorHAnsi"/>
          <w:b/>
          <w:bCs/>
          <w:color w:val="002060"/>
          <w:szCs w:val="72"/>
          <w:lang w:val="sr-Cyrl-RS"/>
        </w:rPr>
      </w:pPr>
      <w:r w:rsidRPr="008E2FD8">
        <w:rPr>
          <w:rFonts w:cstheme="minorHAnsi"/>
          <w:b/>
          <w:bCs/>
          <w:color w:val="002060"/>
          <w:szCs w:val="72"/>
          <w:lang w:val="sr-Cyrl-RS"/>
        </w:rPr>
        <w:t>Доприноси стопи реалног раста БДП, производни приступ, п.п.</w:t>
      </w:r>
    </w:p>
    <w:p w14:paraId="5A8475AE" w14:textId="77777777" w:rsidR="007A529E" w:rsidRPr="008E2FD8" w:rsidRDefault="00A57372" w:rsidP="00CE729E">
      <w:pPr>
        <w:rPr>
          <w:rFonts w:cstheme="minorHAnsi"/>
          <w:bCs/>
          <w:szCs w:val="72"/>
          <w:lang w:val="sr-Cyrl-RS"/>
        </w:rPr>
      </w:pPr>
      <w:r w:rsidRPr="008E2FD8">
        <w:rPr>
          <w:noProof/>
        </w:rPr>
        <w:drawing>
          <wp:inline distT="0" distB="0" distL="0" distR="0" wp14:anchorId="23D30BDD" wp14:editId="727AE7FC">
            <wp:extent cx="2743200" cy="2150745"/>
            <wp:effectExtent l="0" t="0" r="0" b="1905"/>
            <wp:docPr id="1" name="Chart 1">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6A3788B" w14:textId="77777777" w:rsidR="007A529E" w:rsidRPr="008E2FD8" w:rsidRDefault="007A529E" w:rsidP="00CE729E">
      <w:pPr>
        <w:rPr>
          <w:rFonts w:cstheme="minorHAnsi"/>
          <w:bCs/>
          <w:sz w:val="16"/>
          <w:szCs w:val="16"/>
          <w:lang w:val="sr-Cyrl-RS"/>
        </w:rPr>
      </w:pPr>
      <w:r w:rsidRPr="008E2FD8">
        <w:rPr>
          <w:rFonts w:cstheme="minorHAnsi"/>
          <w:bCs/>
          <w:sz w:val="16"/>
          <w:szCs w:val="16"/>
          <w:lang w:val="sr-Cyrl-RS"/>
        </w:rPr>
        <w:t>* Процена Министарства финансија</w:t>
      </w:r>
    </w:p>
    <w:p w14:paraId="68542849" w14:textId="77777777" w:rsidR="007A529E" w:rsidRPr="008E2FD8" w:rsidRDefault="007A529E" w:rsidP="00CE729E">
      <w:pPr>
        <w:rPr>
          <w:rFonts w:cstheme="minorHAnsi"/>
          <w:bCs/>
          <w:szCs w:val="72"/>
          <w:lang w:val="sr-Cyrl-RS"/>
        </w:rPr>
      </w:pPr>
      <w:r w:rsidRPr="008E2FD8">
        <w:rPr>
          <w:rFonts w:cstheme="minorHAnsi"/>
          <w:bCs/>
          <w:szCs w:val="72"/>
          <w:lang w:val="sr-Cyrl-RS"/>
        </w:rPr>
        <w:t xml:space="preserve">Посматрано по агрегатима употребе БДП, ефекти епидемије највише су се одразили на приватну потрошњу, и поред раста реалног дохотка становништва, услед присутних ограничења и примене здравствених мера и последично мањег коришћења туристичких, угоститељских и саобраћајних услуга. Инвестиције као </w:t>
      </w:r>
      <w:r w:rsidRPr="008E2FD8">
        <w:rPr>
          <w:rFonts w:cstheme="minorHAnsi"/>
          <w:bCs/>
          <w:szCs w:val="72"/>
          <w:lang w:val="sr-Cyrl-RS"/>
        </w:rPr>
        <w:t>најзначајнија развојна компонента БДП забележиле су повећање у првом кварталу од око 10% мг. и допринеле расту БДП са 2,0 п.п. Активирање нових извозно оријентисаних капацитета као резултат ефектуирања страних директних инвестиција из претходног периода уз опоравак спољне тражње и повећање извоза пољопривредних производа утицали су на снажан раст реалног извоза током првог квартала 2021. године. Истовремено, увозна активност забележила је умерено повећање, тако да је нето извоз са доприносом од 4,1 п.п. био главни генератор привредног раста у првом тромесечју 2021. године.</w:t>
      </w:r>
    </w:p>
    <w:p w14:paraId="7F9A76C5" w14:textId="77777777" w:rsidR="007A529E" w:rsidRPr="008E2FD8" w:rsidRDefault="007A529E" w:rsidP="00CE729E">
      <w:pPr>
        <w:jc w:val="center"/>
        <w:rPr>
          <w:rFonts w:cstheme="minorHAnsi"/>
          <w:b/>
          <w:bCs/>
          <w:color w:val="002060"/>
          <w:szCs w:val="72"/>
          <w:lang w:val="sr-Cyrl-RS"/>
        </w:rPr>
      </w:pPr>
      <w:r w:rsidRPr="008E2FD8">
        <w:rPr>
          <w:rFonts w:cstheme="minorHAnsi"/>
          <w:b/>
          <w:bCs/>
          <w:color w:val="002060"/>
          <w:szCs w:val="72"/>
          <w:lang w:val="sr-Cyrl-RS"/>
        </w:rPr>
        <w:t>Доприноси стопи реалног раста БДП, расходни приступ, п.п.</w:t>
      </w:r>
    </w:p>
    <w:p w14:paraId="63CB663D" w14:textId="77777777" w:rsidR="007A529E" w:rsidRPr="008E2FD8" w:rsidRDefault="007A529E" w:rsidP="00CE729E">
      <w:pPr>
        <w:rPr>
          <w:rFonts w:cstheme="minorHAnsi"/>
          <w:bCs/>
          <w:szCs w:val="72"/>
          <w:lang w:val="sr-Cyrl-RS"/>
        </w:rPr>
      </w:pPr>
      <w:r w:rsidRPr="008E2FD8">
        <w:rPr>
          <w:noProof/>
        </w:rPr>
        <w:drawing>
          <wp:inline distT="0" distB="0" distL="0" distR="0" wp14:anchorId="7022B26B" wp14:editId="7E23A715">
            <wp:extent cx="2743200" cy="2479853"/>
            <wp:effectExtent l="0" t="0" r="0" b="0"/>
            <wp:docPr id="105" name="Chart 105">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D1E29F9" w14:textId="77777777" w:rsidR="007A529E" w:rsidRPr="008E2FD8" w:rsidRDefault="007A529E" w:rsidP="00CE729E">
      <w:pPr>
        <w:rPr>
          <w:rFonts w:cstheme="minorHAnsi"/>
          <w:bCs/>
          <w:sz w:val="16"/>
          <w:szCs w:val="16"/>
          <w:lang w:val="sr-Cyrl-RS"/>
        </w:rPr>
      </w:pPr>
      <w:r w:rsidRPr="008E2FD8">
        <w:rPr>
          <w:rFonts w:cstheme="minorHAnsi"/>
          <w:bCs/>
          <w:sz w:val="16"/>
          <w:szCs w:val="16"/>
          <w:lang w:val="sr-Cyrl-RS"/>
        </w:rPr>
        <w:t>* Процена Министарства финансија</w:t>
      </w:r>
    </w:p>
    <w:p w14:paraId="593CF9F1" w14:textId="77777777" w:rsidR="007A529E" w:rsidRPr="008E2FD8" w:rsidRDefault="007A529E" w:rsidP="00CE729E">
      <w:pPr>
        <w:rPr>
          <w:rFonts w:cstheme="minorHAnsi"/>
          <w:bCs/>
          <w:szCs w:val="72"/>
          <w:lang w:val="sr-Cyrl-RS"/>
        </w:rPr>
      </w:pPr>
      <w:r w:rsidRPr="008E2FD8">
        <w:rPr>
          <w:rFonts w:cstheme="minorHAnsi"/>
          <w:bCs/>
          <w:szCs w:val="72"/>
          <w:lang w:val="sr-Cyrl-RS"/>
        </w:rPr>
        <w:t>Високофреквентни индикатори економске активности такође указују на позитивна макроекономска кретања почетком 2021. године. То потврђује и Индикатор привредне активности (ИПАС)</w:t>
      </w:r>
      <w:r w:rsidRPr="008E2FD8">
        <w:rPr>
          <w:rStyle w:val="FootnoteReference"/>
          <w:rFonts w:cstheme="minorHAnsi"/>
          <w:bCs/>
          <w:szCs w:val="72"/>
          <w:lang w:val="sr-Cyrl-RS"/>
        </w:rPr>
        <w:footnoteReference w:id="1"/>
      </w:r>
      <w:r w:rsidRPr="008E2FD8">
        <w:rPr>
          <w:rFonts w:cstheme="minorHAnsi"/>
          <w:bCs/>
          <w:szCs w:val="72"/>
          <w:lang w:val="sr-Cyrl-RS"/>
        </w:rPr>
        <w:t xml:space="preserve"> који Министарство финансија израђује за потребе сагледавања месечне динамике укупне економске активности. Упркос високој бази из јануара претходне године, вредност ИПАС-а у јануару 2021. године била је мања за свега 1,4% мг, да би већ током фебруара међугодишња стопа привредног раста ушла у позитивну зону, док је у марту остварен снажан раст од 4,5% мг.</w:t>
      </w:r>
    </w:p>
    <w:p w14:paraId="134D6D24" w14:textId="77777777" w:rsidR="007A529E" w:rsidRPr="008E2FD8" w:rsidRDefault="007A529E" w:rsidP="00CE729E">
      <w:pPr>
        <w:jc w:val="center"/>
        <w:rPr>
          <w:rFonts w:cstheme="minorHAnsi"/>
          <w:b/>
          <w:bCs/>
          <w:color w:val="002060"/>
          <w:szCs w:val="72"/>
          <w:lang w:val="sr-Cyrl-RS"/>
        </w:rPr>
      </w:pPr>
      <w:r w:rsidRPr="008E2FD8">
        <w:rPr>
          <w:rFonts w:cstheme="minorHAnsi"/>
          <w:b/>
          <w:bCs/>
          <w:color w:val="002060"/>
          <w:szCs w:val="72"/>
          <w:lang w:val="sr-Cyrl-RS"/>
        </w:rPr>
        <w:lastRenderedPageBreak/>
        <w:t>Индикатор привредне активности Србије (ИПАС) по секторима (доприноси расту, п.п.)</w:t>
      </w:r>
    </w:p>
    <w:p w14:paraId="1C60C8B6" w14:textId="77777777" w:rsidR="007A529E" w:rsidRPr="008E2FD8" w:rsidRDefault="007A529E" w:rsidP="00352961">
      <w:pPr>
        <w:rPr>
          <w:rFonts w:cstheme="minorHAnsi"/>
          <w:bCs/>
          <w:szCs w:val="72"/>
          <w:lang w:val="sr-Cyrl-RS"/>
        </w:rPr>
      </w:pPr>
      <w:r w:rsidRPr="008E2FD8">
        <w:rPr>
          <w:noProof/>
        </w:rPr>
        <w:drawing>
          <wp:inline distT="0" distB="0" distL="0" distR="0" wp14:anchorId="38CDC658" wp14:editId="493EDF3B">
            <wp:extent cx="2847340" cy="2633472"/>
            <wp:effectExtent l="0" t="0" r="0" b="0"/>
            <wp:docPr id="106" name="Chart 106">
              <a:extLst xmlns:a="http://schemas.openxmlformats.org/drawingml/2006/main">
                <a:ext uri="{FF2B5EF4-FFF2-40B4-BE49-F238E27FC236}">
                  <a16:creationId xmlns:a16="http://schemas.microsoft.com/office/drawing/2014/main" id="{00000000-0008-0000-0B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8009E4C" w14:textId="77777777" w:rsidR="007A529E" w:rsidRPr="008E2FD8" w:rsidRDefault="007A529E" w:rsidP="00352961">
      <w:pPr>
        <w:rPr>
          <w:rFonts w:cstheme="minorHAnsi"/>
          <w:bCs/>
          <w:szCs w:val="72"/>
          <w:lang w:val="sr-Cyrl-RS"/>
        </w:rPr>
      </w:pPr>
      <w:r w:rsidRPr="008E2FD8">
        <w:rPr>
          <w:rFonts w:cstheme="minorHAnsi"/>
          <w:bCs/>
          <w:szCs w:val="72"/>
          <w:lang w:val="sr-Cyrl-RS"/>
        </w:rPr>
        <w:t>Уколико се посматрају десезонирани подаци, динамика ИПАС-а упућује на закључак да се укупна економска активност веома брзо опоравила од шока изазваног закључавањем и увођењем ванредног стања и да се у марту 2021. године налазила на историјски највишем нивоу од када постоје подаци којима се мери овај индикатор, тј. од јануара 1995. године.</w:t>
      </w:r>
    </w:p>
    <w:p w14:paraId="5AC59B94" w14:textId="77777777" w:rsidR="007A529E" w:rsidRPr="008E2FD8" w:rsidRDefault="007A529E" w:rsidP="00CE729E">
      <w:pPr>
        <w:jc w:val="center"/>
        <w:rPr>
          <w:rFonts w:cstheme="minorHAnsi"/>
          <w:b/>
          <w:bCs/>
          <w:color w:val="002060"/>
          <w:szCs w:val="72"/>
          <w:lang w:val="sr-Cyrl-RS"/>
        </w:rPr>
      </w:pPr>
      <w:r w:rsidRPr="008E2FD8">
        <w:rPr>
          <w:rFonts w:cstheme="minorHAnsi"/>
          <w:b/>
          <w:bCs/>
          <w:color w:val="002060"/>
          <w:szCs w:val="72"/>
          <w:lang w:val="sr-Cyrl-RS"/>
        </w:rPr>
        <w:t>Индикатор привредне активности Србије (ИПАС), мил. РСД, уланчане мере обима</w:t>
      </w:r>
    </w:p>
    <w:p w14:paraId="69EE7207" w14:textId="77777777" w:rsidR="007A529E" w:rsidRPr="008E2FD8" w:rsidRDefault="007A529E" w:rsidP="00352961">
      <w:pPr>
        <w:rPr>
          <w:rFonts w:cstheme="minorHAnsi"/>
          <w:bCs/>
          <w:szCs w:val="72"/>
          <w:lang w:val="sr-Cyrl-RS"/>
        </w:rPr>
      </w:pPr>
      <w:r w:rsidRPr="008E2FD8">
        <w:rPr>
          <w:noProof/>
        </w:rPr>
        <w:drawing>
          <wp:inline distT="0" distB="0" distL="0" distR="0" wp14:anchorId="0C06BC4B" wp14:editId="79724543">
            <wp:extent cx="2940685" cy="2670048"/>
            <wp:effectExtent l="0" t="0" r="0" b="0"/>
            <wp:docPr id="107" name="Chart 107">
              <a:extLst xmlns:a="http://schemas.openxmlformats.org/drawingml/2006/main">
                <a:ext uri="{FF2B5EF4-FFF2-40B4-BE49-F238E27FC236}">
                  <a16:creationId xmlns:a16="http://schemas.microsoft.com/office/drawing/2014/main" id="{00000000-0008-0000-0C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B995AA5" w14:textId="77777777" w:rsidR="007A529E" w:rsidRPr="008E2FD8" w:rsidRDefault="007A529E" w:rsidP="00352961">
      <w:pPr>
        <w:rPr>
          <w:rFonts w:cstheme="minorHAnsi"/>
          <w:bCs/>
          <w:szCs w:val="72"/>
          <w:lang w:val="sr-Cyrl-RS"/>
        </w:rPr>
      </w:pPr>
      <w:r w:rsidRPr="008E2FD8">
        <w:rPr>
          <w:rFonts w:cstheme="minorHAnsi"/>
          <w:bCs/>
          <w:szCs w:val="72"/>
          <w:lang w:val="sr-Cyrl-RS"/>
        </w:rPr>
        <w:t>Физички обим укупне индустријске производње у прва три месеца 2021. године био је већи за 3,8% мг. У овом периоду, прерађивачка индустрија и производња струје са растом од 2,5% мг. и 9,1% мг, респективно, опредељују кретање укупне индустрије, док је сектор рударства са повећањем од 1,0% имао благо позитиван утицај.</w:t>
      </w:r>
    </w:p>
    <w:p w14:paraId="45375F8E" w14:textId="77777777" w:rsidR="007A529E" w:rsidRPr="008E2FD8" w:rsidRDefault="007A529E" w:rsidP="00352961">
      <w:pPr>
        <w:rPr>
          <w:rFonts w:cstheme="minorHAnsi"/>
          <w:bCs/>
          <w:szCs w:val="72"/>
          <w:lang w:val="sr-Cyrl-RS"/>
        </w:rPr>
        <w:sectPr w:rsidR="007A529E" w:rsidRPr="008E2FD8" w:rsidSect="00CE5657">
          <w:type w:val="continuous"/>
          <w:pgSz w:w="12240" w:h="15840"/>
          <w:pgMar w:top="1440" w:right="1440" w:bottom="1440" w:left="1440" w:header="720" w:footer="720" w:gutter="0"/>
          <w:cols w:num="2" w:space="720"/>
          <w:docGrid w:linePitch="360"/>
          <w15:footnoteColumns w:val="1"/>
        </w:sectPr>
      </w:pPr>
      <w:r w:rsidRPr="008E2FD8">
        <w:rPr>
          <w:rFonts w:cstheme="minorHAnsi"/>
          <w:bCs/>
          <w:szCs w:val="72"/>
          <w:lang w:val="sr-Cyrl-RS"/>
        </w:rPr>
        <w:t>Повољну динамику индустријске производње потврђују и месечни подаци. Након раста у јануару и фебруару од 2,5% мг. и 2,6% мг. у марту је физички обим индустријске производње био већи за чак 6,1% мг, упркос спроведеном ремонту производних капацитета у НИС-у. Истовремено, раст прерађивачке индустрије је диверсификован и остварен у чак 20 од укупно 24 делатности. Оваква динамика, пре свега је резултат активирања нових производних капацитета али и постепеног опоравка спољне тражње.</w:t>
      </w:r>
      <w:r w:rsidRPr="008E2FD8">
        <w:rPr>
          <w:lang w:val="sr-Cyrl-RS"/>
        </w:rPr>
        <w:t xml:space="preserve"> </w:t>
      </w:r>
      <w:r w:rsidRPr="008E2FD8">
        <w:rPr>
          <w:rFonts w:cstheme="minorHAnsi"/>
          <w:bCs/>
          <w:szCs w:val="72"/>
          <w:lang w:val="sr-Cyrl-RS"/>
        </w:rPr>
        <w:t>Међу делатностима које бележе најзначајније повећање производње у марту, доминантан позитиван утицај оствариле су металска индустрија са растом од 35,9% мг. и производња електричне опреме која је забележила повећање физичког обима од 48,1% мг. Значајан позитиван допринос потекао је и од међугодишњег раста прехрамбене индустрије од 5,6%, као и већег обима производње аутомобилске и машинске индустрије од 36,4%, и 22,7%, респективно. И поред застоја у производњи у другој половини марта у појединим постројењима ХИП Петрохемије услед ремонтних и инвестиционих активности и хемијска индустрија је током марта забележила раст производње од 6,3% мг. С друге стране, заустављање производње у рафинерији нафте у Панчеву услед радова на чишћењу, ревизији и санацији опреме, као и спровођењу инвестиционих радова, утицало је на међугодишњи пад нафтне индустрије од 59,6% и значајан негативан допринос од 5,5 п.п. на кретање прерађивачке индустрије. Међутим</w:t>
      </w:r>
      <w:r w:rsidR="006D4B54">
        <w:rPr>
          <w:rFonts w:cstheme="minorHAnsi"/>
          <w:bCs/>
          <w:szCs w:val="72"/>
          <w:lang w:val="sr-Latn-RS"/>
        </w:rPr>
        <w:t>,</w:t>
      </w:r>
      <w:r w:rsidRPr="008E2FD8">
        <w:rPr>
          <w:rFonts w:cstheme="minorHAnsi"/>
          <w:bCs/>
          <w:szCs w:val="72"/>
          <w:lang w:val="sr-Cyrl-RS"/>
        </w:rPr>
        <w:t xml:space="preserve"> реч је о привременом прекиду тако да се већ од априла очекује повратак производње у НИС-у на уобичајене нивое.</w:t>
      </w:r>
    </w:p>
    <w:p w14:paraId="7859AEE9" w14:textId="77777777" w:rsidR="00BB224C" w:rsidRPr="008E2FD8" w:rsidRDefault="00BB224C">
      <w:pPr>
        <w:jc w:val="left"/>
        <w:rPr>
          <w:rFonts w:cstheme="minorHAnsi"/>
          <w:b/>
          <w:color w:val="002060"/>
          <w:lang w:val="sr-Cyrl-RS"/>
        </w:rPr>
      </w:pPr>
      <w:r w:rsidRPr="008E2FD8">
        <w:rPr>
          <w:rFonts w:cstheme="minorHAnsi"/>
          <w:b/>
          <w:color w:val="002060"/>
          <w:lang w:val="sr-Cyrl-RS"/>
        </w:rPr>
        <w:br w:type="page"/>
      </w:r>
    </w:p>
    <w:p w14:paraId="2398292A" w14:textId="77777777" w:rsidR="007A529E" w:rsidRPr="008E2FD8" w:rsidRDefault="007A529E" w:rsidP="00CE729E">
      <w:pPr>
        <w:spacing w:after="60" w:line="240" w:lineRule="auto"/>
        <w:jc w:val="center"/>
        <w:rPr>
          <w:rFonts w:cstheme="minorHAnsi"/>
          <w:b/>
          <w:color w:val="002060"/>
          <w:lang w:val="sr-Cyrl-RS"/>
        </w:rPr>
      </w:pPr>
      <w:r w:rsidRPr="008E2FD8">
        <w:rPr>
          <w:rFonts w:cstheme="minorHAnsi"/>
          <w:b/>
          <w:color w:val="002060"/>
          <w:lang w:val="sr-Cyrl-RS"/>
        </w:rPr>
        <w:lastRenderedPageBreak/>
        <w:t>Индекси физичког обима водећих делатности индустријске производње, 2020=100</w:t>
      </w:r>
    </w:p>
    <w:tbl>
      <w:tblPr>
        <w:tblStyle w:val="TableGrid5"/>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0"/>
        <w:gridCol w:w="4680"/>
      </w:tblGrid>
      <w:tr w:rsidR="007A529E" w:rsidRPr="008E2FD8" w14:paraId="67686B40" w14:textId="77777777" w:rsidTr="00CE729E">
        <w:tc>
          <w:tcPr>
            <w:tcW w:w="4680" w:type="dxa"/>
          </w:tcPr>
          <w:p w14:paraId="1F70084D" w14:textId="77777777" w:rsidR="007A529E" w:rsidRPr="008E2FD8" w:rsidRDefault="007A529E" w:rsidP="00CE729E">
            <w:pPr>
              <w:spacing w:before="40" w:after="20"/>
              <w:jc w:val="center"/>
              <w:rPr>
                <w:lang w:val="sr-Cyrl-RS"/>
              </w:rPr>
            </w:pPr>
            <w:r w:rsidRPr="008E2FD8">
              <w:rPr>
                <w:lang w:val="sr-Cyrl-RS"/>
              </w:rPr>
              <w:t>Прерађивачка индустрија</w:t>
            </w:r>
          </w:p>
          <w:p w14:paraId="27FB35DC" w14:textId="77777777" w:rsidR="007A529E" w:rsidRPr="008E2FD8" w:rsidRDefault="007A529E" w:rsidP="00CE729E">
            <w:pPr>
              <w:spacing w:before="40" w:after="20"/>
              <w:jc w:val="center"/>
              <w:rPr>
                <w:lang w:val="sr-Cyrl-RS"/>
              </w:rPr>
            </w:pPr>
            <w:r w:rsidRPr="008E2FD8">
              <w:rPr>
                <w:noProof/>
              </w:rPr>
              <w:drawing>
                <wp:inline distT="0" distB="0" distL="0" distR="0" wp14:anchorId="2FD80823" wp14:editId="0DBCF6AB">
                  <wp:extent cx="2880000" cy="1278000"/>
                  <wp:effectExtent l="0" t="0" r="0" b="0"/>
                  <wp:docPr id="108" name="Chart 108">
                    <a:extLst xmlns:a="http://schemas.openxmlformats.org/drawingml/2006/main">
                      <a:ext uri="{FF2B5EF4-FFF2-40B4-BE49-F238E27FC236}">
                        <a16:creationId xmlns:a16="http://schemas.microsoft.com/office/drawing/2014/main" id="{00000000-0008-0000-1900-00002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680" w:type="dxa"/>
          </w:tcPr>
          <w:p w14:paraId="6B4E0220" w14:textId="77777777" w:rsidR="007A529E" w:rsidRPr="008E2FD8" w:rsidRDefault="007A529E" w:rsidP="00CE729E">
            <w:pPr>
              <w:spacing w:before="40" w:after="20"/>
              <w:jc w:val="center"/>
              <w:rPr>
                <w:lang w:val="sr-Cyrl-RS"/>
              </w:rPr>
            </w:pPr>
            <w:r w:rsidRPr="008E2FD8">
              <w:rPr>
                <w:lang w:val="sr-Cyrl-RS"/>
              </w:rPr>
              <w:t>Производња прехрамбених производа</w:t>
            </w:r>
          </w:p>
          <w:p w14:paraId="2AB47139" w14:textId="77777777" w:rsidR="007A529E" w:rsidRPr="008E2FD8" w:rsidRDefault="007A529E" w:rsidP="00CE729E">
            <w:pPr>
              <w:spacing w:before="40" w:after="20"/>
              <w:jc w:val="center"/>
              <w:rPr>
                <w:lang w:val="sr-Cyrl-RS"/>
              </w:rPr>
            </w:pPr>
            <w:r w:rsidRPr="008E2FD8">
              <w:rPr>
                <w:noProof/>
              </w:rPr>
              <w:drawing>
                <wp:inline distT="0" distB="0" distL="0" distR="0" wp14:anchorId="254FAA55" wp14:editId="7C4638CC">
                  <wp:extent cx="2880000" cy="1278000"/>
                  <wp:effectExtent l="0" t="0" r="0" b="0"/>
                  <wp:docPr id="109" name="Chart 109">
                    <a:extLst xmlns:a="http://schemas.openxmlformats.org/drawingml/2006/main">
                      <a:ext uri="{FF2B5EF4-FFF2-40B4-BE49-F238E27FC236}">
                        <a16:creationId xmlns:a16="http://schemas.microsoft.com/office/drawing/2014/main" id="{00000000-0008-0000-1900-000019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7A529E" w:rsidRPr="008E2FD8" w14:paraId="4409EF79" w14:textId="77777777" w:rsidTr="00CE729E">
        <w:tc>
          <w:tcPr>
            <w:tcW w:w="4680" w:type="dxa"/>
          </w:tcPr>
          <w:p w14:paraId="2BE76465" w14:textId="77777777" w:rsidR="007A529E" w:rsidRPr="008E2FD8" w:rsidRDefault="007A529E" w:rsidP="00CE729E">
            <w:pPr>
              <w:spacing w:before="40" w:after="20"/>
              <w:jc w:val="center"/>
              <w:rPr>
                <w:lang w:val="sr-Cyrl-RS"/>
              </w:rPr>
            </w:pPr>
            <w:r w:rsidRPr="008E2FD8">
              <w:rPr>
                <w:lang w:val="sr-Cyrl-RS"/>
              </w:rPr>
              <w:t>Производња електричне опреме</w:t>
            </w:r>
          </w:p>
          <w:p w14:paraId="670350FA" w14:textId="77777777" w:rsidR="007A529E" w:rsidRPr="008E2FD8" w:rsidRDefault="007A529E" w:rsidP="00CE729E">
            <w:pPr>
              <w:spacing w:before="40" w:after="20"/>
              <w:jc w:val="center"/>
              <w:rPr>
                <w:lang w:val="sr-Cyrl-RS"/>
              </w:rPr>
            </w:pPr>
            <w:r w:rsidRPr="008E2FD8">
              <w:rPr>
                <w:noProof/>
              </w:rPr>
              <w:drawing>
                <wp:inline distT="0" distB="0" distL="0" distR="0" wp14:anchorId="2CFDD39C" wp14:editId="20ABD7EC">
                  <wp:extent cx="2881465" cy="1278000"/>
                  <wp:effectExtent l="0" t="0" r="0" b="0"/>
                  <wp:docPr id="110" name="Chart 110">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4680" w:type="dxa"/>
          </w:tcPr>
          <w:p w14:paraId="0546824E" w14:textId="77777777" w:rsidR="007A529E" w:rsidRPr="008E2FD8" w:rsidRDefault="007A529E" w:rsidP="00CE729E">
            <w:pPr>
              <w:spacing w:before="40" w:after="20"/>
              <w:jc w:val="center"/>
              <w:rPr>
                <w:lang w:val="sr-Cyrl-RS"/>
              </w:rPr>
            </w:pPr>
            <w:r w:rsidRPr="008E2FD8">
              <w:rPr>
                <w:lang w:val="sr-Cyrl-RS"/>
              </w:rPr>
              <w:t>Производња металних производа, осим машина</w:t>
            </w:r>
          </w:p>
          <w:p w14:paraId="7D01AAFF" w14:textId="77777777" w:rsidR="007A529E" w:rsidRPr="008E2FD8" w:rsidRDefault="007A529E" w:rsidP="00CE729E">
            <w:pPr>
              <w:spacing w:before="40" w:after="20"/>
              <w:jc w:val="center"/>
              <w:rPr>
                <w:lang w:val="sr-Cyrl-RS"/>
              </w:rPr>
            </w:pPr>
            <w:r w:rsidRPr="008E2FD8">
              <w:rPr>
                <w:noProof/>
              </w:rPr>
              <w:drawing>
                <wp:inline distT="0" distB="0" distL="0" distR="0" wp14:anchorId="7B8740D0" wp14:editId="0ECE61BA">
                  <wp:extent cx="2880000" cy="1278000"/>
                  <wp:effectExtent l="0" t="0" r="0" b="0"/>
                  <wp:docPr id="111" name="Chart 111">
                    <a:extLst xmlns:a="http://schemas.openxmlformats.org/drawingml/2006/main">
                      <a:ext uri="{FF2B5EF4-FFF2-40B4-BE49-F238E27FC236}">
                        <a16:creationId xmlns:a16="http://schemas.microsoft.com/office/drawing/2014/main" id="{82F5EEEE-6490-46EB-8655-FEFAD9F28D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7A529E" w:rsidRPr="008E2FD8" w14:paraId="7E58B7BE" w14:textId="77777777" w:rsidTr="00CE729E">
        <w:tc>
          <w:tcPr>
            <w:tcW w:w="4680" w:type="dxa"/>
          </w:tcPr>
          <w:p w14:paraId="4C34D218" w14:textId="77777777" w:rsidR="007A529E" w:rsidRPr="008E2FD8" w:rsidRDefault="007A529E" w:rsidP="00CE729E">
            <w:pPr>
              <w:spacing w:before="40" w:after="20"/>
              <w:jc w:val="center"/>
              <w:rPr>
                <w:lang w:val="sr-Cyrl-RS"/>
              </w:rPr>
            </w:pPr>
            <w:r w:rsidRPr="008E2FD8">
              <w:rPr>
                <w:lang w:val="sr-Cyrl-RS"/>
              </w:rPr>
              <w:t>Производња машина и опреме на другом месту непоменуте</w:t>
            </w:r>
          </w:p>
          <w:p w14:paraId="216CB418" w14:textId="77777777" w:rsidR="007A529E" w:rsidRPr="008E2FD8" w:rsidRDefault="007A529E" w:rsidP="00CE729E">
            <w:pPr>
              <w:spacing w:before="40" w:after="20"/>
              <w:jc w:val="center"/>
              <w:rPr>
                <w:lang w:val="sr-Cyrl-RS"/>
              </w:rPr>
            </w:pPr>
            <w:r w:rsidRPr="008E2FD8">
              <w:rPr>
                <w:noProof/>
              </w:rPr>
              <w:drawing>
                <wp:inline distT="0" distB="0" distL="0" distR="0" wp14:anchorId="1E87E148" wp14:editId="5DDA5049">
                  <wp:extent cx="2881465" cy="1278000"/>
                  <wp:effectExtent l="0" t="0" r="0" b="0"/>
                  <wp:docPr id="112" name="Chart 112">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4680" w:type="dxa"/>
          </w:tcPr>
          <w:p w14:paraId="6245BA3C" w14:textId="77777777" w:rsidR="007A529E" w:rsidRPr="008E2FD8" w:rsidRDefault="007A529E" w:rsidP="00CE729E">
            <w:pPr>
              <w:spacing w:before="40" w:after="20"/>
              <w:jc w:val="center"/>
              <w:rPr>
                <w:lang w:val="sr-Cyrl-RS"/>
              </w:rPr>
            </w:pPr>
            <w:r w:rsidRPr="008E2FD8">
              <w:rPr>
                <w:lang w:val="sr-Cyrl-RS"/>
              </w:rPr>
              <w:t>Производња производа од неметалних минерала</w:t>
            </w:r>
          </w:p>
          <w:p w14:paraId="28066E82" w14:textId="77777777" w:rsidR="007A529E" w:rsidRPr="008E2FD8" w:rsidRDefault="007A529E" w:rsidP="00CE729E">
            <w:pPr>
              <w:spacing w:before="40" w:after="20"/>
              <w:jc w:val="center"/>
              <w:rPr>
                <w:sz w:val="18"/>
                <w:lang w:val="sr-Cyrl-RS"/>
              </w:rPr>
            </w:pPr>
          </w:p>
          <w:p w14:paraId="19CA3B7C" w14:textId="77777777" w:rsidR="007A529E" w:rsidRPr="008E2FD8" w:rsidRDefault="007A529E" w:rsidP="00CE729E">
            <w:pPr>
              <w:spacing w:before="40" w:after="20"/>
              <w:jc w:val="center"/>
              <w:rPr>
                <w:sz w:val="18"/>
                <w:lang w:val="sr-Cyrl-RS"/>
              </w:rPr>
            </w:pPr>
            <w:r w:rsidRPr="008E2FD8">
              <w:rPr>
                <w:noProof/>
              </w:rPr>
              <w:drawing>
                <wp:inline distT="0" distB="0" distL="0" distR="0" wp14:anchorId="1B46E527" wp14:editId="09D1BA79">
                  <wp:extent cx="2881465" cy="1278000"/>
                  <wp:effectExtent l="0" t="0" r="0" b="0"/>
                  <wp:docPr id="113" name="Chart 113">
                    <a:extLst xmlns:a="http://schemas.openxmlformats.org/drawingml/2006/main">
                      <a:ext uri="{FF2B5EF4-FFF2-40B4-BE49-F238E27FC236}">
                        <a16:creationId xmlns:a16="http://schemas.microsoft.com/office/drawing/2014/main" id="{5B093C49-7D7B-468F-A669-F2269CF102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7A529E" w:rsidRPr="008E2FD8" w14:paraId="1BD75CFC" w14:textId="77777777" w:rsidTr="00CE729E">
        <w:tc>
          <w:tcPr>
            <w:tcW w:w="4680" w:type="dxa"/>
          </w:tcPr>
          <w:p w14:paraId="2C8E00F7" w14:textId="77777777" w:rsidR="007A529E" w:rsidRPr="008E2FD8" w:rsidRDefault="007A529E" w:rsidP="00CE729E">
            <w:pPr>
              <w:spacing w:before="40" w:after="20"/>
              <w:jc w:val="center"/>
              <w:rPr>
                <w:lang w:val="sr-Cyrl-RS"/>
              </w:rPr>
            </w:pPr>
            <w:r w:rsidRPr="008E2FD8">
              <w:rPr>
                <w:lang w:val="sr-Cyrl-RS"/>
              </w:rPr>
              <w:t>Производња основних метала</w:t>
            </w:r>
          </w:p>
          <w:p w14:paraId="5EC7D0D5" w14:textId="77777777" w:rsidR="007A529E" w:rsidRPr="008E2FD8" w:rsidRDefault="007A529E" w:rsidP="00CE729E">
            <w:pPr>
              <w:spacing w:before="40" w:after="20"/>
              <w:jc w:val="center"/>
              <w:rPr>
                <w:lang w:val="sr-Cyrl-RS"/>
              </w:rPr>
            </w:pPr>
            <w:r w:rsidRPr="008E2FD8">
              <w:rPr>
                <w:noProof/>
              </w:rPr>
              <w:drawing>
                <wp:inline distT="0" distB="0" distL="0" distR="0" wp14:anchorId="4DEB7B5D" wp14:editId="5DE87C98">
                  <wp:extent cx="2880000" cy="1278000"/>
                  <wp:effectExtent l="0" t="0" r="0" b="0"/>
                  <wp:docPr id="114" name="Chart 114">
                    <a:extLst xmlns:a="http://schemas.openxmlformats.org/drawingml/2006/main">
                      <a:ext uri="{FF2B5EF4-FFF2-40B4-BE49-F238E27FC236}">
                        <a16:creationId xmlns:a16="http://schemas.microsoft.com/office/drawing/2014/main" id="{00000000-0008-0000-1900-00001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680" w:type="dxa"/>
          </w:tcPr>
          <w:p w14:paraId="32A351B3" w14:textId="77777777" w:rsidR="007A529E" w:rsidRPr="008E2FD8" w:rsidRDefault="007A529E" w:rsidP="00CE729E">
            <w:pPr>
              <w:spacing w:before="40" w:after="20"/>
              <w:jc w:val="center"/>
              <w:rPr>
                <w:lang w:val="sr-Cyrl-RS"/>
              </w:rPr>
            </w:pPr>
            <w:r w:rsidRPr="008E2FD8">
              <w:rPr>
                <w:lang w:val="sr-Cyrl-RS"/>
              </w:rPr>
              <w:t>Производња производа од гуме и пластике</w:t>
            </w:r>
          </w:p>
          <w:p w14:paraId="3E81FD18" w14:textId="77777777" w:rsidR="007A529E" w:rsidRPr="008E2FD8" w:rsidRDefault="007A529E" w:rsidP="00CE729E">
            <w:pPr>
              <w:spacing w:before="40" w:after="20"/>
              <w:jc w:val="center"/>
              <w:rPr>
                <w:lang w:val="sr-Cyrl-RS"/>
              </w:rPr>
            </w:pPr>
            <w:r w:rsidRPr="008E2FD8">
              <w:rPr>
                <w:noProof/>
              </w:rPr>
              <w:drawing>
                <wp:inline distT="0" distB="0" distL="0" distR="0" wp14:anchorId="3B00BCF1" wp14:editId="265D4EB5">
                  <wp:extent cx="2880000" cy="1278000"/>
                  <wp:effectExtent l="0" t="0" r="0" b="0"/>
                  <wp:docPr id="115" name="Chart 115">
                    <a:extLst xmlns:a="http://schemas.openxmlformats.org/drawingml/2006/main">
                      <a:ext uri="{FF2B5EF4-FFF2-40B4-BE49-F238E27FC236}">
                        <a16:creationId xmlns:a16="http://schemas.microsoft.com/office/drawing/2014/main" id="{00000000-0008-0000-1900-00001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7A529E" w:rsidRPr="008E2FD8" w14:paraId="34C4937C" w14:textId="77777777" w:rsidTr="00CE729E">
        <w:tc>
          <w:tcPr>
            <w:tcW w:w="4680" w:type="dxa"/>
          </w:tcPr>
          <w:p w14:paraId="3016EC2A" w14:textId="77777777" w:rsidR="007A529E" w:rsidRPr="008E2FD8" w:rsidRDefault="007A529E" w:rsidP="00CE729E">
            <w:pPr>
              <w:spacing w:before="40" w:after="20"/>
              <w:jc w:val="center"/>
              <w:rPr>
                <w:lang w:val="sr-Cyrl-RS"/>
              </w:rPr>
            </w:pPr>
            <w:r w:rsidRPr="008E2FD8">
              <w:rPr>
                <w:lang w:val="sr-Cyrl-RS"/>
              </w:rPr>
              <w:t>Производња моторних возила и приколица</w:t>
            </w:r>
          </w:p>
          <w:p w14:paraId="7A6EDF12" w14:textId="77777777" w:rsidR="007A529E" w:rsidRPr="008E2FD8" w:rsidRDefault="007A529E" w:rsidP="00CE729E">
            <w:pPr>
              <w:spacing w:before="40" w:after="20"/>
              <w:jc w:val="center"/>
              <w:rPr>
                <w:lang w:val="sr-Cyrl-RS"/>
              </w:rPr>
            </w:pPr>
            <w:r w:rsidRPr="008E2FD8">
              <w:rPr>
                <w:noProof/>
              </w:rPr>
              <w:drawing>
                <wp:inline distT="0" distB="0" distL="0" distR="0" wp14:anchorId="64A13178" wp14:editId="16F3BFE2">
                  <wp:extent cx="2880000" cy="1278000"/>
                  <wp:effectExtent l="0" t="0" r="0" b="0"/>
                  <wp:docPr id="116" name="Chart 116">
                    <a:extLst xmlns:a="http://schemas.openxmlformats.org/drawingml/2006/main">
                      <a:ext uri="{FF2B5EF4-FFF2-40B4-BE49-F238E27FC236}">
                        <a16:creationId xmlns:a16="http://schemas.microsoft.com/office/drawing/2014/main" id="{00000000-0008-0000-1900-00002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4680" w:type="dxa"/>
          </w:tcPr>
          <w:p w14:paraId="0A70B140" w14:textId="77777777" w:rsidR="007A529E" w:rsidRPr="008E2FD8" w:rsidRDefault="007A529E" w:rsidP="00CE729E">
            <w:pPr>
              <w:spacing w:before="40" w:after="20"/>
              <w:jc w:val="center"/>
              <w:rPr>
                <w:lang w:val="sr-Cyrl-RS"/>
              </w:rPr>
            </w:pPr>
            <w:r w:rsidRPr="008E2FD8">
              <w:rPr>
                <w:lang w:val="sr-Cyrl-RS"/>
              </w:rPr>
              <w:t>Производња кокса и деривата нафте</w:t>
            </w:r>
          </w:p>
          <w:p w14:paraId="204C9388" w14:textId="77777777" w:rsidR="007A529E" w:rsidRPr="008E2FD8" w:rsidRDefault="007A529E" w:rsidP="00CE729E">
            <w:pPr>
              <w:spacing w:before="40" w:after="20"/>
              <w:jc w:val="center"/>
              <w:rPr>
                <w:lang w:val="sr-Cyrl-RS"/>
              </w:rPr>
            </w:pPr>
            <w:r w:rsidRPr="008E2FD8">
              <w:rPr>
                <w:noProof/>
              </w:rPr>
              <w:drawing>
                <wp:inline distT="0" distB="0" distL="0" distR="0" wp14:anchorId="2014FB2C" wp14:editId="5FF4980E">
                  <wp:extent cx="2880000" cy="1278000"/>
                  <wp:effectExtent l="0" t="0" r="0" b="0"/>
                  <wp:docPr id="117" name="Chart 117">
                    <a:extLst xmlns:a="http://schemas.openxmlformats.org/drawingml/2006/main">
                      <a:ext uri="{FF2B5EF4-FFF2-40B4-BE49-F238E27FC236}">
                        <a16:creationId xmlns:a16="http://schemas.microsoft.com/office/drawing/2014/main" id="{00000000-0008-0000-1900-00001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14:paraId="745AD608" w14:textId="77777777" w:rsidR="007A529E" w:rsidRPr="008E2FD8" w:rsidRDefault="007A529E" w:rsidP="00CE729E">
      <w:pPr>
        <w:spacing w:before="20" w:after="0" w:line="240" w:lineRule="auto"/>
        <w:jc w:val="center"/>
        <w:rPr>
          <w:rFonts w:cstheme="minorHAnsi"/>
          <w:b/>
          <w:bCs/>
          <w:sz w:val="18"/>
          <w:szCs w:val="72"/>
          <w:lang w:val="sr-Cyrl-RS"/>
        </w:rPr>
      </w:pPr>
      <w:r w:rsidRPr="008E2FD8">
        <w:rPr>
          <w:noProof/>
        </w:rPr>
        <w:drawing>
          <wp:inline distT="0" distB="0" distL="0" distR="0" wp14:anchorId="457A3F75" wp14:editId="7DE13455">
            <wp:extent cx="4371429" cy="219048"/>
            <wp:effectExtent l="0" t="0" r="0" b="0"/>
            <wp:docPr id="1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48"/>
                    <a:stretch>
                      <a:fillRect/>
                    </a:stretch>
                  </pic:blipFill>
                  <pic:spPr>
                    <a:xfrm>
                      <a:off x="0" y="0"/>
                      <a:ext cx="4371429" cy="219048"/>
                    </a:xfrm>
                    <a:prstGeom prst="rect">
                      <a:avLst/>
                    </a:prstGeom>
                  </pic:spPr>
                </pic:pic>
              </a:graphicData>
            </a:graphic>
          </wp:inline>
        </w:drawing>
      </w:r>
    </w:p>
    <w:p w14:paraId="5BD1F6E0" w14:textId="77777777" w:rsidR="007A529E" w:rsidRPr="008E2FD8" w:rsidRDefault="007A529E" w:rsidP="00CE729E">
      <w:pPr>
        <w:spacing w:after="0" w:line="240" w:lineRule="auto"/>
        <w:jc w:val="left"/>
        <w:rPr>
          <w:rFonts w:cstheme="minorHAnsi"/>
          <w:b/>
          <w:bCs/>
          <w:sz w:val="14"/>
          <w:szCs w:val="72"/>
          <w:lang w:val="sr-Cyrl-RS"/>
        </w:rPr>
      </w:pPr>
      <w:r w:rsidRPr="008E2FD8">
        <w:rPr>
          <w:rFonts w:cstheme="minorHAnsi"/>
          <w:bCs/>
          <w:sz w:val="16"/>
          <w:szCs w:val="72"/>
          <w:lang w:val="sr-Cyrl-RS"/>
        </w:rPr>
        <w:t>Извор: Министарство финансија</w:t>
      </w:r>
    </w:p>
    <w:p w14:paraId="20F8E6E3" w14:textId="77777777" w:rsidR="007A529E" w:rsidRPr="008E2FD8" w:rsidRDefault="007A529E" w:rsidP="00CE729E">
      <w:pPr>
        <w:spacing w:after="0" w:line="240" w:lineRule="auto"/>
        <w:rPr>
          <w:rFonts w:cstheme="minorHAnsi"/>
          <w:b/>
          <w:bCs/>
          <w:szCs w:val="72"/>
          <w:lang w:val="sr-Cyrl-RS"/>
        </w:rPr>
        <w:sectPr w:rsidR="007A529E" w:rsidRPr="008E2FD8" w:rsidSect="00B435B3">
          <w:type w:val="continuous"/>
          <w:pgSz w:w="12240" w:h="15840"/>
          <w:pgMar w:top="1440" w:right="1440" w:bottom="1440" w:left="1440" w:header="720" w:footer="720" w:gutter="0"/>
          <w:cols w:space="720"/>
          <w:docGrid w:linePitch="360"/>
          <w15:footnoteColumns w:val="1"/>
        </w:sectPr>
      </w:pPr>
    </w:p>
    <w:p w14:paraId="07BE6171" w14:textId="77777777" w:rsidR="007A529E" w:rsidRDefault="007A529E" w:rsidP="00B435B3">
      <w:pPr>
        <w:rPr>
          <w:rFonts w:cstheme="minorHAnsi"/>
          <w:bCs/>
          <w:szCs w:val="72"/>
          <w:lang w:val="sr-Cyrl-RS"/>
        </w:rPr>
      </w:pPr>
      <w:r w:rsidRPr="008E2FD8">
        <w:rPr>
          <w:rFonts w:cstheme="minorHAnsi"/>
          <w:bCs/>
          <w:szCs w:val="72"/>
          <w:lang w:val="sr-Cyrl-RS"/>
        </w:rPr>
        <w:lastRenderedPageBreak/>
        <w:t xml:space="preserve">Услужни сектор је део привреде који је због своје структуре био највише погођен епидемијом коронавируса, како у погледу јачине тог утицаја тако и по дужини трајања. Поједине делатности попут туризма, угоститељства, саобраћаја, уметности, забаве и рекреације забележиле су драматичан пад, нарочито у другом кварталу претходне године. Међутим, са постепеним попуштањем мера и побољшањем </w:t>
      </w:r>
      <w:r w:rsidRPr="008E2FD8">
        <w:rPr>
          <w:rFonts w:cstheme="minorHAnsi"/>
          <w:bCs/>
          <w:szCs w:val="72"/>
          <w:lang w:val="sr-Cyrl-RS"/>
        </w:rPr>
        <w:t>епидемиолошке ситуације региструје се умерени опоравак у овим делатностима, али се повратак на пред-пандемијске нивое очекује тек током 2022. године.</w:t>
      </w:r>
      <w:r w:rsidRPr="008E2FD8">
        <w:rPr>
          <w:lang w:val="sr-Cyrl-RS"/>
        </w:rPr>
        <w:t xml:space="preserve"> </w:t>
      </w:r>
      <w:r w:rsidRPr="008E2FD8">
        <w:rPr>
          <w:rFonts w:cstheme="minorHAnsi"/>
          <w:bCs/>
          <w:szCs w:val="72"/>
          <w:lang w:val="sr-Cyrl-RS"/>
        </w:rPr>
        <w:t>Међутим, неке услужне делатности попут трговине, ИКТ и финансијских услуга наставиле су са позитивним кретањима упркос неповољним условима претходне године, а раст се у</w:t>
      </w:r>
      <w:r w:rsidR="00CF2D04">
        <w:rPr>
          <w:rFonts w:cstheme="minorHAnsi"/>
          <w:bCs/>
          <w:szCs w:val="72"/>
          <w:lang w:val="sr-Cyrl-RS"/>
        </w:rPr>
        <w:t>брзава и почетком 2021. године.</w:t>
      </w:r>
    </w:p>
    <w:p w14:paraId="2DACF0C3" w14:textId="77777777" w:rsidR="00CF2D04" w:rsidRPr="008E2FD8" w:rsidRDefault="00CF2D04" w:rsidP="00B435B3">
      <w:pPr>
        <w:rPr>
          <w:rFonts w:cstheme="minorHAnsi"/>
          <w:bCs/>
          <w:color w:val="FF0000"/>
          <w:szCs w:val="72"/>
          <w:lang w:val="sr-Cyrl-RS"/>
        </w:rPr>
        <w:sectPr w:rsidR="00CF2D04" w:rsidRPr="008E2FD8" w:rsidSect="00CE5657">
          <w:type w:val="continuous"/>
          <w:pgSz w:w="12240" w:h="15840"/>
          <w:pgMar w:top="1440" w:right="1440" w:bottom="1440" w:left="1440" w:header="720" w:footer="720" w:gutter="0"/>
          <w:cols w:num="2" w:space="720"/>
          <w:docGrid w:linePitch="360"/>
          <w15:footnoteColumns w:val="1"/>
        </w:sectPr>
      </w:pPr>
    </w:p>
    <w:p w14:paraId="5E9D31F8" w14:textId="77777777" w:rsidR="007A529E" w:rsidRPr="008E2FD8" w:rsidRDefault="007A529E" w:rsidP="00CE729E">
      <w:pPr>
        <w:spacing w:before="240"/>
        <w:jc w:val="center"/>
        <w:rPr>
          <w:rFonts w:cstheme="minorHAnsi"/>
          <w:b/>
          <w:color w:val="002060"/>
          <w:lang w:val="sr-Cyrl-RS"/>
        </w:rPr>
      </w:pPr>
      <w:r w:rsidRPr="008E2FD8">
        <w:rPr>
          <w:rFonts w:cstheme="minorHAnsi"/>
          <w:b/>
          <w:color w:val="002060"/>
          <w:lang w:val="sr-Cyrl-RS"/>
        </w:rPr>
        <w:t>Високофреквентни индикатори најзначајнијих услужних делатности, 2020=100</w:t>
      </w:r>
    </w:p>
    <w:tbl>
      <w:tblPr>
        <w:tblStyle w:val="TableGrid6"/>
        <w:tblW w:w="0" w:type="auto"/>
        <w:tblBorders>
          <w:top w:val="none" w:sz="0" w:space="0" w:color="auto"/>
          <w:left w:val="none" w:sz="0" w:space="0" w:color="auto"/>
          <w:bottom w:val="dashSmallGap" w:sz="4" w:space="0" w:color="BFBFBF" w:themeColor="background1" w:themeShade="BF"/>
          <w:right w:val="none" w:sz="0" w:space="0" w:color="auto"/>
          <w:insideH w:val="dashSmallGap" w:sz="4" w:space="0" w:color="BFBFBF" w:themeColor="background1" w:themeShade="BF"/>
          <w:insideV w:val="dashSmallGap" w:sz="4" w:space="0" w:color="BFBFBF" w:themeColor="background1" w:themeShade="BF"/>
        </w:tblBorders>
        <w:tblLook w:val="04A0" w:firstRow="1" w:lastRow="0" w:firstColumn="1" w:lastColumn="0" w:noHBand="0" w:noVBand="1"/>
      </w:tblPr>
      <w:tblGrid>
        <w:gridCol w:w="4681"/>
        <w:gridCol w:w="4679"/>
      </w:tblGrid>
      <w:tr w:rsidR="007A529E" w:rsidRPr="008E2FD8" w14:paraId="44AE88CB" w14:textId="77777777" w:rsidTr="00CE729E">
        <w:tc>
          <w:tcPr>
            <w:tcW w:w="4681" w:type="dxa"/>
          </w:tcPr>
          <w:p w14:paraId="4F92DBB9" w14:textId="77777777" w:rsidR="007A529E" w:rsidRPr="008E2FD8" w:rsidRDefault="007A529E" w:rsidP="00CE729E">
            <w:pPr>
              <w:jc w:val="center"/>
              <w:rPr>
                <w:lang w:val="sr-Cyrl-RS"/>
              </w:rPr>
            </w:pPr>
            <w:r w:rsidRPr="008E2FD8">
              <w:rPr>
                <w:lang w:val="sr-Cyrl-RS"/>
              </w:rPr>
              <w:t>Промет у трговини на мало у сталним ценама</w:t>
            </w:r>
          </w:p>
          <w:p w14:paraId="50041FDF" w14:textId="77777777" w:rsidR="007A529E" w:rsidRPr="008E2FD8" w:rsidRDefault="007A529E" w:rsidP="00CE729E">
            <w:pPr>
              <w:jc w:val="center"/>
              <w:rPr>
                <w:lang w:val="sr-Cyrl-RS"/>
              </w:rPr>
            </w:pPr>
          </w:p>
          <w:p w14:paraId="49479BC8" w14:textId="77777777" w:rsidR="007A529E" w:rsidRPr="008E2FD8" w:rsidRDefault="007A529E" w:rsidP="00CE729E">
            <w:pPr>
              <w:jc w:val="center"/>
              <w:rPr>
                <w:lang w:val="sr-Cyrl-RS"/>
              </w:rPr>
            </w:pPr>
            <w:r w:rsidRPr="008E2FD8">
              <w:rPr>
                <w:noProof/>
              </w:rPr>
              <w:drawing>
                <wp:inline distT="0" distB="0" distL="0" distR="0" wp14:anchorId="43A18FFF" wp14:editId="281E11DD">
                  <wp:extent cx="2881504" cy="1332000"/>
                  <wp:effectExtent l="0" t="0" r="0" b="1905"/>
                  <wp:docPr id="119" name="Chart 119">
                    <a:extLst xmlns:a="http://schemas.openxmlformats.org/drawingml/2006/main">
                      <a:ext uri="{FF2B5EF4-FFF2-40B4-BE49-F238E27FC236}">
                        <a16:creationId xmlns:a16="http://schemas.microsoft.com/office/drawing/2014/main" id="{00000000-0008-0000-1A00-00000D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679" w:type="dxa"/>
          </w:tcPr>
          <w:p w14:paraId="5B302577" w14:textId="77777777" w:rsidR="007A529E" w:rsidRPr="008E2FD8" w:rsidRDefault="007A529E" w:rsidP="00CE729E">
            <w:pPr>
              <w:jc w:val="center"/>
              <w:rPr>
                <w:lang w:val="sr-Cyrl-RS"/>
              </w:rPr>
            </w:pPr>
            <w:r w:rsidRPr="008E2FD8">
              <w:rPr>
                <w:lang w:val="sr-Cyrl-RS"/>
              </w:rPr>
              <w:t>Извоз услуга телекомуникација, компјутерских и информацијских услуга</w:t>
            </w:r>
          </w:p>
          <w:p w14:paraId="611A2FF4" w14:textId="77777777" w:rsidR="007A529E" w:rsidRPr="008E2FD8" w:rsidRDefault="007A529E" w:rsidP="00CE729E">
            <w:pPr>
              <w:jc w:val="center"/>
              <w:rPr>
                <w:lang w:val="sr-Cyrl-RS"/>
              </w:rPr>
            </w:pPr>
            <w:r w:rsidRPr="008E2FD8">
              <w:rPr>
                <w:noProof/>
              </w:rPr>
              <w:drawing>
                <wp:inline distT="0" distB="0" distL="0" distR="0" wp14:anchorId="24A0182A" wp14:editId="2CCBC4AC">
                  <wp:extent cx="2880000" cy="1332000"/>
                  <wp:effectExtent l="0" t="0" r="0" b="1905"/>
                  <wp:docPr id="120" name="Chart 120">
                    <a:extLst xmlns:a="http://schemas.openxmlformats.org/drawingml/2006/main">
                      <a:ext uri="{FF2B5EF4-FFF2-40B4-BE49-F238E27FC236}">
                        <a16:creationId xmlns:a16="http://schemas.microsoft.com/office/drawing/2014/main" id="{00000000-0008-0000-1B00-00000C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7A529E" w:rsidRPr="008E2FD8" w14:paraId="4FF7EABF" w14:textId="77777777" w:rsidTr="00CE729E">
        <w:tc>
          <w:tcPr>
            <w:tcW w:w="4681" w:type="dxa"/>
          </w:tcPr>
          <w:p w14:paraId="76C2B5D3" w14:textId="77777777" w:rsidR="007A529E" w:rsidRPr="008E2FD8" w:rsidRDefault="007A529E" w:rsidP="00CE729E">
            <w:pPr>
              <w:spacing w:before="60"/>
              <w:jc w:val="center"/>
              <w:rPr>
                <w:lang w:val="sr-Cyrl-RS"/>
              </w:rPr>
            </w:pPr>
            <w:r w:rsidRPr="008E2FD8">
              <w:rPr>
                <w:lang w:val="sr-Cyrl-RS"/>
              </w:rPr>
              <w:t>Ноћења туриста</w:t>
            </w:r>
          </w:p>
          <w:p w14:paraId="26C656F1" w14:textId="77777777" w:rsidR="007A529E" w:rsidRPr="008E2FD8" w:rsidRDefault="007A529E" w:rsidP="00CE729E">
            <w:pPr>
              <w:spacing w:before="60"/>
              <w:jc w:val="center"/>
              <w:rPr>
                <w:lang w:val="sr-Cyrl-RS"/>
              </w:rPr>
            </w:pPr>
            <w:r w:rsidRPr="008E2FD8">
              <w:rPr>
                <w:noProof/>
              </w:rPr>
              <w:drawing>
                <wp:inline distT="0" distB="0" distL="0" distR="0" wp14:anchorId="2044C3EB" wp14:editId="091CC226">
                  <wp:extent cx="2880000" cy="1332000"/>
                  <wp:effectExtent l="0" t="0" r="0" b="1905"/>
                  <wp:docPr id="121" name="Chart 121">
                    <a:extLst xmlns:a="http://schemas.openxmlformats.org/drawingml/2006/main">
                      <a:ext uri="{FF2B5EF4-FFF2-40B4-BE49-F238E27FC236}">
                        <a16:creationId xmlns:a16="http://schemas.microsoft.com/office/drawing/2014/main" id="{00000000-0008-0000-1A00-000011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679" w:type="dxa"/>
          </w:tcPr>
          <w:p w14:paraId="2202159F" w14:textId="77777777" w:rsidR="007A529E" w:rsidRPr="008E2FD8" w:rsidRDefault="007A529E" w:rsidP="00CE729E">
            <w:pPr>
              <w:spacing w:before="60" w:after="60"/>
              <w:jc w:val="center"/>
              <w:rPr>
                <w:lang w:val="sr-Cyrl-RS"/>
              </w:rPr>
            </w:pPr>
            <w:r w:rsidRPr="008E2FD8">
              <w:rPr>
                <w:lang w:val="sr-Cyrl-RS"/>
              </w:rPr>
              <w:t>Промет у угоститељству у сталним ценама</w:t>
            </w:r>
          </w:p>
          <w:p w14:paraId="450445D6" w14:textId="77777777" w:rsidR="007A529E" w:rsidRPr="008E2FD8" w:rsidRDefault="007A529E" w:rsidP="00CE729E">
            <w:pPr>
              <w:spacing w:before="60" w:after="60"/>
              <w:jc w:val="center"/>
              <w:rPr>
                <w:lang w:val="sr-Cyrl-RS"/>
              </w:rPr>
            </w:pPr>
            <w:r w:rsidRPr="008E2FD8">
              <w:rPr>
                <w:noProof/>
              </w:rPr>
              <w:drawing>
                <wp:inline distT="0" distB="0" distL="0" distR="0" wp14:anchorId="2F50F2FD" wp14:editId="4F869CD1">
                  <wp:extent cx="2880000" cy="1332000"/>
                  <wp:effectExtent l="0" t="0" r="0" b="1905"/>
                  <wp:docPr id="122" name="Chart 122">
                    <a:extLst xmlns:a="http://schemas.openxmlformats.org/drawingml/2006/main">
                      <a:ext uri="{FF2B5EF4-FFF2-40B4-BE49-F238E27FC236}">
                        <a16:creationId xmlns:a16="http://schemas.microsoft.com/office/drawing/2014/main" id="{00000000-0008-0000-1A00-000010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7A529E" w:rsidRPr="008E2FD8" w14:paraId="24E86D1B" w14:textId="77777777" w:rsidTr="00CE729E">
        <w:tc>
          <w:tcPr>
            <w:tcW w:w="4681" w:type="dxa"/>
          </w:tcPr>
          <w:p w14:paraId="74F59094" w14:textId="77777777" w:rsidR="007A529E" w:rsidRPr="008E2FD8" w:rsidRDefault="007A529E" w:rsidP="00CE729E">
            <w:pPr>
              <w:spacing w:before="60"/>
              <w:jc w:val="center"/>
              <w:rPr>
                <w:lang w:val="sr-Cyrl-RS"/>
              </w:rPr>
            </w:pPr>
            <w:r w:rsidRPr="008E2FD8">
              <w:rPr>
                <w:lang w:val="sr-Cyrl-RS"/>
              </w:rPr>
              <w:t>Извоз туристичких услуга</w:t>
            </w:r>
          </w:p>
          <w:p w14:paraId="0BB86CE3" w14:textId="77777777" w:rsidR="007A529E" w:rsidRPr="008E2FD8" w:rsidRDefault="007A529E" w:rsidP="00CE729E">
            <w:pPr>
              <w:jc w:val="center"/>
              <w:rPr>
                <w:lang w:val="sr-Cyrl-RS"/>
              </w:rPr>
            </w:pPr>
            <w:r w:rsidRPr="008E2FD8">
              <w:rPr>
                <w:noProof/>
              </w:rPr>
              <w:drawing>
                <wp:inline distT="0" distB="0" distL="0" distR="0" wp14:anchorId="7A3ACDA5" wp14:editId="3CF03D56">
                  <wp:extent cx="2880000" cy="1332000"/>
                  <wp:effectExtent l="0" t="0" r="0" b="1905"/>
                  <wp:docPr id="123" name="Chart 123">
                    <a:extLst xmlns:a="http://schemas.openxmlformats.org/drawingml/2006/main">
                      <a:ext uri="{FF2B5EF4-FFF2-40B4-BE49-F238E27FC236}">
                        <a16:creationId xmlns:a16="http://schemas.microsoft.com/office/drawing/2014/main" id="{00000000-0008-0000-1B00-00000B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c>
          <w:tcPr>
            <w:tcW w:w="4679" w:type="dxa"/>
          </w:tcPr>
          <w:p w14:paraId="3D360254" w14:textId="77777777" w:rsidR="007A529E" w:rsidRPr="008E2FD8" w:rsidRDefault="007A529E" w:rsidP="00CE729E">
            <w:pPr>
              <w:spacing w:before="60"/>
              <w:jc w:val="center"/>
              <w:rPr>
                <w:lang w:val="sr-Cyrl-RS"/>
              </w:rPr>
            </w:pPr>
            <w:r w:rsidRPr="008E2FD8">
              <w:rPr>
                <w:lang w:val="sr-Cyrl-RS"/>
              </w:rPr>
              <w:t>Извоз транспортних услуга</w:t>
            </w:r>
          </w:p>
          <w:p w14:paraId="5C041D64" w14:textId="77777777" w:rsidR="007A529E" w:rsidRPr="008E2FD8" w:rsidRDefault="007A529E" w:rsidP="00CE729E">
            <w:pPr>
              <w:spacing w:before="60"/>
              <w:jc w:val="center"/>
              <w:rPr>
                <w:lang w:val="sr-Cyrl-RS" w:eastAsia="en-GB"/>
              </w:rPr>
            </w:pPr>
            <w:r w:rsidRPr="008E2FD8">
              <w:rPr>
                <w:noProof/>
              </w:rPr>
              <w:drawing>
                <wp:inline distT="0" distB="0" distL="0" distR="0" wp14:anchorId="676DD299" wp14:editId="7B3526EC">
                  <wp:extent cx="2880000" cy="1332000"/>
                  <wp:effectExtent l="0" t="0" r="0" b="1905"/>
                  <wp:docPr id="124" name="Chart 124">
                    <a:extLst xmlns:a="http://schemas.openxmlformats.org/drawingml/2006/main">
                      <a:ext uri="{FF2B5EF4-FFF2-40B4-BE49-F238E27FC236}">
                        <a16:creationId xmlns:a16="http://schemas.microsoft.com/office/drawing/2014/main" id="{00000000-0008-0000-1B00-00000A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p w14:paraId="03AE6E3E" w14:textId="77777777" w:rsidR="007A529E" w:rsidRPr="008E2FD8" w:rsidRDefault="007A529E" w:rsidP="00CE729E">
      <w:pPr>
        <w:spacing w:before="120" w:after="0"/>
        <w:jc w:val="center"/>
        <w:rPr>
          <w:rFonts w:cstheme="minorHAnsi"/>
          <w:b/>
          <w:lang w:val="sr-Cyrl-RS"/>
        </w:rPr>
      </w:pPr>
      <w:r w:rsidRPr="008E2FD8">
        <w:rPr>
          <w:noProof/>
        </w:rPr>
        <w:drawing>
          <wp:inline distT="0" distB="0" distL="0" distR="0" wp14:anchorId="412328CA" wp14:editId="7CE0AD5D">
            <wp:extent cx="4371429" cy="219048"/>
            <wp:effectExtent l="0" t="0" r="0" b="0"/>
            <wp:docPr id="1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48"/>
                    <a:stretch>
                      <a:fillRect/>
                    </a:stretch>
                  </pic:blipFill>
                  <pic:spPr>
                    <a:xfrm>
                      <a:off x="0" y="0"/>
                      <a:ext cx="4371429" cy="219048"/>
                    </a:xfrm>
                    <a:prstGeom prst="rect">
                      <a:avLst/>
                    </a:prstGeom>
                  </pic:spPr>
                </pic:pic>
              </a:graphicData>
            </a:graphic>
          </wp:inline>
        </w:drawing>
      </w:r>
    </w:p>
    <w:p w14:paraId="55C7F44C" w14:textId="77777777" w:rsidR="007A529E" w:rsidRPr="008E2FD8" w:rsidRDefault="007A529E" w:rsidP="00CE729E">
      <w:pPr>
        <w:jc w:val="left"/>
        <w:rPr>
          <w:rFonts w:cstheme="minorHAnsi"/>
          <w:b/>
          <w:lang w:val="sr-Cyrl-RS"/>
        </w:rPr>
      </w:pPr>
      <w:r w:rsidRPr="008E2FD8">
        <w:rPr>
          <w:rFonts w:cstheme="minorHAnsi"/>
          <w:bCs/>
          <w:sz w:val="16"/>
          <w:szCs w:val="72"/>
          <w:lang w:val="sr-Cyrl-RS"/>
        </w:rPr>
        <w:t>Извор: Министарство финансија</w:t>
      </w:r>
    </w:p>
    <w:p w14:paraId="72F3F527" w14:textId="77777777" w:rsidR="007A529E" w:rsidRPr="008E2FD8" w:rsidRDefault="007A529E">
      <w:pPr>
        <w:jc w:val="left"/>
        <w:rPr>
          <w:rFonts w:cstheme="minorHAnsi"/>
          <w:b/>
          <w:lang w:val="sr-Cyrl-RS"/>
        </w:rPr>
      </w:pPr>
      <w:r w:rsidRPr="008E2FD8">
        <w:rPr>
          <w:rFonts w:cstheme="minorHAnsi"/>
          <w:b/>
          <w:lang w:val="sr-Cyrl-RS"/>
        </w:rPr>
        <w:br w:type="page"/>
      </w:r>
    </w:p>
    <w:p w14:paraId="1410C871" w14:textId="77777777" w:rsidR="007A529E" w:rsidRPr="008E2FD8" w:rsidRDefault="007A529E" w:rsidP="00B435B3">
      <w:pPr>
        <w:jc w:val="center"/>
        <w:rPr>
          <w:rFonts w:cstheme="minorHAnsi"/>
          <w:b/>
          <w:lang w:val="sr-Cyrl-RS"/>
        </w:rPr>
        <w:sectPr w:rsidR="007A529E" w:rsidRPr="008E2FD8" w:rsidSect="00B435B3">
          <w:type w:val="continuous"/>
          <w:pgSz w:w="12240" w:h="15840"/>
          <w:pgMar w:top="1440" w:right="1440" w:bottom="1440" w:left="1440" w:header="720" w:footer="720" w:gutter="0"/>
          <w:cols w:space="720"/>
          <w:docGrid w:linePitch="360"/>
          <w15:footnoteColumns w:val="1"/>
        </w:sectPr>
      </w:pPr>
    </w:p>
    <w:p w14:paraId="62E6407C" w14:textId="77777777" w:rsidR="007A529E" w:rsidRPr="008E2FD8" w:rsidRDefault="007A529E" w:rsidP="007E131A">
      <w:pPr>
        <w:tabs>
          <w:tab w:val="left" w:pos="720"/>
          <w:tab w:val="left" w:pos="1440"/>
        </w:tabs>
        <w:spacing w:after="0"/>
        <w:rPr>
          <w:rFonts w:cstheme="minorHAnsi"/>
          <w:bCs/>
          <w:szCs w:val="72"/>
          <w:lang w:val="sr-Cyrl-RS"/>
        </w:rPr>
      </w:pPr>
      <w:r w:rsidRPr="008E2FD8">
        <w:rPr>
          <w:rFonts w:cstheme="minorHAnsi"/>
          <w:bCs/>
          <w:szCs w:val="72"/>
          <w:lang w:val="sr-Cyrl-RS"/>
        </w:rPr>
        <w:lastRenderedPageBreak/>
        <w:t>Упркос бољим остварењима у првом кварталу 2021. године од пројектованих, Министарство финансија, због и даље присутне високе неизвесности и уважавајући поштовање принципа опрезности, остаје при процени годишњег раста БДП од 6% у 2021. години, уз благо измењену структуру извора раста у поређењу са претходном пројекцијом из Фискалне стратегије за 2021. годину. Међутим, уколико се настави динамика раста економске активности из претходних месеци потпомогнута усвојеним пакетом економских мера, напретком у процесу вакцинације и даљим опоравком спољне тражње, раст БДП би у 2021. години могао да буде и већи, те матрицу ризика оцењујемо као благо асиметричну навише. Путања раста од 6% подразумевала би раст БДП у другом кварталу од око 11% мг, имајући у виду ниску базу из истог периода претходне године, док би у трећем и четвртом тромесечју раст привреде требао да износи 5,8% мг. и 6,0% мг, респективно.</w:t>
      </w:r>
    </w:p>
    <w:p w14:paraId="3644C00C" w14:textId="77777777" w:rsidR="007A529E" w:rsidRPr="008E2FD8" w:rsidRDefault="007A529E" w:rsidP="007E131A">
      <w:pPr>
        <w:tabs>
          <w:tab w:val="left" w:pos="720"/>
          <w:tab w:val="left" w:pos="1440"/>
        </w:tabs>
        <w:spacing w:before="120" w:after="0" w:line="240" w:lineRule="auto"/>
        <w:rPr>
          <w:rFonts w:cstheme="minorHAnsi"/>
          <w:bCs/>
          <w:szCs w:val="72"/>
          <w:lang w:val="sr-Cyrl-RS"/>
        </w:rPr>
      </w:pPr>
      <w:r w:rsidRPr="008E2FD8">
        <w:rPr>
          <w:noProof/>
        </w:rPr>
        <mc:AlternateContent>
          <mc:Choice Requires="wps">
            <w:drawing>
              <wp:anchor distT="0" distB="0" distL="114300" distR="114300" simplePos="0" relativeHeight="251675136" behindDoc="0" locked="0" layoutInCell="1" allowOverlap="1" wp14:anchorId="5267BCC6" wp14:editId="70C1D8A9">
                <wp:simplePos x="0" y="0"/>
                <wp:positionH relativeFrom="margin">
                  <wp:posOffset>1866900</wp:posOffset>
                </wp:positionH>
                <wp:positionV relativeFrom="paragraph">
                  <wp:posOffset>429260</wp:posOffset>
                </wp:positionV>
                <wp:extent cx="879894" cy="2162175"/>
                <wp:effectExtent l="0" t="0" r="15875" b="28575"/>
                <wp:wrapNone/>
                <wp:docPr id="91" name="TextBox 1">
                  <a:extLst xmlns:a="http://schemas.openxmlformats.org/drawingml/2006/main">
                    <a:ext uri="{FF2B5EF4-FFF2-40B4-BE49-F238E27FC236}">
                      <a16:creationId xmlns:a16="http://schemas.microsoft.com/office/drawing/2014/main" id="{CB67022E-D6AD-4B7B-A85C-598295CBC51B}"/>
                    </a:ext>
                  </a:extLst>
                </wp:docPr>
                <wp:cNvGraphicFramePr/>
                <a:graphic xmlns:a="http://schemas.openxmlformats.org/drawingml/2006/main">
                  <a:graphicData uri="http://schemas.microsoft.com/office/word/2010/wordprocessingShape">
                    <wps:wsp>
                      <wps:cNvSpPr txBox="1"/>
                      <wps:spPr>
                        <a:xfrm>
                          <a:off x="0" y="0"/>
                          <a:ext cx="879894" cy="2162175"/>
                        </a:xfrm>
                        <a:prstGeom prst="rect">
                          <a:avLst/>
                        </a:prstGeom>
                        <a:solidFill>
                          <a:schemeClr val="accent5">
                            <a:alpha val="10000"/>
                          </a:schemeClr>
                        </a:solidFill>
                        <a:ln>
                          <a:solidFill>
                            <a:schemeClr val="accent1"/>
                          </a:solidFill>
                          <a:prstDash val="dash"/>
                        </a:ln>
                      </wps:spPr>
                      <wps:bodyPr wrap="square" rtlCol="0" anchor="t"/>
                    </wps:wsp>
                  </a:graphicData>
                </a:graphic>
                <wp14:sizeRelH relativeFrom="margin">
                  <wp14:pctWidth>0</wp14:pctWidth>
                </wp14:sizeRelH>
                <wp14:sizeRelV relativeFrom="margin">
                  <wp14:pctHeight>0</wp14:pctHeight>
                </wp14:sizeRelV>
              </wp:anchor>
            </w:drawing>
          </mc:Choice>
          <mc:Fallback>
            <w:pict>
              <v:shapetype w14:anchorId="223B0873" id="_x0000_t202" coordsize="21600,21600" o:spt="202" path="m,l,21600r21600,l21600,xe">
                <v:stroke joinstyle="miter"/>
                <v:path gradientshapeok="t" o:connecttype="rect"/>
              </v:shapetype>
              <v:shape id="TextBox 1" o:spid="_x0000_s1026" type="#_x0000_t202" style="position:absolute;margin-left:147pt;margin-top:33.8pt;width:69.3pt;height:170.25pt;z-index:251675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" fillcolor="#5b9bd5 [3208]" strokecolor="#4472c4 [3204]">
                <v:fill opacity="6682f"/>
                <v:stroke dashstyle="dash"/>
                <w10:wrap anchorx="margin"/>
              </v:shape>
            </w:pict>
          </mc:Fallback>
        </mc:AlternateContent>
      </w:r>
      <w:r w:rsidRPr="008E2FD8">
        <w:rPr>
          <w:noProof/>
        </w:rPr>
        <w:drawing>
          <wp:inline distT="0" distB="0" distL="0" distR="0" wp14:anchorId="57A1B857" wp14:editId="7229BFA3">
            <wp:extent cx="2895600" cy="2844000"/>
            <wp:effectExtent l="0" t="0" r="0" b="0"/>
            <wp:docPr id="126" name="Chart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6884E86" w14:textId="77777777" w:rsidR="007A529E" w:rsidRPr="008E2FD8" w:rsidRDefault="007A529E" w:rsidP="007E131A">
      <w:pPr>
        <w:tabs>
          <w:tab w:val="left" w:pos="720"/>
          <w:tab w:val="left" w:pos="1440"/>
        </w:tabs>
        <w:spacing w:after="120" w:line="240" w:lineRule="auto"/>
        <w:rPr>
          <w:rFonts w:cstheme="minorHAnsi"/>
          <w:bCs/>
          <w:sz w:val="16"/>
          <w:szCs w:val="72"/>
          <w:lang w:val="sr-Cyrl-RS"/>
        </w:rPr>
      </w:pPr>
      <w:r w:rsidRPr="008E2FD8">
        <w:rPr>
          <w:rFonts w:cstheme="minorHAnsi"/>
          <w:bCs/>
          <w:sz w:val="16"/>
          <w:szCs w:val="72"/>
          <w:lang w:val="sr-Cyrl-RS"/>
        </w:rPr>
        <w:t>* Процене Министарства финансија</w:t>
      </w:r>
    </w:p>
    <w:p w14:paraId="36392D11" w14:textId="77777777" w:rsidR="007A529E" w:rsidRPr="008E2FD8" w:rsidRDefault="007A529E" w:rsidP="007E131A">
      <w:pPr>
        <w:tabs>
          <w:tab w:val="left" w:pos="720"/>
          <w:tab w:val="left" w:pos="1440"/>
        </w:tabs>
        <w:spacing w:after="120"/>
        <w:rPr>
          <w:rFonts w:cstheme="minorHAnsi"/>
          <w:bCs/>
          <w:spacing w:val="-2"/>
          <w:szCs w:val="72"/>
          <w:lang w:val="sr-Cyrl-RS"/>
        </w:rPr>
      </w:pPr>
      <w:r w:rsidRPr="008E2FD8">
        <w:rPr>
          <w:rFonts w:cstheme="minorHAnsi"/>
          <w:bCs/>
          <w:spacing w:val="-2"/>
          <w:szCs w:val="72"/>
          <w:lang w:val="sr-Cyrl-RS"/>
        </w:rPr>
        <w:t xml:space="preserve">Посматрано по агрегатима употребе економски раст ће у 2021. години бити у потпуности вођен домаћом тражњом док ће очекивани допринос нето извоза бити негативан. Подршка домаћинствима у оквиру овогодишњег пакета економске подршке Владе, уз очувану стабилност на тржишту радне снаге и очекивано повећање зарада у приватном и јавном сектору, потпомогнуто повољним условима финансирања резултираће </w:t>
      </w:r>
      <w:r w:rsidRPr="008E2FD8">
        <w:rPr>
          <w:rFonts w:cstheme="minorHAnsi"/>
          <w:bCs/>
          <w:spacing w:val="-2"/>
          <w:szCs w:val="72"/>
          <w:lang w:val="sr-Cyrl-RS"/>
        </w:rPr>
        <w:t>динамичнијим растом личне потрошње од претходно пројектованог и њеним већим доприносом расту БДП. Повећани издаци државе утицаће и на убрзање колективне потрошње која ће остварити раст од 3,0%. Очекује се и снажнији раст инвестиција као резултат повећаних издатака државе за реализацију инфраструктурних пројеката и других инвестиционих потреба, што ће више него компензовати нешто спорију динамику приватних инвестиција услед продуженог дејства пандемије. Повећање инвестиционе активности би требало да износи 14,3%, уместо претходно планираних 13,3%. Постепени опоравак спољне тражње, уз активирање нових производних капацитета као резултат ефектуирања страних директних инвестиција из претходног периода, потпомогнуто повећањем извоза појединих пољопривредних производа, резултираће реалним растом укупног извоза од 13,8%. С друге стране, очекивана кретања приватне и државне потрошње, као и инвестиција имаће за последицу и значајан раст увоза, који би требао да забележи реално повећање од 13,4%.</w:t>
      </w:r>
    </w:p>
    <w:p w14:paraId="4A82BC78" w14:textId="77777777" w:rsidR="007A529E" w:rsidRPr="008E2FD8" w:rsidRDefault="007A529E" w:rsidP="007E131A">
      <w:pPr>
        <w:tabs>
          <w:tab w:val="left" w:pos="720"/>
          <w:tab w:val="left" w:pos="1440"/>
        </w:tabs>
        <w:rPr>
          <w:rFonts w:cstheme="minorHAnsi"/>
          <w:bCs/>
          <w:spacing w:val="-2"/>
          <w:szCs w:val="72"/>
          <w:lang w:val="sr-Cyrl-RS"/>
        </w:rPr>
      </w:pPr>
      <w:r w:rsidRPr="008E2FD8">
        <w:rPr>
          <w:rFonts w:cstheme="minorHAnsi"/>
          <w:bCs/>
          <w:spacing w:val="-2"/>
          <w:szCs w:val="72"/>
          <w:lang w:val="sr-Cyrl-RS"/>
        </w:rPr>
        <w:t>Посматрано са произ</w:t>
      </w:r>
      <w:r w:rsidR="00141A18" w:rsidRPr="008E2FD8">
        <w:rPr>
          <w:rFonts w:cstheme="minorHAnsi"/>
          <w:bCs/>
          <w:spacing w:val="-2"/>
          <w:szCs w:val="72"/>
          <w:lang w:val="sr-Cyrl-RS"/>
        </w:rPr>
        <w:t xml:space="preserve">водне стране, не очекују се </w:t>
      </w:r>
      <w:r w:rsidRPr="008E2FD8">
        <w:rPr>
          <w:rFonts w:cstheme="minorHAnsi"/>
          <w:bCs/>
          <w:spacing w:val="-2"/>
          <w:szCs w:val="72"/>
          <w:lang w:val="sr-Cyrl-RS"/>
        </w:rPr>
        <w:t>значајнија промена у динамици раста привредних сектора у односу на претходну пројекцију. Услужни сектор ће захваљујући наставку раста у трговини, информационо-комуникационим и финансијским делатностима, уз опоравак појединих области који су током претходне године били највише погођени епидемијом (попут туризма, путничког саобраћаја и рекреативних услуга), задржати улогу доминантног извора економског раста и забележиће повећање од 6,0%. Ово представља благу ревизију наниже у односу на претходну пројекцију која је износила 6,9% услед продуженог дејства епидемије на услужни сектор. Када је реч о индустријској производњи, добри резултати с почетка године, активирање нових производних капацитета уз даљи опоравак спољне тражње резултираће нешто већим растом од иницијално планираног који би према новој пројекцији требао да износи 6,4%. Кретања у грађевинарству због бољег извршења током првог квартала 2021. године ревидирана су благо навише те се очекује раст од 16,1%. И у тренутној процени економских кретања задржана је претпоставка просечне пољопривредне сезоне тако да пројектовани пад овог сектора износи око 4,0%.</w:t>
      </w:r>
    </w:p>
    <w:p w14:paraId="14851286" w14:textId="77777777" w:rsidR="007A529E" w:rsidRPr="008E2FD8" w:rsidRDefault="007A529E" w:rsidP="00CE729E">
      <w:pPr>
        <w:rPr>
          <w:rFonts w:cstheme="minorHAnsi"/>
          <w:bCs/>
          <w:szCs w:val="72"/>
          <w:lang w:val="sr-Cyrl-RS"/>
        </w:rPr>
        <w:sectPr w:rsidR="007A529E" w:rsidRPr="008E2FD8" w:rsidSect="00CE729E">
          <w:type w:val="continuous"/>
          <w:pgSz w:w="12240" w:h="15840"/>
          <w:pgMar w:top="1440" w:right="1440" w:bottom="1440" w:left="1440" w:header="720" w:footer="720" w:gutter="0"/>
          <w:cols w:num="2" w:space="720"/>
          <w:docGrid w:linePitch="360"/>
        </w:sectPr>
      </w:pPr>
    </w:p>
    <w:p w14:paraId="50246ABB" w14:textId="77777777" w:rsidR="007A529E" w:rsidRPr="008E2FD8" w:rsidRDefault="007A529E" w:rsidP="00511A02">
      <w:pPr>
        <w:spacing w:after="120"/>
        <w:jc w:val="center"/>
        <w:rPr>
          <w:rFonts w:ascii="Calibri" w:eastAsia="Calibri" w:hAnsi="Calibri" w:cs="Times New Roman"/>
          <w:color w:val="002060"/>
          <w:lang w:val="sr-Cyrl-RS"/>
        </w:rPr>
      </w:pPr>
      <w:r w:rsidRPr="008E2FD8">
        <w:rPr>
          <w:rFonts w:ascii="Calibri" w:eastAsia="Calibri" w:hAnsi="Calibri" w:cs="Calibri"/>
          <w:b/>
          <w:color w:val="002060"/>
          <w:lang w:val="sr-Cyrl-RS"/>
        </w:rPr>
        <w:lastRenderedPageBreak/>
        <w:t xml:space="preserve">Табела 3. </w:t>
      </w:r>
      <w:r w:rsidR="00524F75" w:rsidRPr="008E2FD8">
        <w:rPr>
          <w:rFonts w:ascii="Calibri" w:eastAsia="Calibri" w:hAnsi="Calibri" w:cs="Calibri"/>
          <w:b/>
          <w:color w:val="002060"/>
          <w:lang w:val="sr-Cyrl-RS"/>
        </w:rPr>
        <w:t>БДП</w:t>
      </w:r>
      <w:r w:rsidRPr="008E2FD8">
        <w:rPr>
          <w:rFonts w:ascii="Calibri" w:eastAsia="Calibri" w:hAnsi="Calibri" w:cs="Calibri"/>
          <w:b/>
          <w:color w:val="002060"/>
          <w:lang w:val="sr-Cyrl-RS"/>
        </w:rPr>
        <w:t>, стопе реалног раста, %</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9"/>
        <w:gridCol w:w="1251"/>
        <w:gridCol w:w="1252"/>
        <w:gridCol w:w="1252"/>
        <w:gridCol w:w="1250"/>
      </w:tblGrid>
      <w:tr w:rsidR="007A529E" w:rsidRPr="008E2FD8" w14:paraId="4A5AD18A" w14:textId="77777777" w:rsidTr="00183A2A">
        <w:trPr>
          <w:jc w:val="center"/>
        </w:trPr>
        <w:tc>
          <w:tcPr>
            <w:tcW w:w="2325" w:type="pct"/>
            <w:tcBorders>
              <w:top w:val="single" w:sz="4" w:space="0" w:color="002060"/>
              <w:left w:val="single" w:sz="2" w:space="0" w:color="FFFFFF"/>
              <w:bottom w:val="single" w:sz="2" w:space="0" w:color="FFFFFF"/>
              <w:right w:val="single" w:sz="2" w:space="0" w:color="FFFFFF"/>
            </w:tcBorders>
          </w:tcPr>
          <w:p w14:paraId="201F6FC9" w14:textId="77777777" w:rsidR="007A529E" w:rsidRPr="008E2FD8" w:rsidRDefault="007A529E" w:rsidP="00CE729E">
            <w:pPr>
              <w:rPr>
                <w:rFonts w:ascii="Calibri" w:eastAsia="Calibri" w:hAnsi="Calibri" w:cs="Calibri"/>
                <w:color w:val="002060"/>
                <w:sz w:val="18"/>
                <w:lang w:val="sr-Cyrl-RS"/>
              </w:rPr>
            </w:pPr>
          </w:p>
        </w:tc>
        <w:tc>
          <w:tcPr>
            <w:tcW w:w="669" w:type="pct"/>
            <w:tcBorders>
              <w:top w:val="single" w:sz="4" w:space="0" w:color="002060"/>
              <w:left w:val="single" w:sz="2" w:space="0" w:color="FFFFFF"/>
              <w:bottom w:val="single" w:sz="4" w:space="0" w:color="002060"/>
              <w:right w:val="single" w:sz="2" w:space="0" w:color="FFFFFF"/>
            </w:tcBorders>
            <w:vAlign w:val="center"/>
          </w:tcPr>
          <w:p w14:paraId="7110426A" w14:textId="77777777" w:rsidR="007A529E" w:rsidRPr="008E2FD8" w:rsidRDefault="007A529E" w:rsidP="00CE729E">
            <w:pPr>
              <w:jc w:val="center"/>
              <w:rPr>
                <w:rFonts w:ascii="Calibri" w:eastAsia="Calibri" w:hAnsi="Calibri" w:cs="Calibri"/>
                <w:color w:val="002060"/>
                <w:sz w:val="18"/>
                <w:lang w:val="sr-Cyrl-RS"/>
              </w:rPr>
            </w:pPr>
            <w:r w:rsidRPr="008E2FD8">
              <w:rPr>
                <w:rFonts w:ascii="Calibri" w:eastAsia="Calibri" w:hAnsi="Calibri" w:cs="Calibri"/>
                <w:color w:val="002060"/>
                <w:sz w:val="18"/>
                <w:lang w:val="sr-Cyrl-RS"/>
              </w:rPr>
              <w:t>2020</w:t>
            </w:r>
          </w:p>
        </w:tc>
        <w:tc>
          <w:tcPr>
            <w:tcW w:w="669" w:type="pct"/>
            <w:tcBorders>
              <w:top w:val="single" w:sz="4" w:space="0" w:color="002060"/>
              <w:left w:val="single" w:sz="2" w:space="0" w:color="FFFFFF"/>
              <w:bottom w:val="single" w:sz="4" w:space="0" w:color="002060"/>
              <w:right w:val="single" w:sz="2" w:space="0" w:color="FFFFFF"/>
            </w:tcBorders>
            <w:vAlign w:val="center"/>
          </w:tcPr>
          <w:p w14:paraId="17D0D8E4" w14:textId="77777777" w:rsidR="007A529E" w:rsidRPr="008E2FD8" w:rsidRDefault="007A529E" w:rsidP="00CE729E">
            <w:pPr>
              <w:jc w:val="center"/>
              <w:rPr>
                <w:rFonts w:ascii="Calibri" w:eastAsia="Calibri" w:hAnsi="Calibri" w:cs="Calibri"/>
                <w:color w:val="002060"/>
                <w:sz w:val="18"/>
                <w:lang w:val="sr-Cyrl-RS"/>
              </w:rPr>
            </w:pPr>
            <w:r w:rsidRPr="008E2FD8">
              <w:rPr>
                <w:rFonts w:ascii="Calibri" w:eastAsia="Calibri" w:hAnsi="Calibri" w:cs="Calibri"/>
                <w:color w:val="002060"/>
                <w:sz w:val="18"/>
                <w:lang w:val="sr-Cyrl-RS"/>
              </w:rPr>
              <w:t>Q1 2021*</w:t>
            </w:r>
          </w:p>
        </w:tc>
        <w:tc>
          <w:tcPr>
            <w:tcW w:w="669" w:type="pct"/>
            <w:tcBorders>
              <w:top w:val="single" w:sz="4" w:space="0" w:color="002060"/>
              <w:left w:val="single" w:sz="2" w:space="0" w:color="FFFFFF"/>
              <w:bottom w:val="single" w:sz="4" w:space="0" w:color="002060"/>
              <w:right w:val="single" w:sz="2" w:space="0" w:color="FFFFFF"/>
            </w:tcBorders>
            <w:vAlign w:val="center"/>
          </w:tcPr>
          <w:p w14:paraId="421D6A63" w14:textId="77777777" w:rsidR="007A529E" w:rsidRPr="008E2FD8" w:rsidRDefault="007A529E" w:rsidP="00CE729E">
            <w:pPr>
              <w:jc w:val="center"/>
              <w:rPr>
                <w:rFonts w:ascii="Calibri" w:eastAsia="Calibri" w:hAnsi="Calibri" w:cs="Calibri"/>
                <w:color w:val="002060"/>
                <w:sz w:val="18"/>
                <w:lang w:val="sr-Cyrl-RS"/>
              </w:rPr>
            </w:pPr>
            <w:r w:rsidRPr="008E2FD8">
              <w:rPr>
                <w:rFonts w:ascii="Calibri" w:eastAsia="Calibri" w:hAnsi="Calibri" w:cs="Calibri"/>
                <w:color w:val="002060"/>
                <w:sz w:val="18"/>
                <w:lang w:val="sr-Cyrl-RS"/>
              </w:rPr>
              <w:t>2021* (оригинална пројекција)</w:t>
            </w:r>
          </w:p>
        </w:tc>
        <w:tc>
          <w:tcPr>
            <w:tcW w:w="669" w:type="pct"/>
            <w:tcBorders>
              <w:top w:val="single" w:sz="4" w:space="0" w:color="002060"/>
              <w:left w:val="single" w:sz="2" w:space="0" w:color="FFFFFF"/>
              <w:bottom w:val="single" w:sz="4" w:space="0" w:color="002060"/>
              <w:right w:val="single" w:sz="2" w:space="0" w:color="FFFFFF"/>
            </w:tcBorders>
            <w:vAlign w:val="center"/>
          </w:tcPr>
          <w:p w14:paraId="7D871D58" w14:textId="77777777" w:rsidR="007A529E" w:rsidRPr="008E2FD8" w:rsidRDefault="007A529E" w:rsidP="00CE729E">
            <w:pPr>
              <w:jc w:val="center"/>
              <w:rPr>
                <w:rFonts w:ascii="Calibri" w:eastAsia="Calibri" w:hAnsi="Calibri" w:cs="Calibri"/>
                <w:color w:val="002060"/>
                <w:sz w:val="18"/>
                <w:lang w:val="sr-Cyrl-RS"/>
              </w:rPr>
            </w:pPr>
            <w:r w:rsidRPr="008E2FD8">
              <w:rPr>
                <w:rFonts w:ascii="Calibri" w:eastAsia="Calibri" w:hAnsi="Calibri" w:cs="Calibri"/>
                <w:color w:val="002060"/>
                <w:sz w:val="18"/>
                <w:lang w:val="sr-Cyrl-RS"/>
              </w:rPr>
              <w:t>2021*</w:t>
            </w:r>
          </w:p>
          <w:p w14:paraId="437DC0D0" w14:textId="77777777" w:rsidR="007A529E" w:rsidRPr="008E2FD8" w:rsidRDefault="007A529E" w:rsidP="00CE729E">
            <w:pPr>
              <w:jc w:val="center"/>
              <w:rPr>
                <w:rFonts w:ascii="Calibri" w:eastAsia="Calibri" w:hAnsi="Calibri" w:cs="Calibri"/>
                <w:color w:val="002060"/>
                <w:sz w:val="18"/>
                <w:lang w:val="sr-Cyrl-RS"/>
              </w:rPr>
            </w:pPr>
            <w:r w:rsidRPr="008E2FD8">
              <w:rPr>
                <w:rFonts w:ascii="Calibri" w:eastAsia="Calibri" w:hAnsi="Calibri" w:cs="Calibri"/>
                <w:color w:val="002060"/>
                <w:sz w:val="18"/>
                <w:lang w:val="sr-Cyrl-RS"/>
              </w:rPr>
              <w:t>(текућа процена)</w:t>
            </w:r>
          </w:p>
        </w:tc>
      </w:tr>
      <w:tr w:rsidR="007A529E" w:rsidRPr="008E2FD8" w14:paraId="34B89854" w14:textId="77777777" w:rsidTr="00183A2A">
        <w:trPr>
          <w:jc w:val="center"/>
        </w:trPr>
        <w:tc>
          <w:tcPr>
            <w:tcW w:w="2325" w:type="pct"/>
            <w:tcBorders>
              <w:top w:val="single" w:sz="2" w:space="0" w:color="FFFFFF"/>
            </w:tcBorders>
          </w:tcPr>
          <w:p w14:paraId="19257D24" w14:textId="77777777" w:rsidR="007A529E" w:rsidRPr="008E2FD8" w:rsidRDefault="00524F75"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БДП</w:t>
            </w:r>
          </w:p>
        </w:tc>
        <w:tc>
          <w:tcPr>
            <w:tcW w:w="669" w:type="pct"/>
            <w:tcBorders>
              <w:top w:val="single" w:sz="4" w:space="0" w:color="002060"/>
            </w:tcBorders>
          </w:tcPr>
          <w:p w14:paraId="4E3E9808"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-1,0</w:t>
            </w:r>
          </w:p>
        </w:tc>
        <w:tc>
          <w:tcPr>
            <w:tcW w:w="669" w:type="pct"/>
            <w:tcBorders>
              <w:top w:val="single" w:sz="4" w:space="0" w:color="002060"/>
            </w:tcBorders>
          </w:tcPr>
          <w:p w14:paraId="525B4F76"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1,2</w:t>
            </w:r>
          </w:p>
        </w:tc>
        <w:tc>
          <w:tcPr>
            <w:tcW w:w="669" w:type="pct"/>
            <w:tcBorders>
              <w:top w:val="single" w:sz="4" w:space="0" w:color="002060"/>
            </w:tcBorders>
          </w:tcPr>
          <w:p w14:paraId="14043291"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6,0</w:t>
            </w:r>
          </w:p>
        </w:tc>
        <w:tc>
          <w:tcPr>
            <w:tcW w:w="669" w:type="pct"/>
            <w:tcBorders>
              <w:top w:val="single" w:sz="4" w:space="0" w:color="002060"/>
            </w:tcBorders>
          </w:tcPr>
          <w:p w14:paraId="0014B035"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6,0</w:t>
            </w:r>
          </w:p>
        </w:tc>
      </w:tr>
      <w:tr w:rsidR="007A529E" w:rsidRPr="008E2FD8" w14:paraId="5E15A314" w14:textId="77777777" w:rsidTr="00183A2A">
        <w:trPr>
          <w:jc w:val="center"/>
        </w:trPr>
        <w:tc>
          <w:tcPr>
            <w:tcW w:w="2325" w:type="pct"/>
            <w:tcBorders>
              <w:top w:val="single" w:sz="2" w:space="0" w:color="FFFFFF"/>
            </w:tcBorders>
            <w:shd w:val="clear" w:color="auto" w:fill="E7E6E6"/>
          </w:tcPr>
          <w:p w14:paraId="28B89567" w14:textId="77777777" w:rsidR="007A529E" w:rsidRPr="008E2FD8" w:rsidRDefault="007A529E" w:rsidP="00CE729E">
            <w:pPr>
              <w:jc w:val="right"/>
              <w:rPr>
                <w:rFonts w:ascii="Calibri" w:eastAsia="Calibri" w:hAnsi="Calibri" w:cs="Calibri"/>
                <w:color w:val="002060"/>
                <w:sz w:val="18"/>
                <w:lang w:val="sr-Cyrl-RS"/>
              </w:rPr>
            </w:pPr>
          </w:p>
        </w:tc>
        <w:tc>
          <w:tcPr>
            <w:tcW w:w="669" w:type="pct"/>
            <w:tcBorders>
              <w:top w:val="single" w:sz="2" w:space="0" w:color="FFFFFF"/>
            </w:tcBorders>
            <w:shd w:val="clear" w:color="auto" w:fill="E7E6E6"/>
          </w:tcPr>
          <w:p w14:paraId="4C484B16" w14:textId="77777777" w:rsidR="007A529E" w:rsidRPr="008E2FD8" w:rsidRDefault="007A529E" w:rsidP="00183A2A">
            <w:pPr>
              <w:ind w:right="340"/>
              <w:jc w:val="right"/>
              <w:rPr>
                <w:rFonts w:ascii="Calibri" w:eastAsia="Calibri" w:hAnsi="Calibri" w:cs="Calibri"/>
                <w:color w:val="002060"/>
                <w:sz w:val="18"/>
                <w:lang w:val="sr-Cyrl-RS"/>
              </w:rPr>
            </w:pPr>
          </w:p>
        </w:tc>
        <w:tc>
          <w:tcPr>
            <w:tcW w:w="669" w:type="pct"/>
            <w:tcBorders>
              <w:top w:val="single" w:sz="2" w:space="0" w:color="FFFFFF"/>
            </w:tcBorders>
            <w:shd w:val="clear" w:color="auto" w:fill="E7E6E6"/>
          </w:tcPr>
          <w:p w14:paraId="0C756D74" w14:textId="77777777" w:rsidR="007A529E" w:rsidRPr="008E2FD8" w:rsidRDefault="007A529E" w:rsidP="00183A2A">
            <w:pPr>
              <w:ind w:right="340"/>
              <w:jc w:val="right"/>
              <w:rPr>
                <w:rFonts w:ascii="Calibri" w:eastAsia="Calibri" w:hAnsi="Calibri" w:cs="Calibri"/>
                <w:color w:val="002060"/>
                <w:sz w:val="18"/>
                <w:lang w:val="sr-Cyrl-RS"/>
              </w:rPr>
            </w:pPr>
          </w:p>
        </w:tc>
        <w:tc>
          <w:tcPr>
            <w:tcW w:w="669" w:type="pct"/>
            <w:tcBorders>
              <w:top w:val="single" w:sz="2" w:space="0" w:color="FFFFFF"/>
            </w:tcBorders>
            <w:shd w:val="clear" w:color="auto" w:fill="E7E6E6"/>
          </w:tcPr>
          <w:p w14:paraId="0FF4A22E" w14:textId="77777777" w:rsidR="007A529E" w:rsidRPr="008E2FD8" w:rsidRDefault="007A529E" w:rsidP="00183A2A">
            <w:pPr>
              <w:ind w:right="340"/>
              <w:jc w:val="right"/>
              <w:rPr>
                <w:rFonts w:ascii="Calibri" w:eastAsia="Calibri" w:hAnsi="Calibri" w:cs="Calibri"/>
                <w:color w:val="002060"/>
                <w:sz w:val="18"/>
                <w:lang w:val="sr-Cyrl-RS"/>
              </w:rPr>
            </w:pPr>
          </w:p>
        </w:tc>
        <w:tc>
          <w:tcPr>
            <w:tcW w:w="669" w:type="pct"/>
            <w:tcBorders>
              <w:top w:val="single" w:sz="2" w:space="0" w:color="FFFFFF"/>
            </w:tcBorders>
            <w:shd w:val="clear" w:color="auto" w:fill="E7E6E6"/>
          </w:tcPr>
          <w:p w14:paraId="36FE8A8A" w14:textId="77777777" w:rsidR="007A529E" w:rsidRPr="008E2FD8" w:rsidRDefault="007A529E" w:rsidP="00183A2A">
            <w:pPr>
              <w:ind w:right="340"/>
              <w:jc w:val="right"/>
              <w:rPr>
                <w:rFonts w:ascii="Calibri" w:eastAsia="Calibri" w:hAnsi="Calibri" w:cs="Calibri"/>
                <w:color w:val="002060"/>
                <w:sz w:val="18"/>
                <w:lang w:val="sr-Cyrl-RS"/>
              </w:rPr>
            </w:pPr>
          </w:p>
        </w:tc>
      </w:tr>
      <w:tr w:rsidR="007A529E" w:rsidRPr="008E2FD8" w14:paraId="783F338D" w14:textId="77777777" w:rsidTr="00183A2A">
        <w:trPr>
          <w:jc w:val="center"/>
        </w:trPr>
        <w:tc>
          <w:tcPr>
            <w:tcW w:w="2325" w:type="pct"/>
          </w:tcPr>
          <w:p w14:paraId="7F1E1306"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Приватна потрошња</w:t>
            </w:r>
          </w:p>
        </w:tc>
        <w:tc>
          <w:tcPr>
            <w:tcW w:w="669" w:type="pct"/>
          </w:tcPr>
          <w:p w14:paraId="3FCCC870"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-2,5</w:t>
            </w:r>
          </w:p>
        </w:tc>
        <w:tc>
          <w:tcPr>
            <w:tcW w:w="669" w:type="pct"/>
          </w:tcPr>
          <w:p w14:paraId="2E3242E3"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-2,0</w:t>
            </w:r>
          </w:p>
        </w:tc>
        <w:tc>
          <w:tcPr>
            <w:tcW w:w="669" w:type="pct"/>
          </w:tcPr>
          <w:p w14:paraId="593CBBE8"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5,4</w:t>
            </w:r>
          </w:p>
        </w:tc>
        <w:tc>
          <w:tcPr>
            <w:tcW w:w="669" w:type="pct"/>
          </w:tcPr>
          <w:p w14:paraId="0A018B07"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5,8</w:t>
            </w:r>
          </w:p>
        </w:tc>
      </w:tr>
      <w:tr w:rsidR="007A529E" w:rsidRPr="008E2FD8" w14:paraId="7E073F78" w14:textId="77777777" w:rsidTr="00183A2A">
        <w:trPr>
          <w:jc w:val="center"/>
        </w:trPr>
        <w:tc>
          <w:tcPr>
            <w:tcW w:w="2325" w:type="pct"/>
          </w:tcPr>
          <w:p w14:paraId="2BA9A847"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Државна потрошња</w:t>
            </w:r>
          </w:p>
        </w:tc>
        <w:tc>
          <w:tcPr>
            <w:tcW w:w="669" w:type="pct"/>
          </w:tcPr>
          <w:p w14:paraId="26A96F9B"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5,6</w:t>
            </w:r>
          </w:p>
        </w:tc>
        <w:tc>
          <w:tcPr>
            <w:tcW w:w="669" w:type="pct"/>
          </w:tcPr>
          <w:p w14:paraId="4D2B4F8B"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-0,4</w:t>
            </w:r>
          </w:p>
        </w:tc>
        <w:tc>
          <w:tcPr>
            <w:tcW w:w="669" w:type="pct"/>
          </w:tcPr>
          <w:p w14:paraId="11977738"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0,4</w:t>
            </w:r>
          </w:p>
        </w:tc>
        <w:tc>
          <w:tcPr>
            <w:tcW w:w="669" w:type="pct"/>
          </w:tcPr>
          <w:p w14:paraId="7AC54C26"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3,0</w:t>
            </w:r>
          </w:p>
        </w:tc>
      </w:tr>
      <w:tr w:rsidR="007A529E" w:rsidRPr="008E2FD8" w14:paraId="158F12F5" w14:textId="77777777" w:rsidTr="00183A2A">
        <w:trPr>
          <w:jc w:val="center"/>
        </w:trPr>
        <w:tc>
          <w:tcPr>
            <w:tcW w:w="2325" w:type="pct"/>
          </w:tcPr>
          <w:p w14:paraId="771ACD8F"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Инвестиције у основн</w:t>
            </w:r>
            <w:r w:rsidR="00724A41" w:rsidRPr="008E2FD8">
              <w:rPr>
                <w:rFonts w:ascii="Calibri" w:eastAsia="Calibri" w:hAnsi="Calibri" w:cs="Calibri"/>
                <w:color w:val="002060"/>
                <w:sz w:val="18"/>
                <w:lang w:val="sr-Cyrl-RS"/>
              </w:rPr>
              <w:t>а средства</w:t>
            </w:r>
          </w:p>
        </w:tc>
        <w:tc>
          <w:tcPr>
            <w:tcW w:w="669" w:type="pct"/>
          </w:tcPr>
          <w:p w14:paraId="5A4CE79A"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-2,8</w:t>
            </w:r>
          </w:p>
        </w:tc>
        <w:tc>
          <w:tcPr>
            <w:tcW w:w="669" w:type="pct"/>
          </w:tcPr>
          <w:p w14:paraId="535DD423"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9,2</w:t>
            </w:r>
          </w:p>
        </w:tc>
        <w:tc>
          <w:tcPr>
            <w:tcW w:w="669" w:type="pct"/>
          </w:tcPr>
          <w:p w14:paraId="51A030B5"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13,3</w:t>
            </w:r>
          </w:p>
        </w:tc>
        <w:tc>
          <w:tcPr>
            <w:tcW w:w="669" w:type="pct"/>
          </w:tcPr>
          <w:p w14:paraId="09798279"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14,3</w:t>
            </w:r>
          </w:p>
        </w:tc>
      </w:tr>
      <w:tr w:rsidR="007A529E" w:rsidRPr="008E2FD8" w14:paraId="14D00159" w14:textId="77777777" w:rsidTr="00183A2A">
        <w:trPr>
          <w:jc w:val="center"/>
        </w:trPr>
        <w:tc>
          <w:tcPr>
            <w:tcW w:w="2325" w:type="pct"/>
          </w:tcPr>
          <w:p w14:paraId="2CD700EB"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Извоз робе и услуга</w:t>
            </w:r>
          </w:p>
        </w:tc>
        <w:tc>
          <w:tcPr>
            <w:tcW w:w="669" w:type="pct"/>
          </w:tcPr>
          <w:p w14:paraId="4F4B0EE3"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-5,9</w:t>
            </w:r>
          </w:p>
        </w:tc>
        <w:tc>
          <w:tcPr>
            <w:tcW w:w="669" w:type="pct"/>
          </w:tcPr>
          <w:p w14:paraId="0D86FA4D"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9,8</w:t>
            </w:r>
          </w:p>
        </w:tc>
        <w:tc>
          <w:tcPr>
            <w:tcW w:w="669" w:type="pct"/>
          </w:tcPr>
          <w:p w14:paraId="0E3D1BAA"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9,6</w:t>
            </w:r>
          </w:p>
        </w:tc>
        <w:tc>
          <w:tcPr>
            <w:tcW w:w="669" w:type="pct"/>
          </w:tcPr>
          <w:p w14:paraId="595B0B5E"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13,8</w:t>
            </w:r>
          </w:p>
        </w:tc>
      </w:tr>
      <w:tr w:rsidR="007A529E" w:rsidRPr="008E2FD8" w14:paraId="24E23EB0" w14:textId="77777777" w:rsidTr="00183A2A">
        <w:trPr>
          <w:jc w:val="center"/>
        </w:trPr>
        <w:tc>
          <w:tcPr>
            <w:tcW w:w="2325" w:type="pct"/>
          </w:tcPr>
          <w:p w14:paraId="0AD071E7"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Увоз робе и услуга</w:t>
            </w:r>
          </w:p>
        </w:tc>
        <w:tc>
          <w:tcPr>
            <w:tcW w:w="669" w:type="pct"/>
          </w:tcPr>
          <w:p w14:paraId="79AE51BA"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-3,5</w:t>
            </w:r>
          </w:p>
        </w:tc>
        <w:tc>
          <w:tcPr>
            <w:tcW w:w="669" w:type="pct"/>
          </w:tcPr>
          <w:p w14:paraId="2F825038"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1,8</w:t>
            </w:r>
          </w:p>
        </w:tc>
        <w:tc>
          <w:tcPr>
            <w:tcW w:w="669" w:type="pct"/>
          </w:tcPr>
          <w:p w14:paraId="354C53BA"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9,3</w:t>
            </w:r>
          </w:p>
        </w:tc>
        <w:tc>
          <w:tcPr>
            <w:tcW w:w="669" w:type="pct"/>
          </w:tcPr>
          <w:p w14:paraId="4C34E92D"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13,4</w:t>
            </w:r>
          </w:p>
        </w:tc>
      </w:tr>
      <w:tr w:rsidR="007A529E" w:rsidRPr="008E2FD8" w14:paraId="3F310506" w14:textId="77777777" w:rsidTr="00183A2A">
        <w:trPr>
          <w:jc w:val="center"/>
        </w:trPr>
        <w:tc>
          <w:tcPr>
            <w:tcW w:w="2325" w:type="pct"/>
            <w:shd w:val="clear" w:color="auto" w:fill="E7E6E6"/>
          </w:tcPr>
          <w:p w14:paraId="168BA987" w14:textId="77777777" w:rsidR="007A529E" w:rsidRPr="008E2FD8" w:rsidRDefault="007A529E" w:rsidP="00CE729E">
            <w:pPr>
              <w:ind w:left="-15"/>
              <w:jc w:val="right"/>
              <w:rPr>
                <w:rFonts w:ascii="Calibri" w:eastAsia="Calibri" w:hAnsi="Calibri" w:cs="Calibri"/>
                <w:color w:val="002060"/>
                <w:sz w:val="18"/>
                <w:lang w:val="sr-Cyrl-RS"/>
              </w:rPr>
            </w:pPr>
          </w:p>
        </w:tc>
        <w:tc>
          <w:tcPr>
            <w:tcW w:w="669" w:type="pct"/>
            <w:shd w:val="clear" w:color="auto" w:fill="E7E6E6"/>
          </w:tcPr>
          <w:p w14:paraId="06F34D61" w14:textId="77777777" w:rsidR="007A529E" w:rsidRPr="008E2FD8" w:rsidRDefault="007A529E" w:rsidP="00183A2A">
            <w:pPr>
              <w:ind w:left="-15" w:right="340"/>
              <w:jc w:val="right"/>
              <w:rPr>
                <w:rFonts w:ascii="Calibri" w:eastAsia="Calibri" w:hAnsi="Calibri" w:cs="Calibri"/>
                <w:color w:val="002060"/>
                <w:sz w:val="18"/>
                <w:lang w:val="sr-Cyrl-RS"/>
              </w:rPr>
            </w:pPr>
          </w:p>
        </w:tc>
        <w:tc>
          <w:tcPr>
            <w:tcW w:w="669" w:type="pct"/>
            <w:shd w:val="clear" w:color="auto" w:fill="E7E6E6"/>
          </w:tcPr>
          <w:p w14:paraId="3EEC3198" w14:textId="77777777" w:rsidR="007A529E" w:rsidRPr="008E2FD8" w:rsidRDefault="007A529E" w:rsidP="00183A2A">
            <w:pPr>
              <w:ind w:left="-15" w:right="340"/>
              <w:jc w:val="right"/>
              <w:rPr>
                <w:rFonts w:ascii="Calibri" w:eastAsia="Calibri" w:hAnsi="Calibri" w:cs="Calibri"/>
                <w:color w:val="002060"/>
                <w:sz w:val="18"/>
                <w:lang w:val="sr-Cyrl-RS"/>
              </w:rPr>
            </w:pPr>
          </w:p>
        </w:tc>
        <w:tc>
          <w:tcPr>
            <w:tcW w:w="669" w:type="pct"/>
            <w:shd w:val="clear" w:color="auto" w:fill="E7E6E6"/>
          </w:tcPr>
          <w:p w14:paraId="06376645" w14:textId="77777777" w:rsidR="007A529E" w:rsidRPr="008E2FD8" w:rsidRDefault="007A529E" w:rsidP="00183A2A">
            <w:pPr>
              <w:ind w:left="-15" w:right="340"/>
              <w:jc w:val="right"/>
              <w:rPr>
                <w:rFonts w:ascii="Calibri" w:eastAsia="Calibri" w:hAnsi="Calibri" w:cs="Calibri"/>
                <w:color w:val="002060"/>
                <w:sz w:val="18"/>
                <w:lang w:val="sr-Cyrl-RS"/>
              </w:rPr>
            </w:pPr>
          </w:p>
        </w:tc>
        <w:tc>
          <w:tcPr>
            <w:tcW w:w="669" w:type="pct"/>
            <w:shd w:val="clear" w:color="auto" w:fill="E7E6E6"/>
          </w:tcPr>
          <w:p w14:paraId="165B1493" w14:textId="77777777" w:rsidR="007A529E" w:rsidRPr="008E2FD8" w:rsidRDefault="007A529E" w:rsidP="00183A2A">
            <w:pPr>
              <w:ind w:left="-15" w:right="340"/>
              <w:jc w:val="right"/>
              <w:rPr>
                <w:rFonts w:ascii="Calibri" w:eastAsia="Calibri" w:hAnsi="Calibri" w:cs="Calibri"/>
                <w:color w:val="002060"/>
                <w:sz w:val="18"/>
                <w:lang w:val="sr-Cyrl-RS"/>
              </w:rPr>
            </w:pPr>
          </w:p>
        </w:tc>
      </w:tr>
      <w:tr w:rsidR="007A529E" w:rsidRPr="008E2FD8" w14:paraId="4BF68512" w14:textId="77777777" w:rsidTr="00183A2A">
        <w:trPr>
          <w:jc w:val="center"/>
        </w:trPr>
        <w:tc>
          <w:tcPr>
            <w:tcW w:w="2325" w:type="pct"/>
          </w:tcPr>
          <w:p w14:paraId="569A84CE"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Пољопривреда</w:t>
            </w:r>
          </w:p>
        </w:tc>
        <w:tc>
          <w:tcPr>
            <w:tcW w:w="669" w:type="pct"/>
          </w:tcPr>
          <w:p w14:paraId="00E5B393"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4,2</w:t>
            </w:r>
          </w:p>
        </w:tc>
        <w:tc>
          <w:tcPr>
            <w:tcW w:w="669" w:type="pct"/>
          </w:tcPr>
          <w:p w14:paraId="0726AEA0"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-3,9</w:t>
            </w:r>
          </w:p>
        </w:tc>
        <w:tc>
          <w:tcPr>
            <w:tcW w:w="669" w:type="pct"/>
          </w:tcPr>
          <w:p w14:paraId="7205E7A5"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-4,0</w:t>
            </w:r>
          </w:p>
        </w:tc>
        <w:tc>
          <w:tcPr>
            <w:tcW w:w="669" w:type="pct"/>
          </w:tcPr>
          <w:p w14:paraId="6794A122"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-4,0</w:t>
            </w:r>
          </w:p>
        </w:tc>
      </w:tr>
      <w:tr w:rsidR="007A529E" w:rsidRPr="008E2FD8" w14:paraId="055BE149" w14:textId="77777777" w:rsidTr="00183A2A">
        <w:trPr>
          <w:jc w:val="center"/>
        </w:trPr>
        <w:tc>
          <w:tcPr>
            <w:tcW w:w="2325" w:type="pct"/>
          </w:tcPr>
          <w:p w14:paraId="4B5BD6B6"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Индустрија</w:t>
            </w:r>
          </w:p>
        </w:tc>
        <w:tc>
          <w:tcPr>
            <w:tcW w:w="669" w:type="pct"/>
          </w:tcPr>
          <w:p w14:paraId="1D48CF6C"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0,4</w:t>
            </w:r>
          </w:p>
        </w:tc>
        <w:tc>
          <w:tcPr>
            <w:tcW w:w="669" w:type="pct"/>
          </w:tcPr>
          <w:p w14:paraId="0D4A2AC5"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3,7</w:t>
            </w:r>
          </w:p>
        </w:tc>
        <w:tc>
          <w:tcPr>
            <w:tcW w:w="669" w:type="pct"/>
          </w:tcPr>
          <w:p w14:paraId="71577472"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5,7</w:t>
            </w:r>
          </w:p>
        </w:tc>
        <w:tc>
          <w:tcPr>
            <w:tcW w:w="669" w:type="pct"/>
          </w:tcPr>
          <w:p w14:paraId="431B320C"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6,4</w:t>
            </w:r>
          </w:p>
        </w:tc>
      </w:tr>
      <w:tr w:rsidR="007A529E" w:rsidRPr="008E2FD8" w14:paraId="37EDF071" w14:textId="77777777" w:rsidTr="00183A2A">
        <w:trPr>
          <w:jc w:val="center"/>
        </w:trPr>
        <w:tc>
          <w:tcPr>
            <w:tcW w:w="2325" w:type="pct"/>
          </w:tcPr>
          <w:p w14:paraId="30DE68B7"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Грађевинарство</w:t>
            </w:r>
          </w:p>
        </w:tc>
        <w:tc>
          <w:tcPr>
            <w:tcW w:w="669" w:type="pct"/>
          </w:tcPr>
          <w:p w14:paraId="5F63FAFD"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-5,1</w:t>
            </w:r>
          </w:p>
        </w:tc>
        <w:tc>
          <w:tcPr>
            <w:tcW w:w="669" w:type="pct"/>
          </w:tcPr>
          <w:p w14:paraId="19A092D4"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17,6</w:t>
            </w:r>
          </w:p>
        </w:tc>
        <w:tc>
          <w:tcPr>
            <w:tcW w:w="669" w:type="pct"/>
          </w:tcPr>
          <w:p w14:paraId="402D9D77"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14,6</w:t>
            </w:r>
          </w:p>
        </w:tc>
        <w:tc>
          <w:tcPr>
            <w:tcW w:w="669" w:type="pct"/>
          </w:tcPr>
          <w:p w14:paraId="30FEBEE4"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16,1</w:t>
            </w:r>
          </w:p>
        </w:tc>
      </w:tr>
      <w:tr w:rsidR="007A529E" w:rsidRPr="008E2FD8" w14:paraId="13354CE3" w14:textId="77777777" w:rsidTr="00183A2A">
        <w:trPr>
          <w:trHeight w:val="163"/>
          <w:jc w:val="center"/>
        </w:trPr>
        <w:tc>
          <w:tcPr>
            <w:tcW w:w="2325" w:type="pct"/>
            <w:tcBorders>
              <w:bottom w:val="single" w:sz="4" w:space="0" w:color="002060"/>
            </w:tcBorders>
          </w:tcPr>
          <w:p w14:paraId="3E2E010F" w14:textId="77777777" w:rsidR="007A529E" w:rsidRPr="008E2FD8" w:rsidRDefault="007A529E" w:rsidP="00CE729E">
            <w:pPr>
              <w:ind w:left="-15"/>
              <w:rPr>
                <w:rFonts w:ascii="Calibri" w:eastAsia="Calibri" w:hAnsi="Calibri" w:cs="Calibri"/>
                <w:color w:val="002060"/>
                <w:sz w:val="18"/>
                <w:lang w:val="sr-Cyrl-RS"/>
              </w:rPr>
            </w:pPr>
            <w:r w:rsidRPr="008E2FD8">
              <w:rPr>
                <w:rFonts w:ascii="Calibri" w:eastAsia="Calibri" w:hAnsi="Calibri" w:cs="Calibri"/>
                <w:color w:val="002060"/>
                <w:sz w:val="18"/>
                <w:lang w:val="sr-Cyrl-RS"/>
              </w:rPr>
              <w:t>Услуге</w:t>
            </w:r>
          </w:p>
        </w:tc>
        <w:tc>
          <w:tcPr>
            <w:tcW w:w="669" w:type="pct"/>
            <w:tcBorders>
              <w:bottom w:val="single" w:sz="4" w:space="0" w:color="002060"/>
            </w:tcBorders>
          </w:tcPr>
          <w:p w14:paraId="05EB6668" w14:textId="77777777" w:rsidR="007A529E" w:rsidRPr="008E2FD8" w:rsidRDefault="007A529E" w:rsidP="00F55D35">
            <w:pPr>
              <w:tabs>
                <w:tab w:val="left" w:pos="420"/>
                <w:tab w:val="center" w:pos="586"/>
              </w:tabs>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-1,</w:t>
            </w:r>
            <w:r w:rsidR="00F55D35" w:rsidRPr="008E2FD8">
              <w:rPr>
                <w:rFonts w:ascii="Calibri" w:eastAsia="Calibri" w:hAnsi="Calibri" w:cs="Calibri"/>
                <w:color w:val="002060"/>
                <w:sz w:val="18"/>
                <w:lang w:val="sr-Cyrl-RS"/>
              </w:rPr>
              <w:t>4</w:t>
            </w:r>
          </w:p>
        </w:tc>
        <w:tc>
          <w:tcPr>
            <w:tcW w:w="669" w:type="pct"/>
            <w:tcBorders>
              <w:bottom w:val="single" w:sz="4" w:space="0" w:color="002060"/>
            </w:tcBorders>
          </w:tcPr>
          <w:p w14:paraId="32C461F9"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0,3</w:t>
            </w:r>
          </w:p>
        </w:tc>
        <w:tc>
          <w:tcPr>
            <w:tcW w:w="669" w:type="pct"/>
            <w:tcBorders>
              <w:bottom w:val="single" w:sz="4" w:space="0" w:color="002060"/>
            </w:tcBorders>
          </w:tcPr>
          <w:p w14:paraId="32EF5E28"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6,9</w:t>
            </w:r>
          </w:p>
        </w:tc>
        <w:tc>
          <w:tcPr>
            <w:tcW w:w="669" w:type="pct"/>
            <w:tcBorders>
              <w:bottom w:val="single" w:sz="4" w:space="0" w:color="002060"/>
            </w:tcBorders>
          </w:tcPr>
          <w:p w14:paraId="23FBF010" w14:textId="77777777" w:rsidR="007A529E" w:rsidRPr="008E2FD8" w:rsidRDefault="007A529E" w:rsidP="00183A2A">
            <w:pPr>
              <w:ind w:right="340"/>
              <w:jc w:val="right"/>
              <w:rPr>
                <w:rFonts w:ascii="Calibri" w:eastAsia="Calibri" w:hAnsi="Calibri" w:cs="Calibri"/>
                <w:color w:val="002060"/>
                <w:sz w:val="18"/>
                <w:lang w:val="sr-Cyrl-RS"/>
              </w:rPr>
            </w:pPr>
            <w:r w:rsidRPr="008E2FD8">
              <w:rPr>
                <w:rFonts w:ascii="Calibri" w:eastAsia="Calibri" w:hAnsi="Calibri" w:cs="Calibri"/>
                <w:color w:val="002060"/>
                <w:sz w:val="18"/>
                <w:lang w:val="sr-Cyrl-RS"/>
              </w:rPr>
              <w:t>6,0</w:t>
            </w:r>
          </w:p>
        </w:tc>
      </w:tr>
    </w:tbl>
    <w:p w14:paraId="7ED36758" w14:textId="77777777" w:rsidR="007A529E" w:rsidRPr="008E2FD8" w:rsidRDefault="007A529E" w:rsidP="006F0A45">
      <w:pPr>
        <w:spacing w:before="40" w:after="0"/>
        <w:rPr>
          <w:rFonts w:ascii="Calibri" w:eastAsia="Calibri" w:hAnsi="Calibri" w:cs="Calibri"/>
          <w:bCs/>
          <w:sz w:val="16"/>
          <w:szCs w:val="72"/>
          <w:lang w:val="sr-Cyrl-RS"/>
        </w:rPr>
      </w:pPr>
      <w:r w:rsidRPr="008E2FD8">
        <w:rPr>
          <w:rFonts w:ascii="Calibri" w:eastAsia="Calibri" w:hAnsi="Calibri" w:cs="Calibri"/>
          <w:bCs/>
          <w:sz w:val="16"/>
          <w:szCs w:val="72"/>
          <w:lang w:val="sr-Cyrl-RS"/>
        </w:rPr>
        <w:t>Извор: РЗС</w:t>
      </w:r>
    </w:p>
    <w:p w14:paraId="0F3094BB" w14:textId="77777777" w:rsidR="007A529E" w:rsidRPr="008E2FD8" w:rsidRDefault="007A529E" w:rsidP="006F0A45">
      <w:pPr>
        <w:spacing w:after="120"/>
        <w:rPr>
          <w:rFonts w:ascii="Calibri" w:eastAsia="Calibri" w:hAnsi="Calibri" w:cs="Calibri"/>
          <w:bCs/>
          <w:sz w:val="16"/>
          <w:szCs w:val="72"/>
          <w:lang w:val="sr-Cyrl-RS"/>
        </w:rPr>
      </w:pPr>
      <w:r w:rsidRPr="008E2FD8">
        <w:rPr>
          <w:rFonts w:ascii="Calibri" w:eastAsia="Calibri" w:hAnsi="Calibri" w:cs="Calibri"/>
          <w:bCs/>
          <w:sz w:val="16"/>
          <w:szCs w:val="72"/>
          <w:lang w:val="sr-Cyrl-RS"/>
        </w:rPr>
        <w:t>* Процена Министарства финансија</w:t>
      </w:r>
    </w:p>
    <w:p w14:paraId="55C683DA" w14:textId="77777777" w:rsidR="007A529E" w:rsidRPr="008E2FD8" w:rsidRDefault="007A529E" w:rsidP="00CE729E">
      <w:pPr>
        <w:tabs>
          <w:tab w:val="left" w:pos="527"/>
        </w:tabs>
        <w:spacing w:after="0" w:line="240" w:lineRule="auto"/>
        <w:rPr>
          <w:rFonts w:cstheme="minorHAnsi"/>
          <w:szCs w:val="72"/>
          <w:lang w:val="sr-Cyrl-RS"/>
        </w:rPr>
        <w:sectPr w:rsidR="007A529E" w:rsidRPr="008E2FD8" w:rsidSect="002C1D90">
          <w:type w:val="continuous"/>
          <w:pgSz w:w="12240" w:h="15840"/>
          <w:pgMar w:top="1440" w:right="1440" w:bottom="1440" w:left="1440" w:header="720" w:footer="720" w:gutter="0"/>
          <w:cols w:space="720"/>
          <w:docGrid w:linePitch="360"/>
        </w:sectPr>
      </w:pPr>
    </w:p>
    <w:p w14:paraId="3BBD2BB2" w14:textId="77777777" w:rsidR="007A529E" w:rsidRPr="008E2FD8" w:rsidRDefault="007A529E" w:rsidP="00F03C70">
      <w:pPr>
        <w:jc w:val="left"/>
        <w:rPr>
          <w:color w:val="2F5496" w:themeColor="accent1" w:themeShade="BF"/>
          <w:lang w:val="sr-Cyrl-RS"/>
        </w:rPr>
      </w:pPr>
      <w:r w:rsidRPr="008E2FD8">
        <w:rPr>
          <w:rFonts w:cstheme="minorHAnsi"/>
          <w:b/>
          <w:color w:val="2F5496" w:themeColor="accent1" w:themeShade="BF"/>
          <w:sz w:val="22"/>
          <w:lang w:val="sr-Cyrl-RS"/>
        </w:rPr>
        <w:t>Пројекције кретања реалног сектора у периоду 2022–2024. година</w:t>
      </w:r>
    </w:p>
    <w:p w14:paraId="63421BE9" w14:textId="77777777" w:rsidR="007A529E" w:rsidRPr="008E2FD8" w:rsidRDefault="007A529E" w:rsidP="00CE729E">
      <w:pPr>
        <w:spacing w:after="360"/>
        <w:rPr>
          <w:lang w:val="sr-Cyrl-RS"/>
        </w:rPr>
      </w:pPr>
      <w:r w:rsidRPr="008E2FD8">
        <w:rPr>
          <w:rFonts w:cstheme="minorHAnsi"/>
          <w:bCs/>
          <w:szCs w:val="72"/>
          <w:lang w:val="sr-Cyrl-RS"/>
        </w:rPr>
        <w:t>Средњорочна пројекција кретања реалног сектора заснована је на реалистичном приступу, како би фискална политика била адекватно постављена и како се не би угрозила досадашња постигнућа. Кретања основних макроекономских агрегата и индикатора за Републику Србију у периоду 2022–2024. година пројектована су на основу актуелних економских трендова и изгледа за Републику Србију и међународно окружење, као и на основу процене ефеката планираних мера економске политике.</w:t>
      </w:r>
      <w:r w:rsidRPr="00497F7C">
        <w:rPr>
          <w:rFonts w:cstheme="minorHAnsi"/>
          <w:bCs/>
          <w:szCs w:val="72"/>
          <w:lang w:val="sr-Cyrl-RS"/>
        </w:rPr>
        <w:t xml:space="preserve"> </w:t>
      </w:r>
      <w:r w:rsidRPr="008E2FD8">
        <w:rPr>
          <w:rFonts w:cstheme="minorHAnsi"/>
          <w:bCs/>
          <w:szCs w:val="72"/>
          <w:lang w:val="sr-Cyrl-RS"/>
        </w:rPr>
        <w:t xml:space="preserve">Влада ће и у овом периоду водити одговорну и предвидиву фискалну политику, синхронизовану са монетарним властима и </w:t>
      </w:r>
      <w:r w:rsidRPr="008E2FD8">
        <w:rPr>
          <w:rFonts w:cstheme="minorHAnsi"/>
          <w:bCs/>
          <w:szCs w:val="72"/>
          <w:lang w:val="sr-Cyrl-RS"/>
        </w:rPr>
        <w:t>фокусирану на санирање свих последица епидемије коронавируса, али и на лоцирању нових извора раста. Наставак прилива СДИ обезбедиће трансфер знања и технологије, подићи конкурентност и обезбедити нове продајне канале домаћим произвођачима. Механизам подстицаја има за циљ њихову секторску и регионалну дисперзију како би биле обезбеђене претпоставке равномерног развоја и пуне искоришћености конкурентских предности. Остваривање ове пројекције, у условима високе неизвесности, подложно је ризицима, који су пре свега егзогеног порекла. Матрица ризика пројекције постоји и детаљно је описана је у овом документу.</w:t>
      </w:r>
    </w:p>
    <w:p w14:paraId="7A35A816" w14:textId="77777777" w:rsidR="007A529E" w:rsidRPr="008E2FD8" w:rsidRDefault="007A529E" w:rsidP="00B435B3">
      <w:pPr>
        <w:spacing w:after="0"/>
        <w:rPr>
          <w:lang w:val="sr-Cyrl-RS"/>
        </w:rPr>
        <w:sectPr w:rsidR="007A529E" w:rsidRPr="008E2FD8" w:rsidSect="00CE729E">
          <w:headerReference w:type="even" r:id="rId56"/>
          <w:headerReference w:type="default" r:id="rId57"/>
          <w:footerReference w:type="even" r:id="rId58"/>
          <w:footerReference w:type="default" r:id="rId59"/>
          <w:headerReference w:type="first" r:id="rId60"/>
          <w:type w:val="continuous"/>
          <w:pgSz w:w="12240" w:h="15840" w:code="1"/>
          <w:pgMar w:top="1440" w:right="1440" w:bottom="1440" w:left="1440" w:header="720" w:footer="720" w:gutter="0"/>
          <w:cols w:num="2" w:space="720"/>
          <w:docGrid w:linePitch="360"/>
        </w:sectPr>
      </w:pPr>
    </w:p>
    <w:tbl>
      <w:tblPr>
        <w:tblStyle w:val="TableGrid"/>
        <w:tblW w:w="4952" w:type="pct"/>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4"/>
        <w:gridCol w:w="925"/>
        <w:gridCol w:w="925"/>
        <w:gridCol w:w="971"/>
        <w:gridCol w:w="931"/>
        <w:gridCol w:w="914"/>
      </w:tblGrid>
      <w:tr w:rsidR="007A529E" w:rsidRPr="008E2FD8" w14:paraId="42EFA53E" w14:textId="77777777" w:rsidTr="00B435B3">
        <w:trPr>
          <w:trHeight w:val="414"/>
        </w:trPr>
        <w:tc>
          <w:tcPr>
            <w:tcW w:w="5000" w:type="pct"/>
            <w:gridSpan w:val="6"/>
            <w:tcBorders>
              <w:bottom w:val="single" w:sz="4" w:space="0" w:color="002060"/>
            </w:tcBorders>
          </w:tcPr>
          <w:p w14:paraId="777E4A27" w14:textId="77777777" w:rsidR="007A529E" w:rsidRPr="008E2FD8" w:rsidRDefault="007A529E" w:rsidP="001527EE">
            <w:pPr>
              <w:jc w:val="center"/>
              <w:rPr>
                <w:rFonts w:cstheme="minorHAnsi"/>
                <w:b/>
                <w:color w:val="002060"/>
                <w:sz w:val="16"/>
                <w:lang w:val="sr-Cyrl-RS"/>
              </w:rPr>
            </w:pPr>
            <w:r w:rsidRPr="008E2FD8">
              <w:rPr>
                <w:rFonts w:cstheme="minorHAnsi"/>
                <w:b/>
                <w:color w:val="002060"/>
                <w:lang w:val="sr-Cyrl-RS"/>
              </w:rPr>
              <w:t>Табела 4. Пројекција основних макроекономских показатеља Републике Србије</w:t>
            </w:r>
          </w:p>
        </w:tc>
      </w:tr>
      <w:tr w:rsidR="007A529E" w:rsidRPr="008E2FD8" w14:paraId="73B666B4" w14:textId="77777777" w:rsidTr="00B435B3">
        <w:tc>
          <w:tcPr>
            <w:tcW w:w="2483" w:type="pct"/>
            <w:tcBorders>
              <w:top w:val="single" w:sz="4" w:space="0" w:color="002060"/>
              <w:left w:val="single" w:sz="2" w:space="0" w:color="FFFFFF" w:themeColor="background1"/>
              <w:bottom w:val="single" w:sz="2" w:space="0" w:color="FFFFFF" w:themeColor="background1"/>
              <w:right w:val="single" w:sz="2" w:space="0" w:color="FFFFFF" w:themeColor="background1"/>
            </w:tcBorders>
          </w:tcPr>
          <w:p w14:paraId="7EA304BA" w14:textId="77777777" w:rsidR="007A529E" w:rsidRPr="008E2FD8" w:rsidRDefault="007A529E" w:rsidP="00C130D2">
            <w:pPr>
              <w:rPr>
                <w:rFonts w:cstheme="minorHAnsi"/>
                <w:color w:val="002060"/>
                <w:sz w:val="18"/>
                <w:lang w:val="sr-Cyrl-RS"/>
              </w:rPr>
            </w:pPr>
          </w:p>
        </w:tc>
        <w:tc>
          <w:tcPr>
            <w:tcW w:w="499" w:type="pct"/>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4EF93F2B" w14:textId="77777777" w:rsidR="007A529E" w:rsidRPr="008E2FD8" w:rsidRDefault="007A529E" w:rsidP="00C130D2">
            <w:pPr>
              <w:jc w:val="center"/>
              <w:rPr>
                <w:rFonts w:cstheme="minorHAnsi"/>
                <w:color w:val="002060"/>
                <w:sz w:val="18"/>
                <w:lang w:val="sr-Cyrl-RS"/>
              </w:rPr>
            </w:pPr>
            <w:r w:rsidRPr="008E2FD8">
              <w:rPr>
                <w:rFonts w:cstheme="minorHAnsi"/>
                <w:color w:val="002060"/>
                <w:sz w:val="18"/>
                <w:lang w:val="sr-Cyrl-RS"/>
              </w:rPr>
              <w:t>Процена</w:t>
            </w:r>
          </w:p>
        </w:tc>
        <w:tc>
          <w:tcPr>
            <w:tcW w:w="499" w:type="pct"/>
            <w:tcBorders>
              <w:top w:val="single" w:sz="4" w:space="0" w:color="002060"/>
              <w:left w:val="single" w:sz="2" w:space="0" w:color="FFFFFF" w:themeColor="background1"/>
              <w:bottom w:val="single" w:sz="2" w:space="0" w:color="FFFFFF" w:themeColor="background1"/>
              <w:right w:val="single" w:sz="2" w:space="0" w:color="FFFFFF" w:themeColor="background1"/>
            </w:tcBorders>
            <w:shd w:val="clear" w:color="auto" w:fill="auto"/>
          </w:tcPr>
          <w:p w14:paraId="4AF9282A" w14:textId="77777777" w:rsidR="007A529E" w:rsidRPr="008E2FD8" w:rsidRDefault="007A529E" w:rsidP="00C130D2">
            <w:pPr>
              <w:jc w:val="center"/>
              <w:rPr>
                <w:rFonts w:cstheme="minorHAnsi"/>
                <w:color w:val="002060"/>
                <w:sz w:val="18"/>
                <w:lang w:val="sr-Cyrl-RS"/>
              </w:rPr>
            </w:pPr>
          </w:p>
        </w:tc>
        <w:tc>
          <w:tcPr>
            <w:tcW w:w="1519" w:type="pct"/>
            <w:gridSpan w:val="3"/>
            <w:tcBorders>
              <w:top w:val="single" w:sz="4" w:space="0" w:color="002060"/>
              <w:left w:val="single" w:sz="2" w:space="0" w:color="FFFFFF" w:themeColor="background1"/>
              <w:bottom w:val="single" w:sz="4" w:space="0" w:color="FFFFFF" w:themeColor="background1"/>
              <w:right w:val="single" w:sz="2" w:space="0" w:color="FFFFFF" w:themeColor="background1"/>
            </w:tcBorders>
            <w:shd w:val="clear" w:color="auto" w:fill="auto"/>
          </w:tcPr>
          <w:p w14:paraId="5386C167" w14:textId="77777777" w:rsidR="007A529E" w:rsidRPr="008E2FD8" w:rsidRDefault="007A529E" w:rsidP="00C130D2">
            <w:pPr>
              <w:jc w:val="center"/>
              <w:rPr>
                <w:rFonts w:cstheme="minorHAnsi"/>
                <w:color w:val="002060"/>
                <w:sz w:val="18"/>
                <w:lang w:val="sr-Cyrl-RS"/>
              </w:rPr>
            </w:pPr>
            <w:r w:rsidRPr="008E2FD8">
              <w:rPr>
                <w:rFonts w:cstheme="minorHAnsi"/>
                <w:color w:val="002060"/>
                <w:sz w:val="18"/>
                <w:lang w:val="sr-Cyrl-RS"/>
              </w:rPr>
              <w:t>Пројекције</w:t>
            </w:r>
          </w:p>
        </w:tc>
      </w:tr>
      <w:tr w:rsidR="007A529E" w:rsidRPr="008E2FD8" w14:paraId="16D2FC5D" w14:textId="77777777" w:rsidTr="00B435B3">
        <w:tc>
          <w:tcPr>
            <w:tcW w:w="2483" w:type="pct"/>
            <w:tcBorders>
              <w:top w:val="single" w:sz="2" w:space="0" w:color="FFFFFF" w:themeColor="background1"/>
            </w:tcBorders>
          </w:tcPr>
          <w:p w14:paraId="378F02E0" w14:textId="77777777" w:rsidR="007A529E" w:rsidRPr="008E2FD8" w:rsidRDefault="007A529E" w:rsidP="00C130D2">
            <w:pPr>
              <w:ind w:left="-15"/>
              <w:rPr>
                <w:rFonts w:cstheme="minorHAnsi"/>
                <w:color w:val="002060"/>
                <w:sz w:val="18"/>
                <w:szCs w:val="18"/>
                <w:lang w:val="sr-Cyrl-RS"/>
              </w:rPr>
            </w:pPr>
          </w:p>
        </w:tc>
        <w:tc>
          <w:tcPr>
            <w:tcW w:w="499" w:type="pct"/>
            <w:tcBorders>
              <w:top w:val="single" w:sz="4" w:space="0" w:color="FFFFFF" w:themeColor="background1"/>
              <w:bottom w:val="single" w:sz="4" w:space="0" w:color="auto"/>
            </w:tcBorders>
          </w:tcPr>
          <w:p w14:paraId="046E0C0B" w14:textId="77777777" w:rsidR="007A529E" w:rsidRPr="008E2FD8" w:rsidRDefault="007A529E" w:rsidP="00C130D2">
            <w:pPr>
              <w:jc w:val="center"/>
              <w:rPr>
                <w:rFonts w:cstheme="minorHAnsi"/>
                <w:color w:val="002060"/>
                <w:sz w:val="18"/>
                <w:szCs w:val="18"/>
                <w:lang w:val="sr-Cyrl-RS"/>
              </w:rPr>
            </w:pPr>
            <w:r w:rsidRPr="008E2FD8">
              <w:rPr>
                <w:rFonts w:cstheme="minorHAnsi"/>
                <w:color w:val="002060"/>
                <w:sz w:val="18"/>
                <w:lang w:val="sr-Cyrl-RS"/>
              </w:rPr>
              <w:t>2021</w:t>
            </w:r>
          </w:p>
        </w:tc>
        <w:tc>
          <w:tcPr>
            <w:tcW w:w="499" w:type="pct"/>
            <w:tcBorders>
              <w:top w:val="single" w:sz="2" w:space="0" w:color="FFFFFF" w:themeColor="background1"/>
            </w:tcBorders>
          </w:tcPr>
          <w:p w14:paraId="0CD0AC1C" w14:textId="77777777" w:rsidR="007A529E" w:rsidRPr="008E2FD8" w:rsidRDefault="007A529E" w:rsidP="00C130D2">
            <w:pPr>
              <w:jc w:val="center"/>
              <w:rPr>
                <w:rFonts w:cstheme="minorHAnsi"/>
                <w:color w:val="002060"/>
                <w:sz w:val="18"/>
                <w:szCs w:val="18"/>
                <w:lang w:val="sr-Cyrl-RS"/>
              </w:rPr>
            </w:pPr>
          </w:p>
        </w:tc>
        <w:tc>
          <w:tcPr>
            <w:tcW w:w="524" w:type="pct"/>
            <w:tcBorders>
              <w:top w:val="single" w:sz="4" w:space="0" w:color="FFFFFF" w:themeColor="background1"/>
              <w:bottom w:val="single" w:sz="4" w:space="0" w:color="auto"/>
            </w:tcBorders>
          </w:tcPr>
          <w:p w14:paraId="3C6764CC" w14:textId="77777777" w:rsidR="007A529E" w:rsidRPr="008E2FD8" w:rsidRDefault="007A529E" w:rsidP="00C130D2">
            <w:pPr>
              <w:jc w:val="center"/>
              <w:rPr>
                <w:rFonts w:cstheme="minorHAnsi"/>
                <w:color w:val="002060"/>
                <w:sz w:val="18"/>
                <w:szCs w:val="18"/>
                <w:lang w:val="sr-Cyrl-RS"/>
              </w:rPr>
            </w:pPr>
            <w:r w:rsidRPr="008E2FD8">
              <w:rPr>
                <w:rFonts w:cstheme="minorHAnsi"/>
                <w:color w:val="002060"/>
                <w:sz w:val="18"/>
                <w:lang w:val="sr-Cyrl-RS"/>
              </w:rPr>
              <w:t>2022</w:t>
            </w:r>
          </w:p>
        </w:tc>
        <w:tc>
          <w:tcPr>
            <w:tcW w:w="502" w:type="pct"/>
            <w:tcBorders>
              <w:top w:val="single" w:sz="4" w:space="0" w:color="FFFFFF" w:themeColor="background1"/>
              <w:bottom w:val="single" w:sz="4" w:space="0" w:color="auto"/>
            </w:tcBorders>
          </w:tcPr>
          <w:p w14:paraId="6592A98B" w14:textId="77777777" w:rsidR="007A529E" w:rsidRPr="008E2FD8" w:rsidRDefault="007A529E" w:rsidP="00C130D2">
            <w:pPr>
              <w:jc w:val="center"/>
              <w:rPr>
                <w:rFonts w:cstheme="minorHAnsi"/>
                <w:color w:val="002060"/>
                <w:sz w:val="18"/>
                <w:szCs w:val="18"/>
                <w:lang w:val="sr-Cyrl-RS"/>
              </w:rPr>
            </w:pPr>
            <w:r w:rsidRPr="008E2FD8">
              <w:rPr>
                <w:rFonts w:cstheme="minorHAnsi"/>
                <w:color w:val="002060"/>
                <w:sz w:val="18"/>
                <w:lang w:val="sr-Cyrl-RS"/>
              </w:rPr>
              <w:t>2023</w:t>
            </w:r>
          </w:p>
        </w:tc>
        <w:tc>
          <w:tcPr>
            <w:tcW w:w="493" w:type="pct"/>
            <w:tcBorders>
              <w:top w:val="single" w:sz="4" w:space="0" w:color="FFFFFF" w:themeColor="background1"/>
              <w:bottom w:val="single" w:sz="4" w:space="0" w:color="auto"/>
            </w:tcBorders>
          </w:tcPr>
          <w:p w14:paraId="467F259E" w14:textId="77777777" w:rsidR="007A529E" w:rsidRPr="008E2FD8" w:rsidRDefault="007A529E" w:rsidP="00C130D2">
            <w:pPr>
              <w:jc w:val="center"/>
              <w:rPr>
                <w:rFonts w:cstheme="minorHAnsi"/>
                <w:color w:val="002060"/>
                <w:sz w:val="18"/>
                <w:szCs w:val="18"/>
                <w:lang w:val="sr-Cyrl-RS"/>
              </w:rPr>
            </w:pPr>
            <w:r w:rsidRPr="008E2FD8">
              <w:rPr>
                <w:rFonts w:cstheme="minorHAnsi"/>
                <w:color w:val="002060"/>
                <w:sz w:val="18"/>
                <w:lang w:val="sr-Cyrl-RS"/>
              </w:rPr>
              <w:t>2024</w:t>
            </w:r>
          </w:p>
        </w:tc>
      </w:tr>
      <w:tr w:rsidR="007A529E" w:rsidRPr="008E2FD8" w14:paraId="57BA640D" w14:textId="77777777" w:rsidTr="00CE729E">
        <w:tc>
          <w:tcPr>
            <w:tcW w:w="2483" w:type="pct"/>
            <w:tcBorders>
              <w:top w:val="single" w:sz="2" w:space="0" w:color="FFFFFF" w:themeColor="background1"/>
            </w:tcBorders>
          </w:tcPr>
          <w:p w14:paraId="372826B8" w14:textId="77777777" w:rsidR="007A529E" w:rsidRPr="008E2FD8" w:rsidRDefault="007A529E" w:rsidP="00CE729E">
            <w:pPr>
              <w:ind w:left="-15"/>
              <w:rPr>
                <w:rFonts w:cstheme="minorHAnsi"/>
                <w:color w:val="002060"/>
                <w:sz w:val="18"/>
                <w:szCs w:val="18"/>
                <w:lang w:val="sr-Cyrl-RS"/>
              </w:rPr>
            </w:pPr>
            <w:r w:rsidRPr="008E2FD8">
              <w:rPr>
                <w:rFonts w:cstheme="minorHAnsi"/>
                <w:color w:val="002060"/>
                <w:sz w:val="18"/>
                <w:szCs w:val="18"/>
                <w:lang w:val="sr-Cyrl-RS"/>
              </w:rPr>
              <w:t>БДП, млрд динара (текуће цене)</w:t>
            </w:r>
          </w:p>
        </w:tc>
        <w:tc>
          <w:tcPr>
            <w:tcW w:w="499" w:type="pct"/>
            <w:tcBorders>
              <w:top w:val="single" w:sz="4" w:space="0" w:color="auto"/>
            </w:tcBorders>
          </w:tcPr>
          <w:p w14:paraId="1A623DC2"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5.938,1</w:t>
            </w:r>
          </w:p>
        </w:tc>
        <w:tc>
          <w:tcPr>
            <w:tcW w:w="499" w:type="pct"/>
            <w:tcBorders>
              <w:top w:val="single" w:sz="2" w:space="0" w:color="FFFFFF" w:themeColor="background1"/>
            </w:tcBorders>
          </w:tcPr>
          <w:p w14:paraId="45E7F7F2" w14:textId="77777777" w:rsidR="007A529E" w:rsidRPr="008E2FD8" w:rsidRDefault="007A529E" w:rsidP="00CE729E">
            <w:pPr>
              <w:jc w:val="center"/>
              <w:rPr>
                <w:rFonts w:cstheme="minorHAnsi"/>
                <w:color w:val="002060"/>
                <w:sz w:val="18"/>
                <w:szCs w:val="18"/>
                <w:lang w:val="sr-Cyrl-RS"/>
              </w:rPr>
            </w:pPr>
          </w:p>
        </w:tc>
        <w:tc>
          <w:tcPr>
            <w:tcW w:w="524" w:type="pct"/>
            <w:vAlign w:val="center"/>
          </w:tcPr>
          <w:p w14:paraId="6F1FC8CA"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6.342,1</w:t>
            </w:r>
          </w:p>
        </w:tc>
        <w:tc>
          <w:tcPr>
            <w:tcW w:w="502" w:type="pct"/>
            <w:vAlign w:val="center"/>
          </w:tcPr>
          <w:p w14:paraId="3166F155"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6.792,2</w:t>
            </w:r>
          </w:p>
        </w:tc>
        <w:tc>
          <w:tcPr>
            <w:tcW w:w="493" w:type="pct"/>
            <w:vAlign w:val="center"/>
          </w:tcPr>
          <w:p w14:paraId="55451EC6"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7.287,7</w:t>
            </w:r>
          </w:p>
        </w:tc>
      </w:tr>
      <w:tr w:rsidR="007A529E" w:rsidRPr="008E2FD8" w14:paraId="4FAE3C7C" w14:textId="77777777" w:rsidTr="00CE729E">
        <w:tc>
          <w:tcPr>
            <w:tcW w:w="2483" w:type="pct"/>
          </w:tcPr>
          <w:p w14:paraId="249D2390" w14:textId="77777777" w:rsidR="007A529E" w:rsidRPr="008E2FD8" w:rsidRDefault="007A529E" w:rsidP="00CE729E">
            <w:pPr>
              <w:ind w:left="-15"/>
              <w:rPr>
                <w:rFonts w:cstheme="minorHAnsi"/>
                <w:color w:val="002060"/>
                <w:sz w:val="18"/>
                <w:szCs w:val="18"/>
                <w:lang w:val="sr-Cyrl-RS"/>
              </w:rPr>
            </w:pPr>
            <w:r w:rsidRPr="008E2FD8">
              <w:rPr>
                <w:rFonts w:cstheme="minorHAnsi"/>
                <w:color w:val="002060"/>
                <w:sz w:val="18"/>
                <w:szCs w:val="18"/>
                <w:lang w:val="sr-Cyrl-RS"/>
              </w:rPr>
              <w:t>Реални раст БДП, %</w:t>
            </w:r>
          </w:p>
        </w:tc>
        <w:tc>
          <w:tcPr>
            <w:tcW w:w="499" w:type="pct"/>
          </w:tcPr>
          <w:p w14:paraId="3B6A00D0"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6,0</w:t>
            </w:r>
          </w:p>
        </w:tc>
        <w:tc>
          <w:tcPr>
            <w:tcW w:w="499" w:type="pct"/>
          </w:tcPr>
          <w:p w14:paraId="6CADF98F" w14:textId="77777777" w:rsidR="007A529E" w:rsidRPr="008E2FD8" w:rsidRDefault="007A529E" w:rsidP="00CE729E">
            <w:pPr>
              <w:jc w:val="center"/>
              <w:rPr>
                <w:rFonts w:cstheme="minorHAnsi"/>
                <w:color w:val="002060"/>
                <w:sz w:val="18"/>
                <w:szCs w:val="18"/>
                <w:lang w:val="sr-Cyrl-RS"/>
              </w:rPr>
            </w:pPr>
          </w:p>
        </w:tc>
        <w:tc>
          <w:tcPr>
            <w:tcW w:w="524" w:type="pct"/>
            <w:vAlign w:val="center"/>
          </w:tcPr>
          <w:p w14:paraId="694BE685"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4,0</w:t>
            </w:r>
          </w:p>
        </w:tc>
        <w:tc>
          <w:tcPr>
            <w:tcW w:w="502" w:type="pct"/>
            <w:vAlign w:val="center"/>
          </w:tcPr>
          <w:p w14:paraId="1FD77B06"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4,0</w:t>
            </w:r>
          </w:p>
        </w:tc>
        <w:tc>
          <w:tcPr>
            <w:tcW w:w="493" w:type="pct"/>
            <w:vAlign w:val="center"/>
          </w:tcPr>
          <w:p w14:paraId="28974E94"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4,0</w:t>
            </w:r>
          </w:p>
        </w:tc>
      </w:tr>
      <w:tr w:rsidR="007A529E" w:rsidRPr="008E2FD8" w14:paraId="3990201C" w14:textId="77777777" w:rsidTr="00CE729E">
        <w:tc>
          <w:tcPr>
            <w:tcW w:w="2483" w:type="pct"/>
          </w:tcPr>
          <w:p w14:paraId="6A534E24" w14:textId="77777777" w:rsidR="007A529E" w:rsidRPr="008E2FD8" w:rsidRDefault="007A529E" w:rsidP="00CE729E">
            <w:pPr>
              <w:ind w:left="-15"/>
              <w:rPr>
                <w:rFonts w:cstheme="minorHAnsi"/>
                <w:color w:val="002060"/>
                <w:sz w:val="18"/>
                <w:szCs w:val="18"/>
                <w:lang w:val="sr-Cyrl-RS"/>
              </w:rPr>
            </w:pPr>
            <w:r w:rsidRPr="008E2FD8">
              <w:rPr>
                <w:rFonts w:cstheme="minorHAnsi"/>
                <w:color w:val="002060"/>
                <w:sz w:val="18"/>
                <w:szCs w:val="18"/>
                <w:lang w:val="sr-Cyrl-RS"/>
              </w:rPr>
              <w:t>Дефлатор БДП, %</w:t>
            </w:r>
          </w:p>
        </w:tc>
        <w:tc>
          <w:tcPr>
            <w:tcW w:w="499" w:type="pct"/>
          </w:tcPr>
          <w:p w14:paraId="18E9A6E7"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2,6</w:t>
            </w:r>
          </w:p>
        </w:tc>
        <w:tc>
          <w:tcPr>
            <w:tcW w:w="499" w:type="pct"/>
          </w:tcPr>
          <w:p w14:paraId="56B4AE01"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6C843E24"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2,7</w:t>
            </w:r>
          </w:p>
        </w:tc>
        <w:tc>
          <w:tcPr>
            <w:tcW w:w="502" w:type="pct"/>
            <w:tcBorders>
              <w:top w:val="nil"/>
              <w:left w:val="nil"/>
              <w:bottom w:val="nil"/>
              <w:right w:val="nil"/>
            </w:tcBorders>
            <w:shd w:val="clear" w:color="auto" w:fill="auto"/>
            <w:vAlign w:val="bottom"/>
          </w:tcPr>
          <w:p w14:paraId="2850ECDB"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3,0</w:t>
            </w:r>
          </w:p>
        </w:tc>
        <w:tc>
          <w:tcPr>
            <w:tcW w:w="493" w:type="pct"/>
            <w:tcBorders>
              <w:top w:val="nil"/>
              <w:left w:val="nil"/>
              <w:bottom w:val="nil"/>
              <w:right w:val="nil"/>
            </w:tcBorders>
            <w:shd w:val="clear" w:color="auto" w:fill="auto"/>
            <w:vAlign w:val="bottom"/>
          </w:tcPr>
          <w:p w14:paraId="439B581D"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3,2</w:t>
            </w:r>
          </w:p>
        </w:tc>
      </w:tr>
      <w:tr w:rsidR="007A529E" w:rsidRPr="008E2FD8" w14:paraId="7140073A" w14:textId="77777777" w:rsidTr="00B435B3">
        <w:tc>
          <w:tcPr>
            <w:tcW w:w="5000" w:type="pct"/>
            <w:gridSpan w:val="6"/>
            <w:shd w:val="clear" w:color="auto" w:fill="E7E6E6" w:themeFill="background2"/>
          </w:tcPr>
          <w:p w14:paraId="692CA843" w14:textId="77777777" w:rsidR="007A529E" w:rsidRPr="008E2FD8" w:rsidRDefault="007A529E" w:rsidP="00C130D2">
            <w:pPr>
              <w:rPr>
                <w:rFonts w:cstheme="minorHAnsi"/>
                <w:color w:val="002060"/>
                <w:sz w:val="18"/>
                <w:szCs w:val="18"/>
                <w:lang w:val="sr-Cyrl-RS"/>
              </w:rPr>
            </w:pPr>
          </w:p>
        </w:tc>
      </w:tr>
      <w:tr w:rsidR="007A529E" w:rsidRPr="008E2FD8" w14:paraId="62D850C1" w14:textId="77777777" w:rsidTr="00CE729E">
        <w:tc>
          <w:tcPr>
            <w:tcW w:w="2483" w:type="pct"/>
          </w:tcPr>
          <w:p w14:paraId="406223B2" w14:textId="77777777" w:rsidR="007A529E" w:rsidRPr="008E2FD8" w:rsidRDefault="007A529E" w:rsidP="00CE729E">
            <w:pPr>
              <w:ind w:left="256"/>
              <w:rPr>
                <w:rFonts w:cstheme="minorHAnsi"/>
                <w:color w:val="002060"/>
                <w:sz w:val="18"/>
                <w:szCs w:val="18"/>
                <w:lang w:val="sr-Cyrl-RS"/>
              </w:rPr>
            </w:pPr>
            <w:r w:rsidRPr="008E2FD8">
              <w:rPr>
                <w:rFonts w:cstheme="minorHAnsi"/>
                <w:color w:val="002060"/>
                <w:sz w:val="18"/>
                <w:szCs w:val="18"/>
                <w:lang w:val="sr-Cyrl-RS"/>
              </w:rPr>
              <w:t>Лична потрошња</w:t>
            </w:r>
          </w:p>
        </w:tc>
        <w:tc>
          <w:tcPr>
            <w:tcW w:w="499" w:type="pct"/>
          </w:tcPr>
          <w:p w14:paraId="10004599"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5,8</w:t>
            </w:r>
          </w:p>
        </w:tc>
        <w:tc>
          <w:tcPr>
            <w:tcW w:w="499" w:type="pct"/>
          </w:tcPr>
          <w:p w14:paraId="757AC191"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0160C05B"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3,2</w:t>
            </w:r>
          </w:p>
        </w:tc>
        <w:tc>
          <w:tcPr>
            <w:tcW w:w="502" w:type="pct"/>
            <w:tcBorders>
              <w:top w:val="nil"/>
              <w:left w:val="nil"/>
              <w:bottom w:val="nil"/>
              <w:right w:val="nil"/>
            </w:tcBorders>
            <w:shd w:val="clear" w:color="auto" w:fill="auto"/>
            <w:vAlign w:val="bottom"/>
          </w:tcPr>
          <w:p w14:paraId="77C00D17"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3,0</w:t>
            </w:r>
          </w:p>
        </w:tc>
        <w:tc>
          <w:tcPr>
            <w:tcW w:w="493" w:type="pct"/>
            <w:tcBorders>
              <w:top w:val="nil"/>
              <w:left w:val="nil"/>
              <w:bottom w:val="nil"/>
              <w:right w:val="nil"/>
            </w:tcBorders>
            <w:shd w:val="clear" w:color="auto" w:fill="auto"/>
            <w:vAlign w:val="bottom"/>
          </w:tcPr>
          <w:p w14:paraId="1DC327BD"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2,2</w:t>
            </w:r>
          </w:p>
        </w:tc>
      </w:tr>
      <w:tr w:rsidR="007A529E" w:rsidRPr="008E2FD8" w14:paraId="152D0FD4" w14:textId="77777777" w:rsidTr="00CE729E">
        <w:tc>
          <w:tcPr>
            <w:tcW w:w="2483" w:type="pct"/>
          </w:tcPr>
          <w:p w14:paraId="1F9EE6D0" w14:textId="77777777" w:rsidR="007A529E" w:rsidRPr="008E2FD8" w:rsidRDefault="007A529E" w:rsidP="00CE729E">
            <w:pPr>
              <w:ind w:left="256"/>
              <w:rPr>
                <w:rFonts w:cstheme="minorHAnsi"/>
                <w:color w:val="002060"/>
                <w:sz w:val="18"/>
                <w:szCs w:val="18"/>
                <w:lang w:val="sr-Cyrl-RS"/>
              </w:rPr>
            </w:pPr>
            <w:r w:rsidRPr="008E2FD8">
              <w:rPr>
                <w:rFonts w:cstheme="minorHAnsi"/>
                <w:color w:val="002060"/>
                <w:sz w:val="18"/>
                <w:szCs w:val="18"/>
                <w:lang w:val="sr-Cyrl-RS"/>
              </w:rPr>
              <w:t>Државна потрошња</w:t>
            </w:r>
          </w:p>
        </w:tc>
        <w:tc>
          <w:tcPr>
            <w:tcW w:w="499" w:type="pct"/>
          </w:tcPr>
          <w:p w14:paraId="2E098637"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3,0</w:t>
            </w:r>
          </w:p>
        </w:tc>
        <w:tc>
          <w:tcPr>
            <w:tcW w:w="499" w:type="pct"/>
          </w:tcPr>
          <w:p w14:paraId="3E6EBEDA"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399C86FD"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1,1</w:t>
            </w:r>
          </w:p>
        </w:tc>
        <w:tc>
          <w:tcPr>
            <w:tcW w:w="502" w:type="pct"/>
            <w:tcBorders>
              <w:top w:val="nil"/>
              <w:left w:val="nil"/>
              <w:bottom w:val="nil"/>
              <w:right w:val="nil"/>
            </w:tcBorders>
            <w:shd w:val="clear" w:color="auto" w:fill="auto"/>
            <w:vAlign w:val="bottom"/>
          </w:tcPr>
          <w:p w14:paraId="44F370ED"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0,3</w:t>
            </w:r>
          </w:p>
        </w:tc>
        <w:tc>
          <w:tcPr>
            <w:tcW w:w="493" w:type="pct"/>
            <w:tcBorders>
              <w:top w:val="nil"/>
              <w:left w:val="nil"/>
              <w:bottom w:val="nil"/>
              <w:right w:val="nil"/>
            </w:tcBorders>
            <w:shd w:val="clear" w:color="auto" w:fill="auto"/>
            <w:vAlign w:val="bottom"/>
          </w:tcPr>
          <w:p w14:paraId="4A4005D8"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0,3</w:t>
            </w:r>
          </w:p>
        </w:tc>
      </w:tr>
      <w:tr w:rsidR="007A529E" w:rsidRPr="008E2FD8" w14:paraId="29E200F9" w14:textId="77777777" w:rsidTr="00CE729E">
        <w:tc>
          <w:tcPr>
            <w:tcW w:w="2483" w:type="pct"/>
          </w:tcPr>
          <w:p w14:paraId="7CC5021E" w14:textId="77777777" w:rsidR="007A529E" w:rsidRPr="008E2FD8" w:rsidRDefault="007A529E" w:rsidP="00CE729E">
            <w:pPr>
              <w:ind w:left="256"/>
              <w:rPr>
                <w:rFonts w:cstheme="minorHAnsi"/>
                <w:color w:val="002060"/>
                <w:sz w:val="18"/>
                <w:szCs w:val="18"/>
                <w:lang w:val="sr-Cyrl-RS"/>
              </w:rPr>
            </w:pPr>
            <w:r w:rsidRPr="008E2FD8">
              <w:rPr>
                <w:rFonts w:cstheme="minorHAnsi"/>
                <w:color w:val="002060"/>
                <w:sz w:val="18"/>
                <w:szCs w:val="18"/>
                <w:lang w:val="sr-Cyrl-RS"/>
              </w:rPr>
              <w:t>Бруто инвестиције у основна средства</w:t>
            </w:r>
          </w:p>
        </w:tc>
        <w:tc>
          <w:tcPr>
            <w:tcW w:w="499" w:type="pct"/>
          </w:tcPr>
          <w:p w14:paraId="2CEF2B64"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14,3</w:t>
            </w:r>
          </w:p>
        </w:tc>
        <w:tc>
          <w:tcPr>
            <w:tcW w:w="499" w:type="pct"/>
          </w:tcPr>
          <w:p w14:paraId="6E6063C8"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02E0E24D"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6,0</w:t>
            </w:r>
          </w:p>
        </w:tc>
        <w:tc>
          <w:tcPr>
            <w:tcW w:w="502" w:type="pct"/>
            <w:tcBorders>
              <w:top w:val="nil"/>
              <w:left w:val="nil"/>
              <w:bottom w:val="nil"/>
              <w:right w:val="nil"/>
            </w:tcBorders>
            <w:shd w:val="clear" w:color="auto" w:fill="auto"/>
            <w:vAlign w:val="bottom"/>
          </w:tcPr>
          <w:p w14:paraId="08565428"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6,7</w:t>
            </w:r>
          </w:p>
        </w:tc>
        <w:tc>
          <w:tcPr>
            <w:tcW w:w="493" w:type="pct"/>
            <w:tcBorders>
              <w:top w:val="nil"/>
              <w:left w:val="nil"/>
              <w:bottom w:val="nil"/>
              <w:right w:val="nil"/>
            </w:tcBorders>
            <w:shd w:val="clear" w:color="auto" w:fill="auto"/>
            <w:vAlign w:val="bottom"/>
          </w:tcPr>
          <w:p w14:paraId="72E72E24"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8,1</w:t>
            </w:r>
          </w:p>
        </w:tc>
      </w:tr>
      <w:tr w:rsidR="007A529E" w:rsidRPr="008E2FD8" w14:paraId="60094CF0" w14:textId="77777777" w:rsidTr="00CE729E">
        <w:tc>
          <w:tcPr>
            <w:tcW w:w="2483" w:type="pct"/>
          </w:tcPr>
          <w:p w14:paraId="5E4C1C5C" w14:textId="77777777" w:rsidR="007A529E" w:rsidRPr="008E2FD8" w:rsidRDefault="007A529E" w:rsidP="00CE729E">
            <w:pPr>
              <w:ind w:left="256"/>
              <w:rPr>
                <w:rFonts w:cstheme="minorHAnsi"/>
                <w:color w:val="002060"/>
                <w:sz w:val="18"/>
                <w:szCs w:val="18"/>
                <w:lang w:val="sr-Cyrl-RS"/>
              </w:rPr>
            </w:pPr>
            <w:r w:rsidRPr="008E2FD8">
              <w:rPr>
                <w:rFonts w:cstheme="minorHAnsi"/>
                <w:color w:val="002060"/>
                <w:sz w:val="18"/>
                <w:szCs w:val="18"/>
                <w:lang w:val="sr-Cyrl-RS"/>
              </w:rPr>
              <w:t>Извоз робе и услуга</w:t>
            </w:r>
          </w:p>
        </w:tc>
        <w:tc>
          <w:tcPr>
            <w:tcW w:w="499" w:type="pct"/>
          </w:tcPr>
          <w:p w14:paraId="28E8CF56"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13,8</w:t>
            </w:r>
          </w:p>
        </w:tc>
        <w:tc>
          <w:tcPr>
            <w:tcW w:w="499" w:type="pct"/>
          </w:tcPr>
          <w:p w14:paraId="0666EEE3"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35E7295F"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9,5</w:t>
            </w:r>
          </w:p>
        </w:tc>
        <w:tc>
          <w:tcPr>
            <w:tcW w:w="502" w:type="pct"/>
            <w:tcBorders>
              <w:top w:val="nil"/>
              <w:left w:val="nil"/>
              <w:bottom w:val="nil"/>
              <w:right w:val="nil"/>
            </w:tcBorders>
            <w:shd w:val="clear" w:color="auto" w:fill="auto"/>
            <w:vAlign w:val="bottom"/>
          </w:tcPr>
          <w:p w14:paraId="002AF01E"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9,9</w:t>
            </w:r>
          </w:p>
        </w:tc>
        <w:tc>
          <w:tcPr>
            <w:tcW w:w="493" w:type="pct"/>
            <w:tcBorders>
              <w:top w:val="nil"/>
              <w:left w:val="nil"/>
              <w:bottom w:val="nil"/>
              <w:right w:val="nil"/>
            </w:tcBorders>
            <w:shd w:val="clear" w:color="auto" w:fill="auto"/>
            <w:vAlign w:val="bottom"/>
          </w:tcPr>
          <w:p w14:paraId="0A4A50C5"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10,0</w:t>
            </w:r>
          </w:p>
        </w:tc>
      </w:tr>
      <w:tr w:rsidR="007A529E" w:rsidRPr="008E2FD8" w14:paraId="28665528" w14:textId="77777777" w:rsidTr="00CE729E">
        <w:tc>
          <w:tcPr>
            <w:tcW w:w="2483" w:type="pct"/>
          </w:tcPr>
          <w:p w14:paraId="5FD98451" w14:textId="77777777" w:rsidR="007A529E" w:rsidRPr="008E2FD8" w:rsidRDefault="007A529E" w:rsidP="00CE729E">
            <w:pPr>
              <w:ind w:left="256"/>
              <w:rPr>
                <w:rFonts w:cstheme="minorHAnsi"/>
                <w:color w:val="002060"/>
                <w:sz w:val="18"/>
                <w:szCs w:val="18"/>
                <w:lang w:val="sr-Cyrl-RS"/>
              </w:rPr>
            </w:pPr>
            <w:r w:rsidRPr="008E2FD8">
              <w:rPr>
                <w:rFonts w:cstheme="minorHAnsi"/>
                <w:color w:val="002060"/>
                <w:sz w:val="18"/>
                <w:szCs w:val="18"/>
                <w:lang w:val="sr-Cyrl-RS"/>
              </w:rPr>
              <w:t>Увоз робе и услуга</w:t>
            </w:r>
          </w:p>
        </w:tc>
        <w:tc>
          <w:tcPr>
            <w:tcW w:w="499" w:type="pct"/>
          </w:tcPr>
          <w:p w14:paraId="36B612FC"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13,4</w:t>
            </w:r>
          </w:p>
        </w:tc>
        <w:tc>
          <w:tcPr>
            <w:tcW w:w="499" w:type="pct"/>
          </w:tcPr>
          <w:p w14:paraId="0203152F"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vAlign w:val="bottom"/>
          </w:tcPr>
          <w:p w14:paraId="4B505210"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7,4</w:t>
            </w:r>
          </w:p>
        </w:tc>
        <w:tc>
          <w:tcPr>
            <w:tcW w:w="502" w:type="pct"/>
            <w:tcBorders>
              <w:top w:val="nil"/>
              <w:left w:val="nil"/>
              <w:bottom w:val="nil"/>
              <w:right w:val="nil"/>
            </w:tcBorders>
            <w:shd w:val="clear" w:color="auto" w:fill="auto"/>
            <w:vAlign w:val="bottom"/>
          </w:tcPr>
          <w:p w14:paraId="63690D2C"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7,8</w:t>
            </w:r>
          </w:p>
        </w:tc>
        <w:tc>
          <w:tcPr>
            <w:tcW w:w="493" w:type="pct"/>
            <w:tcBorders>
              <w:top w:val="nil"/>
              <w:left w:val="nil"/>
              <w:bottom w:val="nil"/>
              <w:right w:val="nil"/>
            </w:tcBorders>
            <w:shd w:val="clear" w:color="auto" w:fill="auto"/>
            <w:vAlign w:val="bottom"/>
          </w:tcPr>
          <w:p w14:paraId="502B4E44"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7,8</w:t>
            </w:r>
          </w:p>
        </w:tc>
      </w:tr>
      <w:tr w:rsidR="007A529E" w:rsidRPr="008E2FD8" w14:paraId="3FF328DE" w14:textId="77777777" w:rsidTr="00B435B3">
        <w:tc>
          <w:tcPr>
            <w:tcW w:w="2483" w:type="pct"/>
          </w:tcPr>
          <w:p w14:paraId="78DD99D3" w14:textId="77777777" w:rsidR="007A529E" w:rsidRPr="008E2FD8" w:rsidRDefault="007A529E" w:rsidP="00CE729E">
            <w:pPr>
              <w:ind w:left="-15"/>
              <w:rPr>
                <w:rFonts w:cstheme="minorHAnsi"/>
                <w:color w:val="002060"/>
                <w:sz w:val="18"/>
                <w:szCs w:val="18"/>
                <w:lang w:val="sr-Cyrl-RS"/>
              </w:rPr>
            </w:pPr>
            <w:r w:rsidRPr="008E2FD8">
              <w:rPr>
                <w:rFonts w:cstheme="minorHAnsi"/>
                <w:color w:val="002060"/>
                <w:sz w:val="18"/>
                <w:szCs w:val="18"/>
                <w:lang w:val="sr-Cyrl-RS"/>
              </w:rPr>
              <w:t>Салдо робе и услуга, у ЕУР, % БДП</w:t>
            </w:r>
          </w:p>
        </w:tc>
        <w:tc>
          <w:tcPr>
            <w:tcW w:w="499" w:type="pct"/>
          </w:tcPr>
          <w:p w14:paraId="686319A1"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-9,7</w:t>
            </w:r>
          </w:p>
        </w:tc>
        <w:tc>
          <w:tcPr>
            <w:tcW w:w="499" w:type="pct"/>
          </w:tcPr>
          <w:p w14:paraId="3CDB1792" w14:textId="77777777" w:rsidR="007A529E" w:rsidRPr="008E2FD8" w:rsidRDefault="007A529E" w:rsidP="00CE729E">
            <w:pPr>
              <w:jc w:val="center"/>
              <w:rPr>
                <w:rFonts w:cstheme="minorHAnsi"/>
                <w:color w:val="002060"/>
                <w:sz w:val="18"/>
                <w:szCs w:val="18"/>
                <w:lang w:val="sr-Cyrl-RS"/>
              </w:rPr>
            </w:pPr>
          </w:p>
        </w:tc>
        <w:tc>
          <w:tcPr>
            <w:tcW w:w="524" w:type="pct"/>
          </w:tcPr>
          <w:p w14:paraId="3C240CF6" w14:textId="77777777" w:rsidR="007A529E" w:rsidRPr="008E2FD8" w:rsidRDefault="007A529E" w:rsidP="00CE729E">
            <w:pPr>
              <w:jc w:val="center"/>
              <w:rPr>
                <w:color w:val="002060"/>
                <w:sz w:val="18"/>
                <w:lang w:val="sr-Cyrl-RS"/>
              </w:rPr>
            </w:pPr>
            <w:r w:rsidRPr="008E2FD8">
              <w:rPr>
                <w:color w:val="002060"/>
                <w:sz w:val="18"/>
                <w:lang w:val="sr-Cyrl-RS"/>
              </w:rPr>
              <w:t>-9,1</w:t>
            </w:r>
          </w:p>
        </w:tc>
        <w:tc>
          <w:tcPr>
            <w:tcW w:w="502" w:type="pct"/>
          </w:tcPr>
          <w:p w14:paraId="4E1219CD" w14:textId="77777777" w:rsidR="007A529E" w:rsidRPr="008E2FD8" w:rsidRDefault="007A529E" w:rsidP="00CE729E">
            <w:pPr>
              <w:jc w:val="center"/>
              <w:rPr>
                <w:color w:val="002060"/>
                <w:sz w:val="18"/>
                <w:lang w:val="sr-Cyrl-RS"/>
              </w:rPr>
            </w:pPr>
            <w:r w:rsidRPr="008E2FD8">
              <w:rPr>
                <w:color w:val="002060"/>
                <w:sz w:val="18"/>
                <w:lang w:val="sr-Cyrl-RS"/>
              </w:rPr>
              <w:t>-8,1</w:t>
            </w:r>
          </w:p>
        </w:tc>
        <w:tc>
          <w:tcPr>
            <w:tcW w:w="493" w:type="pct"/>
          </w:tcPr>
          <w:p w14:paraId="27749E8C" w14:textId="77777777" w:rsidR="007A529E" w:rsidRPr="008E2FD8" w:rsidRDefault="007A529E" w:rsidP="00CE729E">
            <w:pPr>
              <w:jc w:val="center"/>
              <w:rPr>
                <w:color w:val="002060"/>
                <w:sz w:val="18"/>
                <w:lang w:val="sr-Cyrl-RS"/>
              </w:rPr>
            </w:pPr>
            <w:r w:rsidRPr="008E2FD8">
              <w:rPr>
                <w:color w:val="002060"/>
                <w:sz w:val="18"/>
                <w:lang w:val="sr-Cyrl-RS"/>
              </w:rPr>
              <w:t>-7,0</w:t>
            </w:r>
          </w:p>
        </w:tc>
      </w:tr>
      <w:tr w:rsidR="007A529E" w:rsidRPr="008E2FD8" w14:paraId="6A8F5A42" w14:textId="77777777" w:rsidTr="00CE729E">
        <w:tc>
          <w:tcPr>
            <w:tcW w:w="2483" w:type="pct"/>
          </w:tcPr>
          <w:p w14:paraId="6E73957A" w14:textId="77777777" w:rsidR="007A529E" w:rsidRPr="008E2FD8" w:rsidRDefault="007A529E" w:rsidP="00CE729E">
            <w:pPr>
              <w:ind w:left="-15"/>
              <w:rPr>
                <w:rFonts w:cstheme="minorHAnsi"/>
                <w:color w:val="002060"/>
                <w:sz w:val="18"/>
                <w:szCs w:val="18"/>
                <w:lang w:val="sr-Cyrl-RS"/>
              </w:rPr>
            </w:pPr>
            <w:r w:rsidRPr="008E2FD8">
              <w:rPr>
                <w:rFonts w:cstheme="minorHAnsi"/>
                <w:color w:val="002060"/>
                <w:sz w:val="18"/>
                <w:szCs w:val="18"/>
                <w:lang w:val="sr-Cyrl-RS"/>
              </w:rPr>
              <w:t>Салдо текућег рачуна, у ЕУР, % БДП</w:t>
            </w:r>
          </w:p>
        </w:tc>
        <w:tc>
          <w:tcPr>
            <w:tcW w:w="499" w:type="pct"/>
          </w:tcPr>
          <w:p w14:paraId="633A5870"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-5,6</w:t>
            </w:r>
          </w:p>
        </w:tc>
        <w:tc>
          <w:tcPr>
            <w:tcW w:w="499" w:type="pct"/>
          </w:tcPr>
          <w:p w14:paraId="505FA8E9"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000000" w:fill="FFFFFF"/>
            <w:vAlign w:val="bottom"/>
          </w:tcPr>
          <w:p w14:paraId="00DFE5E3"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-5,3</w:t>
            </w:r>
          </w:p>
        </w:tc>
        <w:tc>
          <w:tcPr>
            <w:tcW w:w="502" w:type="pct"/>
            <w:tcBorders>
              <w:top w:val="nil"/>
              <w:left w:val="nil"/>
              <w:bottom w:val="nil"/>
              <w:right w:val="nil"/>
            </w:tcBorders>
            <w:shd w:val="clear" w:color="000000" w:fill="FFFFFF"/>
            <w:vAlign w:val="bottom"/>
          </w:tcPr>
          <w:p w14:paraId="2882F6E1"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-4,9</w:t>
            </w:r>
          </w:p>
        </w:tc>
        <w:tc>
          <w:tcPr>
            <w:tcW w:w="493" w:type="pct"/>
            <w:tcBorders>
              <w:top w:val="nil"/>
              <w:left w:val="nil"/>
              <w:bottom w:val="nil"/>
              <w:right w:val="nil"/>
            </w:tcBorders>
            <w:shd w:val="clear" w:color="000000" w:fill="FFFFFF"/>
            <w:vAlign w:val="bottom"/>
          </w:tcPr>
          <w:p w14:paraId="4345DF2B"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-4,4</w:t>
            </w:r>
          </w:p>
        </w:tc>
      </w:tr>
      <w:tr w:rsidR="007A529E" w:rsidRPr="008E2FD8" w14:paraId="1D974A8E" w14:textId="77777777" w:rsidTr="006F0A45">
        <w:trPr>
          <w:trHeight w:val="241"/>
        </w:trPr>
        <w:tc>
          <w:tcPr>
            <w:tcW w:w="2483" w:type="pct"/>
            <w:tcBorders>
              <w:bottom w:val="single" w:sz="4" w:space="0" w:color="002060"/>
            </w:tcBorders>
          </w:tcPr>
          <w:p w14:paraId="18869236" w14:textId="77777777" w:rsidR="007A529E" w:rsidRPr="008E2FD8" w:rsidRDefault="007A529E" w:rsidP="00CE729E">
            <w:pPr>
              <w:rPr>
                <w:rFonts w:cstheme="minorHAnsi"/>
                <w:color w:val="002060"/>
                <w:sz w:val="18"/>
                <w:szCs w:val="18"/>
                <w:lang w:val="sr-Cyrl-RS"/>
              </w:rPr>
            </w:pPr>
            <w:r w:rsidRPr="008E2FD8">
              <w:rPr>
                <w:rFonts w:cstheme="minorHAnsi"/>
                <w:color w:val="002060"/>
                <w:sz w:val="18"/>
                <w:szCs w:val="18"/>
                <w:lang w:val="sr-Cyrl-RS"/>
              </w:rPr>
              <w:t>Инфлација, просек периода, %</w:t>
            </w:r>
          </w:p>
        </w:tc>
        <w:tc>
          <w:tcPr>
            <w:tcW w:w="499" w:type="pct"/>
            <w:tcBorders>
              <w:bottom w:val="single" w:sz="4" w:space="0" w:color="002060"/>
            </w:tcBorders>
          </w:tcPr>
          <w:p w14:paraId="7DA3DB3C" w14:textId="77777777" w:rsidR="007A529E" w:rsidRPr="008E2FD8" w:rsidRDefault="007A529E" w:rsidP="00CE729E">
            <w:pPr>
              <w:jc w:val="center"/>
              <w:rPr>
                <w:rFonts w:cstheme="minorHAnsi"/>
                <w:color w:val="002060"/>
                <w:sz w:val="18"/>
                <w:szCs w:val="18"/>
                <w:lang w:val="sr-Cyrl-RS"/>
              </w:rPr>
            </w:pPr>
            <w:r w:rsidRPr="008E2FD8">
              <w:rPr>
                <w:rFonts w:cstheme="minorHAnsi"/>
                <w:color w:val="002060"/>
                <w:sz w:val="18"/>
                <w:szCs w:val="18"/>
                <w:lang w:val="sr-Cyrl-RS"/>
              </w:rPr>
              <w:t>2,6</w:t>
            </w:r>
          </w:p>
        </w:tc>
        <w:tc>
          <w:tcPr>
            <w:tcW w:w="499" w:type="pct"/>
            <w:tcBorders>
              <w:top w:val="nil"/>
              <w:left w:val="nil"/>
              <w:bottom w:val="nil"/>
              <w:right w:val="nil"/>
            </w:tcBorders>
            <w:shd w:val="clear" w:color="auto" w:fill="auto"/>
          </w:tcPr>
          <w:p w14:paraId="121E80CA" w14:textId="77777777" w:rsidR="007A529E" w:rsidRPr="008E2FD8" w:rsidRDefault="007A529E" w:rsidP="00CE729E">
            <w:pPr>
              <w:jc w:val="center"/>
              <w:rPr>
                <w:rFonts w:cstheme="minorHAnsi"/>
                <w:color w:val="002060"/>
                <w:sz w:val="18"/>
                <w:szCs w:val="18"/>
                <w:lang w:val="sr-Cyrl-RS"/>
              </w:rPr>
            </w:pPr>
          </w:p>
        </w:tc>
        <w:tc>
          <w:tcPr>
            <w:tcW w:w="524" w:type="pct"/>
            <w:tcBorders>
              <w:top w:val="nil"/>
              <w:left w:val="nil"/>
              <w:bottom w:val="nil"/>
              <w:right w:val="nil"/>
            </w:tcBorders>
            <w:shd w:val="clear" w:color="auto" w:fill="auto"/>
          </w:tcPr>
          <w:p w14:paraId="373F7FC1" w14:textId="77777777" w:rsidR="007A529E" w:rsidRPr="008E2FD8" w:rsidRDefault="007A529E" w:rsidP="00CE729E">
            <w:pPr>
              <w:jc w:val="center"/>
              <w:rPr>
                <w:color w:val="002060"/>
                <w:sz w:val="18"/>
                <w:lang w:val="sr-Cyrl-RS"/>
              </w:rPr>
            </w:pPr>
            <w:r w:rsidRPr="008E2FD8">
              <w:rPr>
                <w:color w:val="002060"/>
                <w:sz w:val="18"/>
                <w:lang w:val="sr-Cyrl-RS"/>
              </w:rPr>
              <w:t>2,5</w:t>
            </w:r>
          </w:p>
        </w:tc>
        <w:tc>
          <w:tcPr>
            <w:tcW w:w="502" w:type="pct"/>
            <w:tcBorders>
              <w:top w:val="nil"/>
              <w:left w:val="nil"/>
              <w:bottom w:val="nil"/>
              <w:right w:val="nil"/>
            </w:tcBorders>
            <w:shd w:val="clear" w:color="auto" w:fill="auto"/>
          </w:tcPr>
          <w:p w14:paraId="1A14D5B3" w14:textId="77777777" w:rsidR="007A529E" w:rsidRPr="008E2FD8" w:rsidRDefault="007A529E" w:rsidP="00CE729E">
            <w:pPr>
              <w:jc w:val="center"/>
              <w:rPr>
                <w:color w:val="002060"/>
                <w:sz w:val="18"/>
                <w:lang w:val="sr-Cyrl-RS"/>
              </w:rPr>
            </w:pPr>
            <w:r w:rsidRPr="008E2FD8">
              <w:rPr>
                <w:color w:val="002060"/>
                <w:sz w:val="18"/>
                <w:lang w:val="sr-Cyrl-RS"/>
              </w:rPr>
              <w:t>2,9</w:t>
            </w:r>
          </w:p>
        </w:tc>
        <w:tc>
          <w:tcPr>
            <w:tcW w:w="493" w:type="pct"/>
            <w:tcBorders>
              <w:top w:val="nil"/>
              <w:left w:val="nil"/>
              <w:bottom w:val="nil"/>
              <w:right w:val="nil"/>
            </w:tcBorders>
            <w:shd w:val="clear" w:color="auto" w:fill="auto"/>
          </w:tcPr>
          <w:p w14:paraId="2C56EB8D" w14:textId="77777777" w:rsidR="007A529E" w:rsidRPr="008E2FD8" w:rsidRDefault="007A529E" w:rsidP="00CE729E">
            <w:pPr>
              <w:jc w:val="center"/>
              <w:rPr>
                <w:color w:val="002060"/>
                <w:sz w:val="18"/>
                <w:lang w:val="sr-Cyrl-RS"/>
              </w:rPr>
            </w:pPr>
            <w:r w:rsidRPr="008E2FD8">
              <w:rPr>
                <w:color w:val="002060"/>
                <w:sz w:val="18"/>
                <w:lang w:val="sr-Cyrl-RS"/>
              </w:rPr>
              <w:t>2,9</w:t>
            </w:r>
          </w:p>
        </w:tc>
      </w:tr>
      <w:tr w:rsidR="007A529E" w:rsidRPr="008E2FD8" w14:paraId="6278ADA2" w14:textId="77777777" w:rsidTr="00B435B3">
        <w:tc>
          <w:tcPr>
            <w:tcW w:w="2483" w:type="pct"/>
            <w:tcBorders>
              <w:top w:val="single" w:sz="4" w:space="0" w:color="002060"/>
            </w:tcBorders>
          </w:tcPr>
          <w:p w14:paraId="5013E441" w14:textId="77777777" w:rsidR="007A529E" w:rsidRPr="008E2FD8" w:rsidRDefault="007A529E" w:rsidP="00CE729E">
            <w:pPr>
              <w:spacing w:before="40"/>
              <w:rPr>
                <w:rFonts w:cstheme="minorHAnsi"/>
                <w:sz w:val="16"/>
                <w:lang w:val="sr-Cyrl-RS"/>
              </w:rPr>
            </w:pPr>
            <w:r w:rsidRPr="008E2FD8">
              <w:rPr>
                <w:rFonts w:cstheme="minorHAnsi"/>
                <w:sz w:val="16"/>
                <w:lang w:val="sr-Cyrl-RS"/>
              </w:rPr>
              <w:t>Извор: Министарство финансија</w:t>
            </w:r>
          </w:p>
        </w:tc>
        <w:tc>
          <w:tcPr>
            <w:tcW w:w="499" w:type="pct"/>
            <w:tcBorders>
              <w:top w:val="single" w:sz="4" w:space="0" w:color="002060"/>
            </w:tcBorders>
          </w:tcPr>
          <w:p w14:paraId="26287412" w14:textId="77777777" w:rsidR="007A529E" w:rsidRPr="008E2FD8" w:rsidRDefault="007A529E" w:rsidP="00CE729E">
            <w:pPr>
              <w:rPr>
                <w:rFonts w:cstheme="minorHAnsi"/>
                <w:sz w:val="16"/>
                <w:lang w:val="sr-Cyrl-RS"/>
              </w:rPr>
            </w:pPr>
          </w:p>
        </w:tc>
        <w:tc>
          <w:tcPr>
            <w:tcW w:w="499" w:type="pct"/>
            <w:tcBorders>
              <w:top w:val="single" w:sz="4" w:space="0" w:color="002060"/>
            </w:tcBorders>
          </w:tcPr>
          <w:p w14:paraId="78F9A3F0" w14:textId="77777777" w:rsidR="007A529E" w:rsidRPr="008E2FD8" w:rsidRDefault="007A529E" w:rsidP="00CE729E">
            <w:pPr>
              <w:rPr>
                <w:rFonts w:cstheme="minorHAnsi"/>
                <w:sz w:val="16"/>
                <w:lang w:val="sr-Cyrl-RS"/>
              </w:rPr>
            </w:pPr>
          </w:p>
        </w:tc>
        <w:tc>
          <w:tcPr>
            <w:tcW w:w="524" w:type="pct"/>
            <w:tcBorders>
              <w:top w:val="single" w:sz="4" w:space="0" w:color="002060"/>
            </w:tcBorders>
          </w:tcPr>
          <w:p w14:paraId="1C132061" w14:textId="77777777" w:rsidR="007A529E" w:rsidRPr="008E2FD8" w:rsidRDefault="007A529E" w:rsidP="00CE729E">
            <w:pPr>
              <w:rPr>
                <w:rFonts w:cstheme="minorHAnsi"/>
                <w:sz w:val="16"/>
                <w:lang w:val="sr-Cyrl-RS"/>
              </w:rPr>
            </w:pPr>
          </w:p>
        </w:tc>
        <w:tc>
          <w:tcPr>
            <w:tcW w:w="502" w:type="pct"/>
            <w:tcBorders>
              <w:top w:val="single" w:sz="4" w:space="0" w:color="002060"/>
            </w:tcBorders>
          </w:tcPr>
          <w:p w14:paraId="24CDFC30" w14:textId="77777777" w:rsidR="007A529E" w:rsidRPr="008E2FD8" w:rsidRDefault="007A529E" w:rsidP="00CE729E">
            <w:pPr>
              <w:rPr>
                <w:rFonts w:cstheme="minorHAnsi"/>
                <w:sz w:val="16"/>
                <w:lang w:val="sr-Cyrl-RS"/>
              </w:rPr>
            </w:pPr>
          </w:p>
        </w:tc>
        <w:tc>
          <w:tcPr>
            <w:tcW w:w="493" w:type="pct"/>
            <w:tcBorders>
              <w:top w:val="single" w:sz="4" w:space="0" w:color="002060"/>
            </w:tcBorders>
          </w:tcPr>
          <w:p w14:paraId="0D5073D7" w14:textId="77777777" w:rsidR="007A529E" w:rsidRPr="008E2FD8" w:rsidRDefault="007A529E" w:rsidP="00CE729E">
            <w:pPr>
              <w:rPr>
                <w:rFonts w:cstheme="minorHAnsi"/>
                <w:sz w:val="16"/>
                <w:lang w:val="sr-Cyrl-RS"/>
              </w:rPr>
            </w:pPr>
          </w:p>
        </w:tc>
      </w:tr>
    </w:tbl>
    <w:p w14:paraId="4AAA1856" w14:textId="77777777" w:rsidR="007A529E" w:rsidRPr="008E2FD8" w:rsidRDefault="007A529E" w:rsidP="00B435B3">
      <w:pPr>
        <w:spacing w:after="0"/>
        <w:jc w:val="center"/>
        <w:rPr>
          <w:rFonts w:cstheme="minorHAnsi"/>
          <w:b/>
          <w:sz w:val="16"/>
          <w:lang w:val="sr-Cyrl-RS"/>
        </w:rPr>
        <w:sectPr w:rsidR="007A529E" w:rsidRPr="008E2FD8" w:rsidSect="00AB121A">
          <w:type w:val="continuous"/>
          <w:pgSz w:w="12240" w:h="15840"/>
          <w:pgMar w:top="1440" w:right="1440" w:bottom="1440" w:left="1440" w:header="720" w:footer="720" w:gutter="0"/>
          <w:cols w:space="720"/>
          <w:docGrid w:linePitch="360"/>
        </w:sectPr>
      </w:pPr>
    </w:p>
    <w:p w14:paraId="7A747813" w14:textId="77777777" w:rsidR="007A529E" w:rsidRPr="008E2FD8" w:rsidRDefault="007A529E" w:rsidP="00CE729E">
      <w:pPr>
        <w:rPr>
          <w:rFonts w:cstheme="minorHAnsi"/>
          <w:bCs/>
          <w:szCs w:val="72"/>
          <w:lang w:val="sr-Cyrl-RS"/>
        </w:rPr>
      </w:pPr>
      <w:r w:rsidRPr="008E2FD8">
        <w:rPr>
          <w:rFonts w:cstheme="minorHAnsi"/>
          <w:bCs/>
          <w:szCs w:val="72"/>
          <w:lang w:val="sr-Cyrl-RS"/>
        </w:rPr>
        <w:lastRenderedPageBreak/>
        <w:t>За 2022. годину пројектовано је реално повећање економске активности од 4,0% чиме је задржана иницијална пројекција из претходне Фискалне стратегије уз готову непромењену структуру основних извора раста.</w:t>
      </w:r>
    </w:p>
    <w:p w14:paraId="612F7320" w14:textId="77777777" w:rsidR="007A529E" w:rsidRPr="008E2FD8" w:rsidRDefault="007A529E" w:rsidP="00CE729E">
      <w:pPr>
        <w:rPr>
          <w:rFonts w:cstheme="minorHAnsi"/>
          <w:bCs/>
          <w:spacing w:val="-2"/>
          <w:szCs w:val="72"/>
          <w:lang w:val="sr-Cyrl-RS"/>
        </w:rPr>
      </w:pPr>
      <w:r w:rsidRPr="008E2FD8">
        <w:rPr>
          <w:rFonts w:cstheme="minorHAnsi"/>
          <w:bCs/>
          <w:szCs w:val="72"/>
          <w:lang w:val="sr-Cyrl-RS"/>
        </w:rPr>
        <w:t xml:space="preserve">Посматрано по агрегатима употребе раст ће бити вођен домаћом тражњом која ће обезбедити допринос од 3,8 п.п, а позитиван утицај од 0,2 п.п. имаће и нето извоз. Све три компоненте домаће тражње позитивно ће допринети расту економске активности. Повољна кретања на тржишту радне снаге и очекивано реално повећање зарада, како у приватном тако и у јавном сектору, стабилан раст пензија и наставак повољних услова финансирања, резултираће растом личне потрошње од 3,2% и следствено највећем учешћу овог агрегата у БДП, допринеће расту економске активности са 2,2 п.п. У 2022. години инвестиције ће бити друга по значају компонента у погледу позитивног доприноса расту БДП, што је веома важно са становишта његове одрживости. Очекује се међугодишње повећање од 6,0%, односно допринос расту БДП од 1,4 п.п. Динамика инвестиционе активности биће у потпуности опредељена приватним инвестицијама и даљим повећањем производних капацитета привреде, пре свега у секторима који производе разменљива добра, док ће допринос јавних инвестиција бити неутралан услед високе базе из 2021. године и рекордног учешћа у БДП од 7,2%. За разлику од ове две компоненте домаће тражње, потрошња државе ће у 2022. години забележити спорији раст него претходних година, пре свега услед постепеног смањења издатака за потребе здравства. </w:t>
      </w:r>
      <w:r w:rsidRPr="008E2FD8">
        <w:rPr>
          <w:rFonts w:cstheme="minorHAnsi"/>
          <w:bCs/>
          <w:spacing w:val="-2"/>
          <w:szCs w:val="72"/>
          <w:lang w:val="sr-Cyrl-RS"/>
        </w:rPr>
        <w:t>Очекивани опоравак спољне тражње, уз активирање нових производних капацитета као резултат ефектуирања страних директних инвестиција из претходног периода, резултираће растом извоза од 9,5%. С друге стране, умерено повећање приватне потрошње као и инвестиција имаће за последицу и раст увоза од 7,4%. Оваква динамика спољнотрговинске размене резултираће позитивним доприносом нето извоза расту БДП од 0,2 п.п.</w:t>
      </w:r>
    </w:p>
    <w:p w14:paraId="74608723" w14:textId="77777777" w:rsidR="007A529E" w:rsidRPr="008E2FD8" w:rsidRDefault="002646A6" w:rsidP="00CE729E">
      <w:pPr>
        <w:pStyle w:val="NoSpacing"/>
        <w:jc w:val="center"/>
        <w:rPr>
          <w:rFonts w:cstheme="minorHAnsi"/>
          <w:color w:val="002060"/>
          <w:lang w:val="sr-Cyrl-RS"/>
        </w:rPr>
      </w:pPr>
      <w:r w:rsidRPr="008E2FD8">
        <w:rPr>
          <w:rFonts w:cstheme="minorHAnsi"/>
          <w:color w:val="002060"/>
          <w:lang w:val="sr-Cyrl-RS"/>
        </w:rPr>
        <w:br w:type="column"/>
      </w:r>
      <w:r w:rsidR="007A529E" w:rsidRPr="008E2FD8">
        <w:rPr>
          <w:rFonts w:cstheme="minorHAnsi"/>
          <w:color w:val="002060"/>
          <w:lang w:val="sr-Cyrl-RS"/>
        </w:rPr>
        <w:t xml:space="preserve">Доприноси стопи реалног раста БДП, </w:t>
      </w:r>
      <w:r w:rsidR="007A529E" w:rsidRPr="008E2FD8">
        <w:rPr>
          <w:rFonts w:cstheme="minorHAnsi"/>
          <w:color w:val="002060"/>
          <w:lang w:val="sr-Cyrl-RS"/>
        </w:rPr>
        <w:br/>
        <w:t>расходни приступ, п.п.</w:t>
      </w:r>
    </w:p>
    <w:p w14:paraId="362D34DD" w14:textId="77777777" w:rsidR="007A529E" w:rsidRPr="008E2FD8" w:rsidRDefault="007A529E" w:rsidP="00CE729E">
      <w:pPr>
        <w:pStyle w:val="NoSpacing"/>
        <w:jc w:val="center"/>
        <w:rPr>
          <w:rFonts w:cstheme="minorHAnsi"/>
          <w:color w:val="002060"/>
          <w:sz w:val="12"/>
          <w:lang w:val="sr-Cyrl-RS"/>
        </w:rPr>
      </w:pPr>
    </w:p>
    <w:p w14:paraId="7F51D288" w14:textId="77777777" w:rsidR="007A529E" w:rsidRPr="008E2FD8" w:rsidRDefault="007A529E" w:rsidP="006F0A45">
      <w:pPr>
        <w:pStyle w:val="NoSpacing"/>
        <w:spacing w:after="120"/>
        <w:jc w:val="center"/>
        <w:rPr>
          <w:rFonts w:cstheme="minorHAnsi"/>
          <w:sz w:val="16"/>
          <w:lang w:val="sr-Cyrl-RS"/>
        </w:rPr>
      </w:pPr>
      <w:r w:rsidRPr="008E2FD8">
        <w:rPr>
          <w:noProof/>
        </w:rPr>
        <w:drawing>
          <wp:inline distT="0" distB="0" distL="0" distR="0" wp14:anchorId="46A9CED8" wp14:editId="7B710D68">
            <wp:extent cx="2743200" cy="2009190"/>
            <wp:effectExtent l="0" t="0" r="0" b="0"/>
            <wp:docPr id="130" name="Chart 130">
              <a:extLst xmlns:a="http://schemas.openxmlformats.org/drawingml/2006/main">
                <a:ext uri="{FF2B5EF4-FFF2-40B4-BE49-F238E27FC236}">
                  <a16:creationId xmlns:a16="http://schemas.microsoft.com/office/drawing/2014/main" id="{00000000-0008-0000-0A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010699DB" w14:textId="77777777" w:rsidR="007A529E" w:rsidRPr="008E2FD8" w:rsidRDefault="007A529E" w:rsidP="00B435B3">
      <w:pPr>
        <w:rPr>
          <w:rFonts w:cstheme="minorHAnsi"/>
          <w:sz w:val="16"/>
          <w:lang w:val="sr-Cyrl-RS"/>
        </w:rPr>
      </w:pPr>
      <w:r w:rsidRPr="008E2FD8">
        <w:rPr>
          <w:rFonts w:cstheme="minorHAnsi"/>
          <w:sz w:val="16"/>
          <w:lang w:val="sr-Cyrl-RS"/>
        </w:rPr>
        <w:t>Извор: Министарство финансија</w:t>
      </w:r>
    </w:p>
    <w:p w14:paraId="75491024" w14:textId="77777777" w:rsidR="007A529E" w:rsidRPr="008E2FD8" w:rsidRDefault="007A529E" w:rsidP="008217BC">
      <w:pPr>
        <w:rPr>
          <w:rFonts w:cstheme="minorHAnsi"/>
          <w:bCs/>
          <w:szCs w:val="72"/>
          <w:lang w:val="sr-Cyrl-RS"/>
        </w:rPr>
      </w:pPr>
      <w:r w:rsidRPr="008E2FD8">
        <w:rPr>
          <w:rFonts w:cstheme="minorHAnsi"/>
          <w:bCs/>
          <w:szCs w:val="72"/>
          <w:lang w:val="sr-Cyrl-RS"/>
        </w:rPr>
        <w:t>Посматрано са производне стране, повећање креиране БДВ очекује се код свих сектора. Услужни сектор ће у 2022. години имати улогу доминантног носиоца раста са доприносом од 1,9 п.п. Раст би требао да буде диверсификован и остварен у већини услужних делатности а посебно снажан у ИКТ сектору, трговини и саобраћају, док се повратак на пред-пандемијске нивое очекује у туризму и угоститељству као и услугама рекреације и забаве. Укупна индустрија ће са даљим опоравком спољне тражње и активирањем нових производних капацитета наставити са растом и током 2022. године и допринети расту БДП са 1,1 п.п. Грађевинска активност би требала да оствари солидан раст у 2022. години пре свега услед убрзања приватне грађевинске оперативе, али и наставка реализације инфраструктурних пројеката што би резултирало доприносом расту БДП од 0,3 п.п. у 2022. години. За сектор пољопривреде, под претпоставком просечних агрометеоролошких услова уз наставак тренда повећања продуктивности, пројектован је благи позитиван допринос од 0,1 п.п. у 2022. години.</w:t>
      </w:r>
    </w:p>
    <w:p w14:paraId="0EFD2E04" w14:textId="77777777" w:rsidR="007A529E" w:rsidRPr="008E2FD8" w:rsidRDefault="007A529E" w:rsidP="00CE729E">
      <w:pPr>
        <w:pStyle w:val="Caption"/>
        <w:keepNext/>
        <w:spacing w:after="120"/>
        <w:rPr>
          <w:lang w:val="sr-Cyrl-RS"/>
        </w:rPr>
      </w:pPr>
      <w:r w:rsidRPr="008E2FD8">
        <w:rPr>
          <w:rFonts w:cstheme="minorHAnsi"/>
          <w:iCs w:val="0"/>
          <w:szCs w:val="22"/>
          <w:lang w:val="sr-Cyrl-RS"/>
        </w:rPr>
        <w:lastRenderedPageBreak/>
        <w:t>Доприноси стопи реалног раста БДП, производни приступ, п.п.</w:t>
      </w:r>
    </w:p>
    <w:p w14:paraId="21DB14EA" w14:textId="77777777" w:rsidR="007A529E" w:rsidRPr="008E2FD8" w:rsidRDefault="007A529E" w:rsidP="00CE729E">
      <w:pPr>
        <w:rPr>
          <w:lang w:val="sr-Cyrl-RS"/>
        </w:rPr>
      </w:pPr>
      <w:r w:rsidRPr="008E2FD8">
        <w:rPr>
          <w:noProof/>
        </w:rPr>
        <w:drawing>
          <wp:inline distT="0" distB="0" distL="0" distR="0" wp14:anchorId="3B1C3FEC" wp14:editId="45CD255D">
            <wp:extent cx="2743200" cy="2106777"/>
            <wp:effectExtent l="0" t="0" r="0" b="8255"/>
            <wp:docPr id="131" name="Chart 131">
              <a:extLst xmlns:a="http://schemas.openxmlformats.org/drawingml/2006/main">
                <a:ext uri="{FF2B5EF4-FFF2-40B4-BE49-F238E27FC236}">
                  <a16:creationId xmlns:a16="http://schemas.microsoft.com/office/drawing/2014/main" id="{00000000-0008-0000-0A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CBE1718" w14:textId="77777777" w:rsidR="007A529E" w:rsidRPr="008E2FD8" w:rsidRDefault="007A529E" w:rsidP="008217BC">
      <w:pPr>
        <w:rPr>
          <w:rFonts w:cstheme="minorHAnsi"/>
          <w:sz w:val="16"/>
          <w:lang w:val="sr-Cyrl-RS"/>
        </w:rPr>
      </w:pPr>
      <w:r w:rsidRPr="008E2FD8">
        <w:rPr>
          <w:rFonts w:cstheme="minorHAnsi"/>
          <w:sz w:val="16"/>
          <w:lang w:val="sr-Cyrl-RS"/>
        </w:rPr>
        <w:t>Извор: Министарство финансија</w:t>
      </w:r>
    </w:p>
    <w:p w14:paraId="5388D580" w14:textId="77777777" w:rsidR="007A529E" w:rsidRPr="008E2FD8" w:rsidRDefault="007A529E" w:rsidP="008217BC">
      <w:pPr>
        <w:rPr>
          <w:rFonts w:cstheme="minorHAnsi"/>
          <w:bCs/>
          <w:szCs w:val="72"/>
          <w:lang w:val="sr-Cyrl-RS"/>
        </w:rPr>
      </w:pPr>
      <w:r w:rsidRPr="008E2FD8">
        <w:rPr>
          <w:rFonts w:cstheme="minorHAnsi"/>
          <w:bCs/>
          <w:szCs w:val="72"/>
          <w:lang w:val="sr-Cyrl-RS"/>
        </w:rPr>
        <w:t>Према средњорочној макроекономској пројекцији кумулативна стопа раста у периоду 2022–2024. година износиће 12,5% и биће вођена растом домаће тражње и са опоравком глобалне трговине додатно подржана и благим позитивним доприносом нето извоза. Овај извор раста је детерминисан како перманентним повећањем инвестиција тако и растом потрошње домаћинстава услед раста животног стандарда становништва. Просечно годишње, српска привреда ће расти по стопи од 4,0%.</w:t>
      </w:r>
      <w:r w:rsidRPr="00C42FBD">
        <w:rPr>
          <w:rFonts w:cstheme="minorHAnsi"/>
          <w:bCs/>
          <w:szCs w:val="72"/>
          <w:lang w:val="sr-Cyrl-RS"/>
        </w:rPr>
        <w:t xml:space="preserve"> </w:t>
      </w:r>
      <w:r w:rsidRPr="008E2FD8">
        <w:rPr>
          <w:rFonts w:cstheme="minorHAnsi"/>
          <w:bCs/>
          <w:szCs w:val="72"/>
          <w:lang w:val="sr-Cyrl-RS"/>
        </w:rPr>
        <w:t xml:space="preserve">Повећање приватне потрошње пројектовано је по нижој стопи од убрзања привредне активности и у просеку ће износити 2,8%. Ово повећање у себи не садржи нарушавајуће елементе, засновано је на здравим изворима, пре свега на повећању запослености али и повољном утицају ценовних и кредитних кретања на расположиви доходак. Очекује се стабилан раст инвестиција, у просеку од око 7% годишње, што ће постепено подизати њихово учешће у структури БДП које би на крају пројекцијског периода требало да износи близу 25%. Са опоравком спољне тражње и активирањем нових производних капацитета повећаваће се и обим спољнотрговинске размене. Поред тога, ефектуирање СДИ из претходног периода допринеће повећању конкуренције и утицати на ефикасност домаћих произвођача, док ће са друге стране бити активирани нови канали продаје и отворене нове тржишне нише. Извоз ће у просеку годишње расти по стопи од 9,8%, што је брже од очекиваног годишњег раста увоза који ће </w:t>
      </w:r>
      <w:r w:rsidRPr="008E2FD8">
        <w:rPr>
          <w:rFonts w:cstheme="minorHAnsi"/>
          <w:bCs/>
          <w:szCs w:val="72"/>
          <w:lang w:val="sr-Cyrl-RS"/>
        </w:rPr>
        <w:t>у просеку износити 7,7%. Оваква динамика спољнотрговинских токова побољшаће салдо текућег рачуна платног биланса који би на крају п</w:t>
      </w:r>
      <w:r w:rsidR="001F5364">
        <w:rPr>
          <w:rFonts w:cstheme="minorHAnsi"/>
          <w:bCs/>
          <w:szCs w:val="72"/>
          <w:lang w:val="sr-Cyrl-RS"/>
        </w:rPr>
        <w:t>р</w:t>
      </w:r>
      <w:r w:rsidRPr="008E2FD8">
        <w:rPr>
          <w:rFonts w:cstheme="minorHAnsi"/>
          <w:bCs/>
          <w:szCs w:val="72"/>
          <w:lang w:val="sr-Cyrl-RS"/>
        </w:rPr>
        <w:t>ојекцијског периода требао да износи 4,4% БДП. Посматрано на страни понуде, услужни сектор и индустрија ће задржати улогу доминантних извора раста и повећавати креирану БДВ у просеку годишње за 3,8% и 5,9%, респективно. Позитиван допринос ће доћи и од раста грађевинске активности који ће у просеку износити 7,3%. Достизање европских стандарда и подизање конкурентности у пољопривреди, испуњењем услова за отварање Поглавља 11 и кроз коришћење ИПАРД програма ЕУ, смањиће варијабилност производње овог сектора изазвану агрометеоролошким условима.</w:t>
      </w:r>
    </w:p>
    <w:p w14:paraId="43736AFD" w14:textId="77777777" w:rsidR="007A529E" w:rsidRPr="008E2FD8" w:rsidRDefault="007A529E" w:rsidP="008217BC">
      <w:pPr>
        <w:rPr>
          <w:rFonts w:cstheme="minorHAnsi"/>
          <w:bCs/>
          <w:szCs w:val="72"/>
          <w:lang w:val="sr-Cyrl-RS"/>
        </w:rPr>
      </w:pPr>
      <w:r w:rsidRPr="008E2FD8">
        <w:rPr>
          <w:rFonts w:cstheme="minorHAnsi"/>
          <w:bCs/>
          <w:szCs w:val="72"/>
          <w:lang w:val="sr-Cyrl-RS"/>
        </w:rPr>
        <w:t>Влада и овим трогодишњим сценариом остаје посвећена очувању модела привредног раста који се заснива на инвестицијама и извозу, а који је подржан растом приватне потрошње на реалним и здравим изворима. Удео бруто инвестиција у основна средства у БДП ће на крају 2024. године бити 24,5% што је за око 2 п.п. већи удео у односу на пред-пандемисјки ниво, док ће се истовремено учешће извоза роба и услуга повећати за 7,1 п.п. Државна потрошња ће након скока у 2020. години постепено смањивати своје учешће у БДП, тако да ће на крају пројекцијског периода бити приближна нивоу из 2019. године.</w:t>
      </w:r>
    </w:p>
    <w:p w14:paraId="3DDC3D6F" w14:textId="77777777" w:rsidR="007A529E" w:rsidRPr="008E2FD8" w:rsidRDefault="007A529E" w:rsidP="008217BC">
      <w:pPr>
        <w:rPr>
          <w:rFonts w:cstheme="minorHAnsi"/>
          <w:bCs/>
          <w:szCs w:val="72"/>
          <w:lang w:val="sr-Cyrl-RS"/>
        </w:rPr>
      </w:pPr>
      <w:r w:rsidRPr="008E2FD8">
        <w:rPr>
          <w:rFonts w:cstheme="minorHAnsi"/>
          <w:bCs/>
          <w:szCs w:val="72"/>
          <w:lang w:val="sr-Cyrl-RS"/>
        </w:rPr>
        <w:t>Влада својим активностима и мерама покушава да оснажи инвестициону и извозну компоненту БДП. Убрзање свих административних процедура које прате ове активности, пореско растерећење привреде са циљем подизања њене конкурентности, потписивање споразума којима се обезбеђује очување постојећих и отварање нових ино тржишта, интензивније и ефикасније извођење инфраструктурних радова су само неке од мера које треба да обезбеде здраве фундаменте за раст потенцијалног БДП. Доследност у очувању фискалне стабилности спречава генерисање неравнотежа и креирање неизвесности, а реформски процеси треба да обезбеде снажнију позитивну динамику основних макроекономских варијабли. Дигитална трансформација и изградња дигиталног екосистема остаје стратешка ор</w:t>
      </w:r>
      <w:r w:rsidR="001F5364">
        <w:rPr>
          <w:rFonts w:cstheme="minorHAnsi"/>
          <w:bCs/>
          <w:szCs w:val="72"/>
          <w:lang w:val="sr-Cyrl-RS"/>
        </w:rPr>
        <w:t>и</w:t>
      </w:r>
      <w:r w:rsidRPr="008E2FD8">
        <w:rPr>
          <w:rFonts w:cstheme="minorHAnsi"/>
          <w:bCs/>
          <w:szCs w:val="72"/>
          <w:lang w:val="sr-Cyrl-RS"/>
        </w:rPr>
        <w:t xml:space="preserve">јентација Владе. Ефикаснији рад државне администрације, </w:t>
      </w:r>
      <w:r w:rsidRPr="008E2FD8">
        <w:rPr>
          <w:rFonts w:cstheme="minorHAnsi"/>
          <w:bCs/>
          <w:szCs w:val="72"/>
          <w:lang w:val="sr-Cyrl-RS"/>
        </w:rPr>
        <w:lastRenderedPageBreak/>
        <w:t>скраћивање процедура становништву и привреди са фокусом на дигитализацију убрзаће конвергенцију наше привреде ка развијеним земљама. Нови систем фискализације и измене царинских прописа, смањиће учешће сиве економије у укупним привредним токовима, обезбедити афирмативно конкурентско надметање и побољшати економичност и ефикасност процедура.</w:t>
      </w:r>
    </w:p>
    <w:p w14:paraId="452D96C7" w14:textId="77777777" w:rsidR="007A529E" w:rsidRPr="008E2FD8" w:rsidRDefault="007A529E" w:rsidP="00C42FBD">
      <w:pPr>
        <w:pStyle w:val="NoSpacing"/>
        <w:spacing w:after="60"/>
        <w:jc w:val="center"/>
        <w:rPr>
          <w:rFonts w:cstheme="minorHAnsi"/>
          <w:color w:val="002060"/>
          <w:lang w:val="sr-Cyrl-RS"/>
        </w:rPr>
      </w:pPr>
      <w:r w:rsidRPr="008E2FD8">
        <w:rPr>
          <w:rFonts w:cstheme="minorHAnsi"/>
          <w:color w:val="002060"/>
          <w:lang w:val="sr-Cyrl-RS"/>
        </w:rPr>
        <w:t>Доприноси фактора производње потенцијалној стопи раста БДП, п.п.</w:t>
      </w:r>
    </w:p>
    <w:p w14:paraId="00FE26C4" w14:textId="77777777" w:rsidR="007A529E" w:rsidRPr="008E2FD8" w:rsidRDefault="007A529E" w:rsidP="002B644D">
      <w:pPr>
        <w:spacing w:after="0"/>
        <w:rPr>
          <w:rFonts w:cstheme="minorHAnsi"/>
          <w:b/>
          <w:bCs/>
          <w:sz w:val="16"/>
          <w:szCs w:val="72"/>
          <w:lang w:val="sr-Cyrl-RS"/>
        </w:rPr>
      </w:pPr>
      <w:r w:rsidRPr="008E2FD8">
        <w:rPr>
          <w:noProof/>
        </w:rPr>
        <w:drawing>
          <wp:inline distT="0" distB="0" distL="0" distR="0" wp14:anchorId="6A1F3873" wp14:editId="4AC5818C">
            <wp:extent cx="2743200" cy="2303780"/>
            <wp:effectExtent l="0" t="0" r="0" b="1270"/>
            <wp:docPr id="132" name="Chart 132">
              <a:extLst xmlns:a="http://schemas.openxmlformats.org/drawingml/2006/main">
                <a:ext uri="{FF2B5EF4-FFF2-40B4-BE49-F238E27FC236}">
                  <a16:creationId xmlns:a16="http://schemas.microsoft.com/office/drawing/2014/main" id="{00000000-0008-0000-0D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3121D1D8" w14:textId="77777777" w:rsidR="007A529E" w:rsidRPr="008E2FD8" w:rsidRDefault="007A529E" w:rsidP="008217BC">
      <w:pPr>
        <w:rPr>
          <w:rFonts w:cstheme="minorHAnsi"/>
          <w:bCs/>
          <w:sz w:val="16"/>
          <w:szCs w:val="72"/>
          <w:lang w:val="sr-Cyrl-RS"/>
        </w:rPr>
      </w:pPr>
      <w:r w:rsidRPr="008E2FD8">
        <w:rPr>
          <w:rFonts w:cstheme="minorHAnsi"/>
          <w:bCs/>
          <w:sz w:val="16"/>
          <w:szCs w:val="72"/>
          <w:lang w:val="sr-Cyrl-RS"/>
        </w:rPr>
        <w:t>Извор: Министарство финансија</w:t>
      </w:r>
    </w:p>
    <w:p w14:paraId="797C1E7D" w14:textId="77777777" w:rsidR="00E654B9" w:rsidRPr="008E2FD8" w:rsidRDefault="007A529E" w:rsidP="00CE729E">
      <w:pPr>
        <w:rPr>
          <w:rFonts w:cstheme="minorHAnsi"/>
          <w:bCs/>
          <w:szCs w:val="72"/>
          <w:lang w:val="sr-Cyrl-RS"/>
        </w:rPr>
      </w:pPr>
      <w:r w:rsidRPr="008E2FD8">
        <w:rPr>
          <w:rFonts w:cstheme="minorHAnsi"/>
          <w:bCs/>
          <w:szCs w:val="72"/>
          <w:lang w:val="sr-Cyrl-RS"/>
        </w:rPr>
        <w:t xml:space="preserve">Према централном сценарију, у средњорочном периоду се очекује убрзање раста потенцијалног БДП. Након повећања од 3,6% у 2021. години, потенцијални БДП ће се постепено повећавати и </w:t>
      </w:r>
      <w:r w:rsidRPr="008E2FD8">
        <w:rPr>
          <w:rFonts w:cstheme="minorHAnsi"/>
          <w:bCs/>
          <w:szCs w:val="72"/>
          <w:lang w:val="sr-Cyrl-RS"/>
        </w:rPr>
        <w:t>достићи стопу од 4%. Убрзање реализације капиталних пројеката и наставак започетог инвестиционог циклуса подржани, како стабилним приливом СДИ, тако и домаћим иновативним активностима, обезбедиће све снажнији допринос капитала и факторске продуктивности расту потенцијалног БДП. Дигитализација ће значајно убрзати ове процесе и додатно подићи ефикасност искоришћености расположивих капацитета. Влада ће спровести свеобухватну агенду структурних и институционалних реформи, како би се подстакао високи, зелени, инклузивни и одрживи раст у средњорочном периоду. Адекватна и синхронизована монетарна политика, даља унапређења финансијског система, подизање кредибилитета и атрактивности код инвеститора, реформа система просвете и његово прилагођавање потребама привреде, као и модернизација образовних програма, трансфер знања и технологија из најразвијенијих земаља треба да обезбеде позитиван утицај на оба фактора производње. Са друге стране, јачање владавине закона, реформа законодавства из области привреде и пословања, убрзање процедура и подизање ефикасности администрације треба да обезбеде максимизацију факторске продуктивности у средњем року. Повољна кретања на тржишту рада ће такође допринети расту потенцијалног БДП али споријим темпом него у претходном периоду.</w:t>
      </w:r>
    </w:p>
    <w:p w14:paraId="29AA90A5" w14:textId="77777777" w:rsidR="003B3426" w:rsidRPr="008E2FD8" w:rsidRDefault="003B3426" w:rsidP="00CE729E">
      <w:pPr>
        <w:rPr>
          <w:rFonts w:cstheme="minorHAnsi"/>
          <w:bCs/>
          <w:szCs w:val="72"/>
          <w:lang w:val="sr-Cyrl-RS"/>
        </w:rPr>
        <w:sectPr w:rsidR="003B3426" w:rsidRPr="008E2FD8" w:rsidSect="00E654B9">
          <w:footerReference w:type="even" r:id="rId64"/>
          <w:footerReference w:type="default" r:id="rId65"/>
          <w:type w:val="continuous"/>
          <w:pgSz w:w="12240" w:h="15840" w:code="1"/>
          <w:pgMar w:top="1440" w:right="1440" w:bottom="1440" w:left="1440" w:header="720" w:footer="720" w:gutter="0"/>
          <w:cols w:num="2" w:space="720"/>
          <w:docGrid w:linePitch="360"/>
        </w:sectPr>
      </w:pPr>
    </w:p>
    <w:p w14:paraId="0F7BC31D" w14:textId="77777777" w:rsidR="007A529E" w:rsidRPr="008E2FD8" w:rsidRDefault="007A529E" w:rsidP="00CE729E">
      <w:pPr>
        <w:rPr>
          <w:rFonts w:cstheme="minorHAnsi"/>
          <w:lang w:val="sr-Cyrl-RS"/>
        </w:rPr>
      </w:pPr>
    </w:p>
    <w:p w14:paraId="19F8F9B8" w14:textId="77777777" w:rsidR="00E654B9" w:rsidRPr="008E2FD8" w:rsidRDefault="00E654B9">
      <w:pPr>
        <w:jc w:val="left"/>
        <w:rPr>
          <w:rFonts w:cstheme="minorHAnsi"/>
          <w:b/>
          <w:color w:val="2F5496" w:themeColor="accent1" w:themeShade="BF"/>
          <w:sz w:val="22"/>
          <w:lang w:val="sr-Cyrl-RS"/>
        </w:rPr>
      </w:pPr>
      <w:r w:rsidRPr="008E2FD8">
        <w:rPr>
          <w:rFonts w:cstheme="minorHAnsi"/>
          <w:b/>
          <w:color w:val="2F5496" w:themeColor="accent1" w:themeShade="BF"/>
          <w:sz w:val="22"/>
          <w:lang w:val="sr-Cyrl-RS"/>
        </w:rPr>
        <w:br w:type="page"/>
      </w:r>
    </w:p>
    <w:p w14:paraId="7F90B493" w14:textId="77777777" w:rsidR="00E654B9" w:rsidRPr="008E2FD8" w:rsidRDefault="00E654B9" w:rsidP="00161001">
      <w:pPr>
        <w:spacing w:before="40"/>
        <w:rPr>
          <w:rFonts w:cstheme="minorHAnsi"/>
          <w:bCs/>
          <w:color w:val="2F5496" w:themeColor="accent1" w:themeShade="BF"/>
          <w:szCs w:val="72"/>
          <w:lang w:val="sr-Cyrl-RS"/>
        </w:rPr>
      </w:pPr>
      <w:r w:rsidRPr="008E2FD8">
        <w:rPr>
          <w:rFonts w:cstheme="minorHAnsi"/>
          <w:b/>
          <w:color w:val="2F5496" w:themeColor="accent1" w:themeShade="BF"/>
          <w:sz w:val="22"/>
          <w:lang w:val="sr-Cyrl-RS"/>
        </w:rPr>
        <w:lastRenderedPageBreak/>
        <w:t>Тржиште рада</w:t>
      </w:r>
    </w:p>
    <w:p w14:paraId="6D6C5619" w14:textId="77777777" w:rsidR="00E654B9" w:rsidRPr="008E2FD8" w:rsidRDefault="00C20C6B" w:rsidP="00161001">
      <w:pPr>
        <w:spacing w:after="360"/>
        <w:rPr>
          <w:rFonts w:cstheme="minorHAnsi"/>
          <w:bCs/>
          <w:szCs w:val="72"/>
          <w:lang w:val="sr-Cyrl-RS"/>
        </w:rPr>
      </w:pPr>
      <w:r w:rsidRPr="008E2FD8">
        <w:rPr>
          <w:rFonts w:cstheme="minorHAnsi"/>
          <w:noProof/>
          <w:color w:val="auto"/>
        </w:rPr>
        <mc:AlternateContent>
          <mc:Choice Requires="wps">
            <w:drawing>
              <wp:anchor distT="0" distB="0" distL="114300" distR="114300" simplePos="0" relativeHeight="251678208" behindDoc="1" locked="0" layoutInCell="1" allowOverlap="1" wp14:anchorId="1607B5AC" wp14:editId="40D14AD8">
                <wp:simplePos x="0" y="0"/>
                <wp:positionH relativeFrom="margin">
                  <wp:posOffset>-57150</wp:posOffset>
                </wp:positionH>
                <wp:positionV relativeFrom="paragraph">
                  <wp:posOffset>2762250</wp:posOffset>
                </wp:positionV>
                <wp:extent cx="6048375" cy="2714625"/>
                <wp:effectExtent l="0" t="0" r="9525" b="9525"/>
                <wp:wrapNone/>
                <wp:docPr id="133" name="Rectangle 133"/>
                <wp:cNvGraphicFramePr/>
                <a:graphic xmlns:a="http://schemas.openxmlformats.org/drawingml/2006/main">
                  <a:graphicData uri="http://schemas.microsoft.com/office/word/2010/wordprocessingShape">
                    <wps:wsp>
                      <wps:cNvSpPr/>
                      <wps:spPr>
                        <a:xfrm>
                          <a:off x="0" y="0"/>
                          <a:ext cx="6048375" cy="271462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927DBC" id="Rectangle 133" o:spid="_x0000_s1026" style="position:absolute;margin-left:-4.5pt;margin-top:217.5pt;width:476.25pt;height:213.75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" fillcolor="#d9d9d9" stroked="f" strokeweight="1pt">
                <v:fill r:id="rId10" o:title="" color2="window" type="pattern"/>
                <w10:wrap anchorx="margin"/>
              </v:rect>
            </w:pict>
          </mc:Fallback>
        </mc:AlternateContent>
      </w:r>
      <w:r w:rsidR="00E654B9" w:rsidRPr="008E2FD8">
        <w:rPr>
          <w:rFonts w:cstheme="minorHAnsi"/>
          <w:bCs/>
          <w:szCs w:val="72"/>
          <w:lang w:val="sr-Cyrl-RS"/>
        </w:rPr>
        <w:t xml:space="preserve">Као један од највећих успеха заједничких мера Владе и НБС, а у условима великих неизвесности изазваних пандемијом, јесте очување радних места. Према подацима Анкете о радној снази стопа незапослености у 2020. години смањена је за 1,4 п.п, у односу на претходну годину и износила је 9,0%. Поред добро одмерених мера, на позитивна кретања утицала је и динамика привредне активности, чије смањење није било таквог обима да би оставило значајније последице на тржиште радне снаге, нарочито у делу формалне запослености која је била под најјачим утицајем усвојених пакета економске помоћи. Захваљујући наведеним мерама дошло је до побољшања у структури запослених, повећањем </w:t>
      </w:r>
      <w:r w:rsidR="00E654B9" w:rsidRPr="008E2FD8">
        <w:rPr>
          <w:rFonts w:cstheme="minorHAnsi"/>
          <w:bCs/>
          <w:szCs w:val="72"/>
          <w:lang w:val="sr-Cyrl-RS"/>
        </w:rPr>
        <w:t>броја формално запослених за 49,3 хиљада, док је број неформално запослених био смањен за 55,5 хиљада. И други показатељи бележе побољшања. Стопа незапослености жена била је смањена за 1,7 п.п. на 9,4%, стопа незапослености младих за 0,9 п.п. на 26,6%, а стопа дугорочне незапослености за 1,2 п.п. на 4,9%. Позитивна кретања на тржишту радне снаге потврђују и подаци из Централног регистра обавезног социјалног осигурања према којима је просечан број формално запослених био већи за 2,3%, мг. Добро стање на тржишту рада огледа се и у расту зарада. Просечна нето зарада је у 2020. години била већа за 9,4% номинално, односно 7,7% реално и износила је 60.073 динара. У овом периоду просечна нето зарада у приватном сектору била је већа за 7,2%, а у јавном сектору за 8,9%.</w:t>
      </w:r>
    </w:p>
    <w:p w14:paraId="702FF018" w14:textId="77777777" w:rsidR="00E654B9" w:rsidRPr="008E2FD8" w:rsidRDefault="00E654B9" w:rsidP="00161001">
      <w:pPr>
        <w:jc w:val="center"/>
        <w:rPr>
          <w:rFonts w:cstheme="minorHAnsi"/>
          <w:b/>
          <w:color w:val="2F5496" w:themeColor="accent1" w:themeShade="BF"/>
          <w:lang w:val="sr-Cyrl-RS"/>
        </w:rPr>
        <w:sectPr w:rsidR="00E654B9" w:rsidRPr="008E2FD8" w:rsidSect="00E654B9">
          <w:type w:val="continuous"/>
          <w:pgSz w:w="12240" w:h="15840" w:code="1"/>
          <w:pgMar w:top="1440" w:right="1440" w:bottom="1440" w:left="1440" w:header="720" w:footer="720" w:gutter="0"/>
          <w:cols w:num="2" w:space="720"/>
          <w:docGrid w:linePitch="360"/>
        </w:sectPr>
      </w:pPr>
    </w:p>
    <w:p w14:paraId="7A1AC206" w14:textId="77777777" w:rsidR="00E654B9" w:rsidRPr="008E2FD8" w:rsidRDefault="00E654B9" w:rsidP="00161001">
      <w:pPr>
        <w:jc w:val="center"/>
        <w:rPr>
          <w:rFonts w:cstheme="minorHAnsi"/>
          <w:b/>
          <w:color w:val="2F5496" w:themeColor="accent1" w:themeShade="BF"/>
          <w:lang w:val="sr-Cyrl-RS"/>
        </w:rPr>
        <w:sectPr w:rsidR="00E654B9" w:rsidRPr="008E2FD8" w:rsidSect="00AE40EB">
          <w:type w:val="continuous"/>
          <w:pgSz w:w="12240" w:h="15840" w:code="1"/>
          <w:pgMar w:top="1440" w:right="1440" w:bottom="1440" w:left="1440" w:header="720" w:footer="720" w:gutter="0"/>
          <w:cols w:space="720"/>
          <w:docGrid w:linePitch="360"/>
        </w:sectPr>
      </w:pPr>
      <w:r w:rsidRPr="008E2FD8">
        <w:rPr>
          <w:rFonts w:cstheme="minorHAnsi"/>
          <w:b/>
          <w:color w:val="2F5496" w:themeColor="accent1" w:themeShade="BF"/>
          <w:lang w:val="sr-Cyrl-RS"/>
        </w:rPr>
        <w:t>Структурна побољшања на тржишту рада у периоду од 2014. до 2020. године</w:t>
      </w:r>
    </w:p>
    <w:p w14:paraId="6F926360" w14:textId="77777777" w:rsidR="00E654B9" w:rsidRPr="008E2FD8" w:rsidRDefault="00E654B9" w:rsidP="00161001">
      <w:pPr>
        <w:spacing w:after="360"/>
        <w:rPr>
          <w:rFonts w:cstheme="minorHAnsi"/>
          <w:bCs/>
          <w:spacing w:val="2"/>
          <w:szCs w:val="72"/>
          <w:lang w:val="sr-Cyrl-RS"/>
        </w:rPr>
      </w:pPr>
      <w:r w:rsidRPr="008E2FD8">
        <w:rPr>
          <w:rFonts w:cstheme="minorHAnsi"/>
          <w:bCs/>
          <w:spacing w:val="2"/>
          <w:szCs w:val="72"/>
          <w:lang w:val="sr-Cyrl-RS"/>
        </w:rPr>
        <w:t xml:space="preserve">Према Анкети о радној снази у 2020. години стопа незапослености достигла је рекордно низак ниво и износила је 9,0%, што је мање за чак 10,2 п.п. него пре шест година. Од 2014. до 2020. године повећана је запосленост за 13,1%, и износила је 2.894,8 хиљада, уз повећање броја радника на неодређено и одређено време, као и запослених са пуним радним временом. У овом периоду, стопа запослености достигла је ниво од 49,1%, што је њен највећи ниво од када постоје упоредиви подаци. Поред значајног смањења стопе незапослености, забележена су и структурна побољшања на тржишту рада. У последњих шест година регистровано је значајно </w:t>
      </w:r>
      <w:r w:rsidRPr="008E2FD8">
        <w:rPr>
          <w:rFonts w:cstheme="minorHAnsi"/>
          <w:bCs/>
          <w:spacing w:val="2"/>
          <w:szCs w:val="72"/>
          <w:lang w:val="sr-Cyrl-RS"/>
        </w:rPr>
        <w:t>смањење стопе незапослености младих са 47,5% на 26,6%. Такође, уочљив је напредак у положају жена на тржишту рада, док су смањена дугорочна незапосленост и неформална запосленост. Смањење незапослености регистровано је у свим старосним групама. Поред категорије младих (15–24 године), најзначајније смањење незапослености забележено је код старосних група 25–34, као и 45–54 године. Такође, уочљив је напредак у положају жена на тржишту рада, што се огледа у</w:t>
      </w:r>
      <w:r w:rsidR="003B4A2C" w:rsidRPr="008E2FD8">
        <w:rPr>
          <w:rFonts w:cstheme="minorHAnsi"/>
          <w:bCs/>
          <w:spacing w:val="2"/>
          <w:szCs w:val="72"/>
          <w:lang w:val="sr-Cyrl-RS"/>
        </w:rPr>
        <w:t xml:space="preserve"> смањењу стопе незапослености, </w:t>
      </w:r>
      <w:r w:rsidRPr="008E2FD8">
        <w:rPr>
          <w:rFonts w:cstheme="minorHAnsi"/>
          <w:bCs/>
          <w:spacing w:val="2"/>
          <w:szCs w:val="72"/>
          <w:lang w:val="sr-Cyrl-RS"/>
        </w:rPr>
        <w:t>као и у значајно већем расту броја активних у поређењу са мушким делом становништва.</w:t>
      </w:r>
    </w:p>
    <w:p w14:paraId="5DFB5C2C" w14:textId="77777777" w:rsidR="008A20AD" w:rsidRPr="008E2FD8" w:rsidRDefault="008A20AD" w:rsidP="00161001">
      <w:pPr>
        <w:spacing w:after="360"/>
        <w:rPr>
          <w:rFonts w:cstheme="minorHAnsi"/>
          <w:bCs/>
          <w:szCs w:val="72"/>
          <w:lang w:val="sr-Cyrl-RS"/>
        </w:rPr>
        <w:sectPr w:rsidR="008A20AD" w:rsidRPr="008E2FD8" w:rsidSect="00AE40EB">
          <w:type w:val="continuous"/>
          <w:pgSz w:w="12240" w:h="15840" w:code="1"/>
          <w:pgMar w:top="1440" w:right="1440" w:bottom="1440" w:left="1440" w:header="720" w:footer="720" w:gutter="0"/>
          <w:cols w:num="2" w:space="720"/>
          <w:docGrid w:linePitch="360"/>
        </w:sectPr>
      </w:pPr>
    </w:p>
    <w:p w14:paraId="0F0BFF65" w14:textId="77777777" w:rsidR="003B4A2C" w:rsidRPr="008E2FD8" w:rsidRDefault="003B4A2C">
      <w:pPr>
        <w:jc w:val="left"/>
        <w:rPr>
          <w:rFonts w:cstheme="minorHAnsi"/>
          <w:b/>
          <w:bCs/>
          <w:color w:val="002060"/>
          <w:szCs w:val="72"/>
          <w:lang w:val="sr-Cyrl-RS"/>
        </w:rPr>
      </w:pPr>
      <w:r w:rsidRPr="008E2FD8">
        <w:rPr>
          <w:rFonts w:cstheme="minorHAnsi"/>
          <w:b/>
          <w:bCs/>
          <w:color w:val="002060"/>
          <w:szCs w:val="72"/>
          <w:lang w:val="sr-Cyrl-RS"/>
        </w:rPr>
        <w:br w:type="page"/>
      </w:r>
    </w:p>
    <w:p w14:paraId="5A517F63" w14:textId="77777777" w:rsidR="00E654B9" w:rsidRPr="008E2FD8" w:rsidRDefault="003B4A2C" w:rsidP="00C130D2">
      <w:pPr>
        <w:spacing w:after="0"/>
        <w:jc w:val="center"/>
        <w:rPr>
          <w:rFonts w:cstheme="minorHAnsi"/>
          <w:b/>
          <w:bCs/>
          <w:color w:val="002060"/>
          <w:szCs w:val="72"/>
          <w:lang w:val="sr-Cyrl-RS"/>
        </w:rPr>
      </w:pPr>
      <w:r w:rsidRPr="008E2FD8">
        <w:rPr>
          <w:rFonts w:cstheme="minorHAnsi"/>
          <w:noProof/>
          <w:color w:val="auto"/>
        </w:rPr>
        <w:lastRenderedPageBreak/>
        <mc:AlternateContent>
          <mc:Choice Requires="wps">
            <w:drawing>
              <wp:anchor distT="0" distB="0" distL="114300" distR="114300" simplePos="0" relativeHeight="251680256" behindDoc="1" locked="0" layoutInCell="1" allowOverlap="1" wp14:anchorId="3831259F" wp14:editId="507D26D8">
                <wp:simplePos x="0" y="0"/>
                <wp:positionH relativeFrom="margin">
                  <wp:posOffset>-57150</wp:posOffset>
                </wp:positionH>
                <wp:positionV relativeFrom="paragraph">
                  <wp:posOffset>-19050</wp:posOffset>
                </wp:positionV>
                <wp:extent cx="6048000" cy="3648075"/>
                <wp:effectExtent l="0" t="0" r="0" b="9525"/>
                <wp:wrapNone/>
                <wp:docPr id="127" name="Rectangle 127"/>
                <wp:cNvGraphicFramePr/>
                <a:graphic xmlns:a="http://schemas.openxmlformats.org/drawingml/2006/main">
                  <a:graphicData uri="http://schemas.microsoft.com/office/word/2010/wordprocessingShape">
                    <wps:wsp>
                      <wps:cNvSpPr/>
                      <wps:spPr>
                        <a:xfrm>
                          <a:off x="0" y="0"/>
                          <a:ext cx="6048000" cy="3648075"/>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8EB3D2" id="Rectangle 127" o:spid="_x0000_s1026" style="position:absolute;margin-left:-4.5pt;margin-top:-1.5pt;width:476.2pt;height:287.25pt;z-index:-251636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" fillcolor="#d9d9d9" stroked="f" strokeweight="1pt">
                <v:fill r:id="rId10" o:title="" color2="window" type="pattern"/>
                <w10:wrap anchorx="margin"/>
              </v:rect>
            </w:pict>
          </mc:Fallback>
        </mc:AlternateContent>
      </w:r>
      <w:r w:rsidR="00E654B9" w:rsidRPr="008E2FD8">
        <w:rPr>
          <w:rFonts w:cstheme="minorHAnsi"/>
          <w:b/>
          <w:bCs/>
          <w:color w:val="002060"/>
          <w:szCs w:val="72"/>
          <w:lang w:val="sr-Cyrl-RS"/>
        </w:rPr>
        <w:t>Показатељи тржишта рада према старосним групама и полу</w:t>
      </w:r>
    </w:p>
    <w:p w14:paraId="0390CD90" w14:textId="77777777" w:rsidR="00E654B9" w:rsidRPr="008E2FD8" w:rsidRDefault="00E654B9" w:rsidP="00C130D2">
      <w:pPr>
        <w:spacing w:after="0"/>
        <w:jc w:val="center"/>
        <w:rPr>
          <w:rFonts w:cstheme="minorHAnsi"/>
          <w:b/>
          <w:bCs/>
          <w:color w:val="002060"/>
          <w:szCs w:val="72"/>
          <w:lang w:val="sr-Cyrl-RS"/>
        </w:rPr>
      </w:pPr>
      <w:r w:rsidRPr="008E2FD8">
        <w:rPr>
          <w:rFonts w:cstheme="minorHAnsi"/>
          <w:b/>
          <w:bCs/>
          <w:color w:val="002060"/>
          <w:szCs w:val="72"/>
          <w:lang w:val="sr-Cyrl-RS"/>
        </w:rPr>
        <w:t>2014. година                                                                                             2020. година</w:t>
      </w:r>
    </w:p>
    <w:p w14:paraId="652AC38F" w14:textId="77777777" w:rsidR="00E654B9" w:rsidRPr="008E2FD8" w:rsidRDefault="00E654B9" w:rsidP="00C130D2">
      <w:pPr>
        <w:rPr>
          <w:rFonts w:cstheme="minorHAnsi"/>
          <w:bCs/>
          <w:szCs w:val="72"/>
          <w:lang w:val="sr-Cyrl-RS"/>
        </w:rPr>
      </w:pPr>
      <w:r w:rsidRPr="008E2FD8">
        <w:rPr>
          <w:rFonts w:cstheme="minorHAnsi"/>
          <w:bCs/>
          <w:noProof/>
          <w:szCs w:val="72"/>
        </w:rPr>
        <w:drawing>
          <wp:anchor distT="0" distB="0" distL="114300" distR="114300" simplePos="0" relativeHeight="251677184" behindDoc="0" locked="0" layoutInCell="1" allowOverlap="1" wp14:anchorId="6C47FD64" wp14:editId="20D0C5C3">
            <wp:simplePos x="0" y="0"/>
            <wp:positionH relativeFrom="margin">
              <wp:align>center</wp:align>
            </wp:positionH>
            <wp:positionV relativeFrom="paragraph">
              <wp:posOffset>1071143</wp:posOffset>
            </wp:positionV>
            <wp:extent cx="673160" cy="592532"/>
            <wp:effectExtent l="0" t="0" r="0" b="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73160" cy="592532"/>
                    </a:xfrm>
                    <a:prstGeom prst="rect">
                      <a:avLst/>
                    </a:prstGeom>
                    <a:noFill/>
                  </pic:spPr>
                </pic:pic>
              </a:graphicData>
            </a:graphic>
          </wp:anchor>
        </w:drawing>
      </w:r>
      <w:r w:rsidRPr="008E2FD8">
        <w:rPr>
          <w:noProof/>
        </w:rPr>
        <w:drawing>
          <wp:inline distT="0" distB="0" distL="0" distR="0" wp14:anchorId="043F9AFE" wp14:editId="1729AAE3">
            <wp:extent cx="3216673" cy="2548274"/>
            <wp:effectExtent l="0" t="8890" r="0" b="0"/>
            <wp:docPr id="13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noChangeArrowheads="1"/>
                      <a:extLst>
                        <a:ext uri="{84589F7E-364E-4C9E-8A38-B11213B215E9}">
                          <a14:cameraTool xmlns:a14="http://schemas.microsoft.com/office/drawing/2010/main" cellRange="$A$185:$F$203"/>
                        </a:ext>
                      </a:extLst>
                    </pic:cNvPicPr>
                  </pic:nvPicPr>
                  <pic:blipFill>
                    <a:blip r:embed="rId67"/>
                    <a:srcRect/>
                    <a:stretch>
                      <a:fillRect/>
                    </a:stretch>
                  </pic:blipFill>
                  <pic:spPr bwMode="auto">
                    <a:xfrm rot="16200000">
                      <a:off x="0" y="0"/>
                      <a:ext cx="3228133" cy="2557353"/>
                    </a:xfrm>
                    <a:prstGeom prst="rect">
                      <a:avLst/>
                    </a:prstGeom>
                    <a:solidFill>
                      <a:srgbClr xmlns:a14="http://schemas.microsoft.com/office/drawing/2010/main" val="FFFFFF" mc:Ignorable="a14" a14:legacySpreadsheetColorIndex="9"/>
                    </a:solidFill>
                    <a:ln w="9525">
                      <a:noFill/>
                      <a:miter lim="800000"/>
                      <a:headEnd/>
                      <a:tailEnd/>
                    </a:ln>
                  </pic:spPr>
                </pic:pic>
              </a:graphicData>
            </a:graphic>
          </wp:inline>
        </w:drawing>
      </w:r>
      <w:r w:rsidRPr="008E2FD8">
        <w:rPr>
          <w:rFonts w:cstheme="minorHAnsi"/>
          <w:bCs/>
          <w:szCs w:val="72"/>
          <w:lang w:val="sr-Cyrl-RS"/>
        </w:rPr>
        <w:t xml:space="preserve">                                  </w:t>
      </w:r>
      <w:r w:rsidR="00E16D9F" w:rsidRPr="008E2FD8">
        <w:rPr>
          <w:noProof/>
        </w:rPr>
        <w:drawing>
          <wp:inline distT="0" distB="0" distL="0" distR="0" wp14:anchorId="348D8B2D" wp14:editId="3521067B">
            <wp:extent cx="3206242" cy="2548255"/>
            <wp:effectExtent l="5080" t="0" r="0" b="0"/>
            <wp:docPr id="7" name="Picture 6">
              <a:extLst xmlns:a="http://schemas.openxmlformats.org/drawingml/2006/main">
                <a:ext uri="{FF2B5EF4-FFF2-40B4-BE49-F238E27FC236}">
                  <a16:creationId xmlns:a16="http://schemas.microsoft.com/office/drawing/2014/main" id="{CE4728A1-2677-44AD-A48E-F7F5452C96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4728A1-2677-44AD-A48E-F7F5452C966D}"/>
                        </a:ext>
                      </a:extLst>
                    </pic:cNvPr>
                    <pic:cNvPicPr>
                      <a:picLocks noChangeAspect="1" noChangeArrowheads="1"/>
                      <a:extLst>
                        <a:ext uri="{84589F7E-364E-4C9E-8A38-B11213B215E9}">
                          <a14:cameraTool xmlns:a14="http://schemas.microsoft.com/office/drawing/2010/main" cellRange="$A$185:$G$207" spid="_x0000_s18439"/>
                        </a:ext>
                      </a:extLst>
                    </pic:cNvPicPr>
                  </pic:nvPicPr>
                  <pic:blipFill>
                    <a:blip r:embed="rId68"/>
                    <a:srcRect/>
                    <a:stretch>
                      <a:fillRect/>
                    </a:stretch>
                  </pic:blipFill>
                  <pic:spPr bwMode="auto">
                    <a:xfrm rot="16200000">
                      <a:off x="0" y="0"/>
                      <a:ext cx="3208066" cy="2549705"/>
                    </a:xfrm>
                    <a:prstGeom prst="rect">
                      <a:avLst/>
                    </a:prstGeom>
                    <a:noFill/>
                    <a:ln w="9525">
                      <a:noFill/>
                      <a:miter lim="800000"/>
                      <a:headEnd/>
                      <a:tailEnd/>
                    </a:ln>
                  </pic:spPr>
                </pic:pic>
              </a:graphicData>
            </a:graphic>
          </wp:inline>
        </w:drawing>
      </w:r>
    </w:p>
    <w:p w14:paraId="349D3245" w14:textId="77777777" w:rsidR="00E654B9" w:rsidRPr="008E2FD8" w:rsidRDefault="00E654B9" w:rsidP="0074685C">
      <w:pPr>
        <w:spacing w:after="0"/>
        <w:rPr>
          <w:rFonts w:cstheme="minorHAnsi"/>
          <w:bCs/>
          <w:szCs w:val="72"/>
          <w:lang w:val="sr-Cyrl-RS"/>
        </w:rPr>
        <w:sectPr w:rsidR="00E654B9" w:rsidRPr="008E2FD8" w:rsidSect="00AE40EB">
          <w:type w:val="continuous"/>
          <w:pgSz w:w="12240" w:h="15840" w:code="1"/>
          <w:pgMar w:top="1440" w:right="1440" w:bottom="1440" w:left="1440" w:header="720" w:footer="720" w:gutter="0"/>
          <w:cols w:space="720"/>
          <w:docGrid w:linePitch="360"/>
        </w:sectPr>
      </w:pPr>
    </w:p>
    <w:p w14:paraId="0D9E5B6F" w14:textId="77777777" w:rsidR="00E654B9" w:rsidRPr="008E2FD8" w:rsidRDefault="00E654B9" w:rsidP="00642143">
      <w:pPr>
        <w:spacing w:after="120"/>
        <w:rPr>
          <w:rFonts w:cstheme="minorHAnsi"/>
          <w:bCs/>
          <w:szCs w:val="72"/>
          <w:lang w:val="sr-Cyrl-RS"/>
        </w:rPr>
      </w:pPr>
      <w:r w:rsidRPr="008E2FD8">
        <w:rPr>
          <w:rFonts w:cstheme="minorHAnsi"/>
          <w:bCs/>
          <w:szCs w:val="72"/>
          <w:lang w:val="sr-Cyrl-RS"/>
        </w:rPr>
        <w:t xml:space="preserve">И поред истека ефеката претходно донесеног пакета мера, почетак 2021. године обележава наставак добрих кретања на тржишту рада, што је пре свега резултат већег привредног раста од очекиваног, а то је било подупрто отпочетом масовном вакцинацијом становништва. Тако у првом кварталу, према подацима ЦРОСО, просечан број запослених је био већи за 3,2%, мг. Овакав раст је готово у потпуности резултат раста запослености у приватном сектору од 4,3%, док је у јавном сектору раст износио свега 0,3%. Најснажнији секторски допринос расту запослености у овом периоду дале су прерађивачка индустрија, трговина и ИКТ. Према подацима Националне службе за запошљавање, број лица која активно траже запослење био је већи за 1,0%, што оцењујемо као привремено повећање због утицаја једнократних фактора. Привредни раст удружен са општом стабилношћу економије резултирао је растом зарада. У прва два месеца просечна нето зарада је била реално већа за 5,0%, мг. и износила је 62.693 динара. У овом периоду раст зарада у приватном сектору је допринео са више од два пута општем расту зарада у односу на јавни сектор. На општи раст зарада утицала је одлука о повећању минималне цене рада са 172,54 динара по радном часу колико </w:t>
      </w:r>
      <w:r w:rsidRPr="008E2FD8">
        <w:rPr>
          <w:rFonts w:cstheme="minorHAnsi"/>
          <w:bCs/>
          <w:szCs w:val="72"/>
          <w:lang w:val="sr-Cyrl-RS"/>
        </w:rPr>
        <w:t>је износила у 2020. години на 183,93 у 2021. години. Поред овога, на раст зарада у јавном сектору утицала је одлука Владе о трајном повећању плата здравственим радницима за 10% почев од априла 2020. године. Посматрано по секторима, више од половине укупног раста зарада било је опредељено растом зарада у здравству, прерађивачкој индустрији, трговини и ИКТ. У оквиру јавног сектора зараде су у прва два месеца на међугодишњем нивоу највише биле повећане у здравству (19,2% номинално и 17,9%, реално).</w:t>
      </w:r>
    </w:p>
    <w:p w14:paraId="0F26670D" w14:textId="77777777" w:rsidR="00E654B9" w:rsidRPr="008E2FD8" w:rsidRDefault="00E654B9" w:rsidP="00642143">
      <w:pPr>
        <w:pStyle w:val="Caption"/>
        <w:keepNext/>
        <w:spacing w:after="80"/>
        <w:rPr>
          <w:rFonts w:cstheme="minorHAnsi"/>
          <w:b w:val="0"/>
          <w:i/>
          <w:iCs w:val="0"/>
          <w:szCs w:val="22"/>
          <w:lang w:val="sr-Cyrl-RS"/>
        </w:rPr>
      </w:pPr>
      <w:r w:rsidRPr="008E2FD8">
        <w:rPr>
          <w:rFonts w:cstheme="minorHAnsi"/>
          <w:iCs w:val="0"/>
          <w:szCs w:val="22"/>
          <w:lang w:val="sr-Cyrl-RS"/>
        </w:rPr>
        <w:t>Кретање основних показатеља тржишта рада</w:t>
      </w:r>
    </w:p>
    <w:p w14:paraId="4F4C1A44" w14:textId="77777777" w:rsidR="00E654B9" w:rsidRPr="008E2FD8" w:rsidRDefault="00E654B9" w:rsidP="0074685C">
      <w:pPr>
        <w:spacing w:after="0"/>
        <w:rPr>
          <w:rFonts w:cstheme="minorHAnsi"/>
          <w:bCs/>
          <w:szCs w:val="72"/>
          <w:lang w:val="sr-Cyrl-RS"/>
        </w:rPr>
      </w:pPr>
      <w:r w:rsidRPr="008E2FD8">
        <w:rPr>
          <w:noProof/>
        </w:rPr>
        <w:drawing>
          <wp:inline distT="0" distB="0" distL="0" distR="0" wp14:anchorId="4F025AF3" wp14:editId="2867F3F2">
            <wp:extent cx="2743200" cy="1680845"/>
            <wp:effectExtent l="0" t="0" r="0" b="14605"/>
            <wp:docPr id="137" name="Chart 137">
              <a:extLst xmlns:a="http://schemas.openxmlformats.org/drawingml/2006/main">
                <a:ext uri="{FF2B5EF4-FFF2-40B4-BE49-F238E27FC236}">
                  <a16:creationId xmlns:a16="http://schemas.microsoft.com/office/drawing/2014/main" id="{00000000-0008-0000-0E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3598738D" w14:textId="77777777" w:rsidR="00E654B9" w:rsidRPr="008E2FD8" w:rsidRDefault="00E654B9" w:rsidP="0074685C">
      <w:pPr>
        <w:spacing w:before="40"/>
        <w:rPr>
          <w:rFonts w:cstheme="minorHAnsi"/>
          <w:bCs/>
          <w:szCs w:val="72"/>
          <w:lang w:val="sr-Cyrl-RS"/>
        </w:rPr>
      </w:pPr>
      <w:r w:rsidRPr="008E2FD8">
        <w:rPr>
          <w:rFonts w:cstheme="minorHAnsi"/>
          <w:bCs/>
          <w:sz w:val="16"/>
          <w:szCs w:val="72"/>
          <w:lang w:val="sr-Cyrl-RS"/>
        </w:rPr>
        <w:t>Извор: РЗС</w:t>
      </w:r>
    </w:p>
    <w:p w14:paraId="3495C1B0" w14:textId="77777777" w:rsidR="00E654B9" w:rsidRPr="008E2FD8" w:rsidRDefault="00E654B9" w:rsidP="00C130D2">
      <w:pPr>
        <w:rPr>
          <w:rFonts w:cstheme="minorHAnsi"/>
          <w:bCs/>
          <w:szCs w:val="72"/>
          <w:highlight w:val="darkYellow"/>
          <w:lang w:val="sr-Cyrl-RS"/>
        </w:rPr>
      </w:pPr>
      <w:r w:rsidRPr="008E2FD8">
        <w:rPr>
          <w:rFonts w:cstheme="minorHAnsi"/>
          <w:bCs/>
          <w:szCs w:val="72"/>
          <w:lang w:val="sr-Cyrl-RS"/>
        </w:rPr>
        <w:lastRenderedPageBreak/>
        <w:t>Добро одмерене мере креатора економске политике, као одговор на пандемију, које су биле усмерене, пре свега на одржавање привредног раста и очување запослености, створиле су снажну подлогу за наставак позитивних кретања на тржишту рада. Уз то, побољшање епидемиолошке ситуације, кроз отпочету имунизацију становништва сигуран је пут ка потпуном отварању економије, што ће уз досадашња позитивна кретања, очекиван висок привредни раст, као и даљу посвећеност Владе повећању броја запослених, као једном од приоритетних циљева економске политике, у средњем року резултирати даљим смањењем стопе незапослености и растом зарада. Поред наведеног, позитивна очекивања су резултат континуираног рада на побољшању услова рада, унапређивању институција тржишта рада, подстицању запошљавања и укључивања на тржиште рада теже запошљивих лица, као и подршке регионалној и локалној политици запошљавања. Такође, континуирано се ради на унапређивању радне снаге у погледу квалитета, као и на улагању у људски капитал, све у циљу лакшег општег запошљавања, а нарочито у оном делу привреде који има већу додату вредност. Такође, интензивираним радом инспекцијских служби, а након унапређења радног законодавства и донесених мера у правцу пореског растерећења рада, наставиће се смањивање броја запослених у сивој зони и њихово превођење у контингент формално запослених. Овим мерама ће услови рада, у погледу права и осигурања радника, бити побољшани, а позитиван ефекат ће се одразити и на приходе буџета. На крају средњорочног периода очекује се ефектуирање комплексних реформи образовног система и адекватан одговор на потребе привреде, док ће се активним мерама обука, преквалификација и подршке социјалном предузетништву олакшати доступност радних места социјално рањивим категоријама друштва и тиме додатно обезбедити инклузивност привредног раста. Ради економске одрживости, раст зарада у средњем и нарочито дужем року треба да буде заснован на расту продуктивности. То ће захтевати наставак креирања повољних услова за привредни раст, пре свега кроз раст потрошње и привлачење и раст приватних инвестиција.</w:t>
      </w:r>
    </w:p>
    <w:p w14:paraId="70345221" w14:textId="77777777" w:rsidR="00E654B9" w:rsidRPr="008E2FD8" w:rsidRDefault="00E654B9" w:rsidP="00F97457">
      <w:pPr>
        <w:rPr>
          <w:rFonts w:cstheme="minorHAnsi"/>
          <w:b/>
          <w:color w:val="2F5496" w:themeColor="accent1" w:themeShade="BF"/>
          <w:sz w:val="22"/>
          <w:lang w:val="sr-Cyrl-RS"/>
        </w:rPr>
      </w:pPr>
      <w:r w:rsidRPr="008E2FD8">
        <w:rPr>
          <w:rFonts w:cstheme="minorHAnsi"/>
          <w:b/>
          <w:color w:val="2F5496" w:themeColor="accent1" w:themeShade="BF"/>
          <w:sz w:val="22"/>
          <w:lang w:val="sr-Cyrl-RS"/>
        </w:rPr>
        <w:t>Монетарна кретања</w:t>
      </w:r>
    </w:p>
    <w:p w14:paraId="223FA9FC" w14:textId="77777777" w:rsidR="00E654B9" w:rsidRPr="008E2FD8" w:rsidRDefault="00E654B9" w:rsidP="00161001">
      <w:pPr>
        <w:pStyle w:val="Caption"/>
        <w:keepNext/>
        <w:jc w:val="both"/>
        <w:rPr>
          <w:rFonts w:cstheme="minorHAnsi"/>
          <w:b w:val="0"/>
          <w:iCs w:val="0"/>
          <w:color w:val="44546A" w:themeColor="text2"/>
          <w:szCs w:val="22"/>
          <w:lang w:val="sr-Cyrl-RS"/>
        </w:rPr>
      </w:pPr>
      <w:r w:rsidRPr="008E2FD8">
        <w:rPr>
          <w:rFonts w:cstheme="minorHAnsi"/>
          <w:b w:val="0"/>
          <w:iCs w:val="0"/>
          <w:color w:val="44546A" w:themeColor="text2"/>
          <w:szCs w:val="22"/>
          <w:lang w:val="sr-Cyrl-RS"/>
        </w:rPr>
        <w:t>Након неизвесности на домаћем и глобалном тржишту изазваних пандемијом коронавируса, почетак 2021. године обележава потпуно враћање поверења у све области економског живота. Као резултат, пре свега добро координисаних и одмерених економских мера Владе и НБС очувана је макроекономска, финансијска и фискална стабилност. Поред овога на добре макроекономске резултате у време пандемије утицали су и претходни привредни раст, створени фискални простор, али и повољна структура економије, која се показала прилично резистентном на овакве облике шокова. Позитивном економском амбијенту, поред предузетих мера, у великој мери доприноси и отпочета масовна вакцинација становништва у Србији и у међународном окружењу. Добри резултати препознати су од стране рејтинг агенција, па је тако агенција Moody’s у марту повећала кредитни рејтинг Србије на Ба2 са стабилним изгледима, а Fitch је потврдио кредитни рејтинг ББ+. Очувана је и додатно ојачана банкарска стабилност, са значајно смањеним учешћем ненаплативих потраживања.</w:t>
      </w:r>
    </w:p>
    <w:p w14:paraId="7F68F4E5" w14:textId="77777777" w:rsidR="00E654B9" w:rsidRPr="008E2FD8" w:rsidRDefault="00E654B9" w:rsidP="00161001">
      <w:pPr>
        <w:pStyle w:val="Caption"/>
        <w:keepNext/>
        <w:jc w:val="both"/>
        <w:rPr>
          <w:rFonts w:cstheme="minorHAnsi"/>
          <w:b w:val="0"/>
          <w:iCs w:val="0"/>
          <w:color w:val="44546A" w:themeColor="text2"/>
          <w:szCs w:val="22"/>
          <w:lang w:val="sr-Cyrl-RS"/>
        </w:rPr>
      </w:pPr>
      <w:r w:rsidRPr="008E2FD8">
        <w:rPr>
          <w:rFonts w:cstheme="minorHAnsi"/>
          <w:b w:val="0"/>
          <w:iCs w:val="0"/>
          <w:color w:val="44546A" w:themeColor="text2"/>
          <w:szCs w:val="22"/>
          <w:lang w:val="sr-Cyrl-RS"/>
        </w:rPr>
        <w:t xml:space="preserve">Кредитна активност бележи висок раст, који је подстакнут смањеним трошковима финансирања, до којих је дошло захваљујући ефектима ублажавања монетарне политике, али и снажног пада премије ризика, поправљања кредитног рејтинга, као и ублажавања монетарне политике ЕЦБ. На раст кредитне активности утицало је и одобравање динарских кредита из гарантне шеме по нижим каматним стопама, затим смањено обавезно учешће за куповину првог стана, смањен минимални степен изграђености објекта чију је куповину могуће финансирати стамбеним кредитима банака и продужавање рока отплате стамбених кредита. Високе стопе раста кредита праћене су даљим смањивањем удела проблематичних кредита. </w:t>
      </w:r>
      <w:r w:rsidRPr="000F6E5A">
        <w:rPr>
          <w:rFonts w:cstheme="minorHAnsi"/>
          <w:b w:val="0"/>
          <w:iCs w:val="0"/>
          <w:color w:val="44546A" w:themeColor="text2"/>
          <w:szCs w:val="22"/>
          <w:lang w:val="sr-Cyrl-RS"/>
        </w:rPr>
        <w:t>Такође, значајно је повећан удео динарских пласмана, што је резултат раста динарских кредита привреди</w:t>
      </w:r>
      <w:r w:rsidR="00196C27" w:rsidRPr="000F6E5A">
        <w:rPr>
          <w:rFonts w:cstheme="minorHAnsi"/>
          <w:b w:val="0"/>
          <w:iCs w:val="0"/>
          <w:color w:val="44546A" w:themeColor="text2"/>
          <w:szCs w:val="22"/>
          <w:lang w:val="en-GB"/>
        </w:rPr>
        <w:t>,</w:t>
      </w:r>
      <w:r w:rsidRPr="000F6E5A">
        <w:rPr>
          <w:rFonts w:cstheme="minorHAnsi"/>
          <w:b w:val="0"/>
          <w:iCs w:val="0"/>
          <w:color w:val="44546A" w:themeColor="text2"/>
          <w:szCs w:val="22"/>
          <w:lang w:val="sr-Cyrl-RS"/>
        </w:rPr>
        <w:t xml:space="preserve"> </w:t>
      </w:r>
      <w:r w:rsidR="00196C27" w:rsidRPr="000F6E5A">
        <w:rPr>
          <w:rFonts w:cstheme="minorHAnsi"/>
          <w:b w:val="0"/>
          <w:iCs w:val="0"/>
          <w:color w:val="44546A" w:themeColor="text2"/>
          <w:szCs w:val="22"/>
          <w:lang w:val="sr-Cyrl-RS"/>
        </w:rPr>
        <w:t>чему доприносе ниске каматне стопе на динарске кредите, као и повољно финансирање привреде у оквиру гарантне шеме</w:t>
      </w:r>
      <w:r w:rsidRPr="000F6E5A">
        <w:rPr>
          <w:rFonts w:cstheme="minorHAnsi"/>
          <w:b w:val="0"/>
          <w:iCs w:val="0"/>
          <w:color w:val="44546A" w:themeColor="text2"/>
          <w:szCs w:val="22"/>
          <w:lang w:val="sr-Cyrl-RS"/>
        </w:rPr>
        <w:t>. Расту кредитне</w:t>
      </w:r>
      <w:r w:rsidRPr="008E2FD8">
        <w:rPr>
          <w:rFonts w:cstheme="minorHAnsi"/>
          <w:b w:val="0"/>
          <w:iCs w:val="0"/>
          <w:color w:val="44546A" w:themeColor="text2"/>
          <w:szCs w:val="22"/>
          <w:lang w:val="sr-Cyrl-RS"/>
        </w:rPr>
        <w:t xml:space="preserve"> активности допринела је и ниска и стабилна инфлација, као и </w:t>
      </w:r>
      <w:r w:rsidRPr="008E2FD8">
        <w:rPr>
          <w:rFonts w:cstheme="minorHAnsi"/>
          <w:b w:val="0"/>
          <w:iCs w:val="0"/>
          <w:color w:val="44546A" w:themeColor="text2"/>
          <w:szCs w:val="22"/>
          <w:lang w:val="sr-Cyrl-RS"/>
        </w:rPr>
        <w:lastRenderedPageBreak/>
        <w:t xml:space="preserve">мере НБС у циљу подршке процесу динаризације. </w:t>
      </w:r>
      <w:r w:rsidRPr="00BD0E89">
        <w:rPr>
          <w:rFonts w:cstheme="minorHAnsi"/>
          <w:b w:val="0"/>
          <w:iCs w:val="0"/>
          <w:color w:val="44546A" w:themeColor="text2"/>
          <w:szCs w:val="22"/>
          <w:lang w:val="sr-Cyrl-RS"/>
        </w:rPr>
        <w:t>Позитиван допринос расту кредита долази и од кредита п</w:t>
      </w:r>
      <w:r w:rsidR="00735408" w:rsidRPr="00BD0E89">
        <w:rPr>
          <w:rFonts w:cstheme="minorHAnsi"/>
          <w:b w:val="0"/>
          <w:iCs w:val="0"/>
          <w:color w:val="44546A" w:themeColor="text2"/>
          <w:szCs w:val="22"/>
          <w:lang w:val="sr-Cyrl-RS"/>
        </w:rPr>
        <w:t>ривреди и кредита становништву, при чему је код привреде учешће инвестиционих кредита повећано и приближно је одговарало учешћу кредита за обртна средства</w:t>
      </w:r>
      <w:r w:rsidRPr="00BD0E89">
        <w:rPr>
          <w:rFonts w:cstheme="minorHAnsi"/>
          <w:b w:val="0"/>
          <w:iCs w:val="0"/>
          <w:color w:val="44546A" w:themeColor="text2"/>
          <w:szCs w:val="22"/>
          <w:lang w:val="sr-Cyrl-RS"/>
        </w:rPr>
        <w:t>.</w:t>
      </w:r>
      <w:r w:rsidRPr="008E2FD8">
        <w:rPr>
          <w:rFonts w:cstheme="minorHAnsi"/>
          <w:b w:val="0"/>
          <w:iCs w:val="0"/>
          <w:color w:val="44546A" w:themeColor="text2"/>
          <w:szCs w:val="22"/>
          <w:lang w:val="sr-Cyrl-RS"/>
        </w:rPr>
        <w:t xml:space="preserve"> Истовремено, у великој мери као резултат подстицања стамбених кредита, њихов допринос расту укупних кредита становништву је значајно увећан и скоро изједначен доприносу готовинских кредита. Крајем марта 2021. године регистрован је номинални раст укупних кредита за 8,9%, мг, од чега су кредити привреди забележили раст од 6,4%, док су кредити становништву били већи за 11,9%. Стратегијом за решавање проблематичних кредита, чија је примена започета у другој половини 2015. године, учешће проблематичних кредита банкарског сектора у укупним кредитима значајно је смањено и на крају фебруара 2021. године износило је 3,8%. То је у поређењу са периодом пре примене Стратегије смањење за 18,41 п.п.</w:t>
      </w:r>
    </w:p>
    <w:p w14:paraId="7887F8EA" w14:textId="77777777" w:rsidR="00E654B9" w:rsidRPr="008E2FD8" w:rsidRDefault="00E654B9" w:rsidP="00161001">
      <w:pPr>
        <w:pStyle w:val="Caption"/>
        <w:keepNext/>
        <w:jc w:val="both"/>
        <w:rPr>
          <w:rFonts w:cstheme="minorHAnsi"/>
          <w:b w:val="0"/>
          <w:i/>
          <w:iCs w:val="0"/>
          <w:szCs w:val="22"/>
          <w:lang w:val="sr-Cyrl-RS"/>
        </w:rPr>
      </w:pPr>
      <w:r w:rsidRPr="008E2FD8">
        <w:rPr>
          <w:rFonts w:cstheme="minorHAnsi"/>
          <w:iCs w:val="0"/>
          <w:szCs w:val="22"/>
          <w:lang w:val="sr-Cyrl-RS"/>
        </w:rPr>
        <w:t>Проблематични кредити, млрд РСД</w:t>
      </w:r>
    </w:p>
    <w:p w14:paraId="13650F70" w14:textId="77777777" w:rsidR="00E654B9" w:rsidRPr="008E2FD8" w:rsidRDefault="00E654B9" w:rsidP="00C130D2">
      <w:pPr>
        <w:rPr>
          <w:rFonts w:cstheme="minorHAnsi"/>
          <w:bCs/>
          <w:szCs w:val="72"/>
          <w:highlight w:val="yellow"/>
          <w:lang w:val="sr-Cyrl-RS"/>
        </w:rPr>
      </w:pPr>
      <w:r w:rsidRPr="008E2FD8">
        <w:rPr>
          <w:noProof/>
        </w:rPr>
        <w:drawing>
          <wp:inline distT="0" distB="0" distL="0" distR="0" wp14:anchorId="37065252" wp14:editId="0890F19A">
            <wp:extent cx="2743200" cy="1673860"/>
            <wp:effectExtent l="0" t="0" r="0" b="2540"/>
            <wp:docPr id="138" name="Chart 138">
              <a:extLst xmlns:a="http://schemas.openxmlformats.org/drawingml/2006/main">
                <a:ext uri="{FF2B5EF4-FFF2-40B4-BE49-F238E27FC236}">
                  <a16:creationId xmlns:a16="http://schemas.microsoft.com/office/drawing/2014/main" id="{00000000-0008-0000-1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70DFADB" w14:textId="77777777" w:rsidR="00E654B9" w:rsidRPr="008E2FD8" w:rsidRDefault="00E654B9" w:rsidP="00C130D2">
      <w:pPr>
        <w:rPr>
          <w:rFonts w:cstheme="minorHAnsi"/>
          <w:lang w:val="sr-Cyrl-RS"/>
        </w:rPr>
      </w:pPr>
      <w:r w:rsidRPr="008E2FD8">
        <w:rPr>
          <w:rFonts w:cstheme="minorHAnsi"/>
          <w:bCs/>
          <w:sz w:val="16"/>
          <w:szCs w:val="72"/>
          <w:lang w:val="sr-Cyrl-RS"/>
        </w:rPr>
        <w:t>Извор: НБС</w:t>
      </w:r>
    </w:p>
    <w:p w14:paraId="5E5D5BC1" w14:textId="77777777" w:rsidR="00E654B9" w:rsidRPr="008E2FD8" w:rsidRDefault="00E654B9" w:rsidP="00592092">
      <w:pPr>
        <w:rPr>
          <w:rFonts w:cstheme="minorHAnsi"/>
          <w:bCs/>
          <w:szCs w:val="72"/>
          <w:highlight w:val="darkYellow"/>
          <w:lang w:val="sr-Cyrl-RS"/>
        </w:rPr>
      </w:pPr>
      <w:r w:rsidRPr="008E2FD8">
        <w:rPr>
          <w:rFonts w:cstheme="minorHAnsi"/>
          <w:bCs/>
          <w:szCs w:val="72"/>
          <w:lang w:val="sr-Cyrl-RS"/>
        </w:rPr>
        <w:t>Као резултат ниских инфлаторних притисака, који су били подупрти падом домаће тражње и знатним смањењем цена нафте на међународном тржишту, али и услед стабилних кретања на девизном тржишту, инфлација се у 2020. години кретала на ниском нивоу, упркос негат</w:t>
      </w:r>
      <w:r w:rsidR="00F752BB">
        <w:rPr>
          <w:rFonts w:cstheme="minorHAnsi"/>
          <w:bCs/>
          <w:szCs w:val="72"/>
          <w:lang w:val="sr-Cyrl-RS"/>
        </w:rPr>
        <w:t>ивним ефектима корона</w:t>
      </w:r>
      <w:r w:rsidRPr="008E2FD8">
        <w:rPr>
          <w:rFonts w:cstheme="minorHAnsi"/>
          <w:bCs/>
          <w:szCs w:val="72"/>
          <w:lang w:val="sr-Cyrl-RS"/>
        </w:rPr>
        <w:t xml:space="preserve">вируса. Тако је крајем 2020. године инфлација била незнатно испод доње границе одступања од циља и износила је 1,3%, мг. Раст цена дувана, телефонских услуга, туристичких аранжмана, месних прерађевина, телефонске опреме и јестивих уља је био у значајној мери </w:t>
      </w:r>
      <w:r w:rsidRPr="008E2FD8">
        <w:rPr>
          <w:rFonts w:cstheme="minorHAnsi"/>
          <w:bCs/>
          <w:szCs w:val="72"/>
          <w:lang w:val="sr-Cyrl-RS"/>
        </w:rPr>
        <w:t>ублажен снажним падом цена нафтних деривата. Инфлација је почетком 2021. године наставила да се креће на ниском нивоу. Тако у марту раст потрошачких цена на међугодишњем нивоу je износио 1,8%. Највећи утицај на раст цена у овом периоду имало је повећање цена електричне енергије, дувана, месних прерађевина, комуналних услуга и телефонске опреме. С друге стране, односно у правцу успоравања раста инфлације деловао је пад цена поврћа и меса. На ниске инфлаторне притиске указује кретање базне инфлације, која је у марту износила 1,8%, мг.</w:t>
      </w:r>
    </w:p>
    <w:p w14:paraId="3E95DDCB" w14:textId="77777777" w:rsidR="00E654B9" w:rsidRPr="008E2FD8" w:rsidRDefault="00E654B9" w:rsidP="00C130D2">
      <w:pPr>
        <w:pStyle w:val="Caption"/>
        <w:keepNext/>
        <w:rPr>
          <w:rFonts w:cstheme="minorHAnsi"/>
          <w:b w:val="0"/>
          <w:i/>
          <w:iCs w:val="0"/>
          <w:szCs w:val="22"/>
          <w:lang w:val="sr-Cyrl-RS"/>
        </w:rPr>
      </w:pPr>
      <w:r w:rsidRPr="008E2FD8">
        <w:rPr>
          <w:rFonts w:cstheme="minorHAnsi"/>
          <w:iCs w:val="0"/>
          <w:szCs w:val="22"/>
          <w:lang w:val="sr-Cyrl-RS"/>
        </w:rPr>
        <w:t>Девизни курс и интервенције НБС на девизном тржишту</w:t>
      </w:r>
    </w:p>
    <w:p w14:paraId="166A970E" w14:textId="77777777" w:rsidR="00E654B9" w:rsidRPr="00A46470" w:rsidRDefault="00A46470" w:rsidP="00C130D2">
      <w:pPr>
        <w:rPr>
          <w:rFonts w:cstheme="minorHAnsi"/>
          <w:bCs/>
          <w:szCs w:val="72"/>
          <w:highlight w:val="darkYellow"/>
          <w:lang w:val="sr-Latn-RS"/>
        </w:rPr>
      </w:pPr>
      <w:r>
        <w:rPr>
          <w:noProof/>
        </w:rPr>
        <w:drawing>
          <wp:inline distT="0" distB="0" distL="0" distR="0" wp14:anchorId="3B91644E" wp14:editId="53C1E97D">
            <wp:extent cx="2743200" cy="1698625"/>
            <wp:effectExtent l="0" t="0" r="0" b="0"/>
            <wp:docPr id="14" name="Chart 14">
              <a:extLst xmlns:a="http://schemas.openxmlformats.org/drawingml/2006/main">
                <a:ext uri="{FF2B5EF4-FFF2-40B4-BE49-F238E27FC236}">
                  <a16:creationId xmlns:a16="http://schemas.microsoft.com/office/drawing/2014/main" id="{00000000-0008-0000-12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231B38E" w14:textId="77777777" w:rsidR="00E654B9" w:rsidRPr="008E2FD8" w:rsidRDefault="00E654B9" w:rsidP="00C130D2">
      <w:pPr>
        <w:rPr>
          <w:rFonts w:cstheme="minorHAnsi"/>
          <w:bCs/>
          <w:szCs w:val="72"/>
          <w:lang w:val="sr-Cyrl-RS"/>
        </w:rPr>
      </w:pPr>
      <w:r w:rsidRPr="008E2FD8">
        <w:rPr>
          <w:rFonts w:cstheme="minorHAnsi"/>
          <w:bCs/>
          <w:sz w:val="16"/>
          <w:szCs w:val="72"/>
          <w:lang w:val="sr-Cyrl-RS"/>
        </w:rPr>
        <w:t>Извор: НБС</w:t>
      </w:r>
    </w:p>
    <w:p w14:paraId="17C1FC4C" w14:textId="77777777" w:rsidR="00E654B9" w:rsidRPr="00981BB3" w:rsidRDefault="00E654B9" w:rsidP="00592092">
      <w:pPr>
        <w:rPr>
          <w:rFonts w:cstheme="minorHAnsi"/>
          <w:bCs/>
          <w:spacing w:val="-2"/>
          <w:szCs w:val="72"/>
          <w:lang w:val="sr-Cyrl-RS"/>
        </w:rPr>
      </w:pPr>
      <w:r w:rsidRPr="00F37B0A">
        <w:rPr>
          <w:rFonts w:cstheme="minorHAnsi"/>
          <w:bCs/>
          <w:spacing w:val="-2"/>
          <w:szCs w:val="72"/>
          <w:lang w:val="sr-Cyrl-RS"/>
        </w:rPr>
        <w:t>Кретања на девизном тржишту у 2020. години обележила је релативна стабилност девизног курса, упркос депрецијацијским притисцима, подстакнутим неизвесношћу на међународном финансијском тржишту</w:t>
      </w:r>
      <w:r w:rsidR="00981BB3" w:rsidRPr="00F37B0A">
        <w:rPr>
          <w:spacing w:val="-2"/>
        </w:rPr>
        <w:t xml:space="preserve"> </w:t>
      </w:r>
      <w:r w:rsidR="00981BB3" w:rsidRPr="00F37B0A">
        <w:rPr>
          <w:rFonts w:cstheme="minorHAnsi"/>
          <w:bCs/>
          <w:spacing w:val="-2"/>
          <w:szCs w:val="72"/>
          <w:lang w:val="sr-Cyrl-RS"/>
        </w:rPr>
        <w:t>у вези са током пандемије</w:t>
      </w:r>
      <w:r w:rsidRPr="00F37B0A">
        <w:rPr>
          <w:rFonts w:cstheme="minorHAnsi"/>
          <w:bCs/>
          <w:spacing w:val="-2"/>
          <w:szCs w:val="72"/>
          <w:lang w:val="sr-Cyrl-RS"/>
        </w:rPr>
        <w:t xml:space="preserve">. </w:t>
      </w:r>
      <w:r w:rsidR="00981BB3" w:rsidRPr="00F37B0A">
        <w:rPr>
          <w:rFonts w:cstheme="minorHAnsi"/>
          <w:bCs/>
          <w:spacing w:val="-2"/>
          <w:szCs w:val="72"/>
          <w:lang w:val="sr-Cyrl-RS"/>
        </w:rPr>
        <w:t>Релативној с</w:t>
      </w:r>
      <w:r w:rsidRPr="00F37B0A">
        <w:rPr>
          <w:rFonts w:cstheme="minorHAnsi"/>
          <w:bCs/>
          <w:spacing w:val="-2"/>
          <w:szCs w:val="72"/>
          <w:lang w:val="sr-Cyrl-RS"/>
        </w:rPr>
        <w:t xml:space="preserve">табилности девизног курса допринеле су, пре свега, мере НБС, која је на међубанкарском девизном тржишту интервенисала </w:t>
      </w:r>
      <w:r w:rsidR="00981BB3" w:rsidRPr="00F37B0A">
        <w:rPr>
          <w:rFonts w:cstheme="minorHAnsi"/>
          <w:bCs/>
          <w:spacing w:val="-2"/>
          <w:szCs w:val="72"/>
          <w:lang w:val="sr-Cyrl-RS"/>
        </w:rPr>
        <w:t>углавном на страни продаје девиза</w:t>
      </w:r>
      <w:r w:rsidRPr="00F37B0A">
        <w:rPr>
          <w:rFonts w:cstheme="minorHAnsi"/>
          <w:bCs/>
          <w:spacing w:val="-2"/>
          <w:szCs w:val="72"/>
          <w:lang w:val="sr-Cyrl-RS"/>
        </w:rPr>
        <w:t xml:space="preserve">. Као резултат одржане стабилности на девизном тржишту </w:t>
      </w:r>
      <w:r w:rsidR="00981BB3" w:rsidRPr="00F37B0A">
        <w:rPr>
          <w:rFonts w:cstheme="minorHAnsi"/>
          <w:bCs/>
          <w:spacing w:val="-2"/>
          <w:szCs w:val="72"/>
          <w:lang w:val="sr-Cyrl-RS"/>
        </w:rPr>
        <w:t>сачувано</w:t>
      </w:r>
      <w:r w:rsidRPr="00F37B0A">
        <w:rPr>
          <w:rFonts w:cstheme="minorHAnsi"/>
          <w:bCs/>
          <w:spacing w:val="-2"/>
          <w:szCs w:val="72"/>
          <w:lang w:val="sr-Cyrl-RS"/>
        </w:rPr>
        <w:t xml:space="preserve"> је поверење међународних инвеститора.</w:t>
      </w:r>
      <w:r w:rsidRPr="00981BB3">
        <w:rPr>
          <w:rFonts w:cstheme="minorHAnsi"/>
          <w:bCs/>
          <w:spacing w:val="-2"/>
          <w:szCs w:val="72"/>
          <w:lang w:val="sr-Cyrl-RS"/>
        </w:rPr>
        <w:t xml:space="preserve"> Услед добрих макроекономских кретања, привредног раста изнад очекиваног и солидног прилива СДИ, почетак 2021. године карактерише наставак стабилних кретања на девизном тржишту. Тако је у првом кварталу динар на међугодишњем нивоу у просеку забележио благу реалну апрецијацију (0,3%), док је номинално био непромењен. НБС је у првом кварталу интервенисала на међубанкарском девизном тржишту нето продајом 50 мил. евра.</w:t>
      </w:r>
    </w:p>
    <w:p w14:paraId="07F89B72" w14:textId="77777777" w:rsidR="00E654B9" w:rsidRPr="008E2FD8" w:rsidRDefault="00E654B9" w:rsidP="00E31C39">
      <w:pPr>
        <w:pStyle w:val="Caption"/>
        <w:keepNext/>
        <w:rPr>
          <w:rFonts w:cstheme="minorHAnsi"/>
          <w:b w:val="0"/>
          <w:i/>
          <w:iCs w:val="0"/>
          <w:szCs w:val="22"/>
          <w:lang w:val="sr-Cyrl-RS"/>
        </w:rPr>
      </w:pPr>
      <w:r w:rsidRPr="008E2FD8">
        <w:rPr>
          <w:rFonts w:cstheme="minorHAnsi"/>
          <w:iCs w:val="0"/>
          <w:szCs w:val="22"/>
          <w:lang w:val="sr-Cyrl-RS"/>
        </w:rPr>
        <w:lastRenderedPageBreak/>
        <w:t>Девизне резерве и девизна штедња, млрд евра</w:t>
      </w:r>
    </w:p>
    <w:p w14:paraId="677021DA" w14:textId="77777777" w:rsidR="00E654B9" w:rsidRPr="008E2FD8" w:rsidRDefault="00E654B9" w:rsidP="00C130D2">
      <w:pPr>
        <w:spacing w:after="0"/>
        <w:rPr>
          <w:rFonts w:cstheme="minorHAnsi"/>
          <w:bCs/>
          <w:szCs w:val="72"/>
          <w:highlight w:val="darkYellow"/>
          <w:lang w:val="sr-Cyrl-RS"/>
        </w:rPr>
      </w:pPr>
      <w:r w:rsidRPr="008E2FD8">
        <w:rPr>
          <w:noProof/>
        </w:rPr>
        <w:drawing>
          <wp:inline distT="0" distB="0" distL="0" distR="0" wp14:anchorId="5127427E" wp14:editId="6A2EACB2">
            <wp:extent cx="2743200" cy="1799590"/>
            <wp:effectExtent l="0" t="0" r="0" b="0"/>
            <wp:docPr id="140" name="Chart 140">
              <a:extLst xmlns:a="http://schemas.openxmlformats.org/drawingml/2006/main">
                <a:ext uri="{FF2B5EF4-FFF2-40B4-BE49-F238E27FC236}">
                  <a16:creationId xmlns:a16="http://schemas.microsoft.com/office/drawing/2014/main" id="{00000000-0008-0000-11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53CFA64C" w14:textId="77777777" w:rsidR="00E654B9" w:rsidRPr="008E2FD8" w:rsidRDefault="00E654B9" w:rsidP="00592092">
      <w:pPr>
        <w:rPr>
          <w:rFonts w:cstheme="minorHAnsi"/>
          <w:bCs/>
          <w:szCs w:val="72"/>
          <w:lang w:val="sr-Cyrl-RS"/>
        </w:rPr>
      </w:pPr>
      <w:r w:rsidRPr="008E2FD8">
        <w:rPr>
          <w:rFonts w:cstheme="minorHAnsi"/>
          <w:bCs/>
          <w:sz w:val="16"/>
          <w:szCs w:val="72"/>
          <w:lang w:val="sr-Cyrl-RS"/>
        </w:rPr>
        <w:t>Извор: НБС</w:t>
      </w:r>
    </w:p>
    <w:p w14:paraId="602BA659" w14:textId="77777777" w:rsidR="00E654B9" w:rsidRPr="008E2FD8" w:rsidRDefault="00E654B9" w:rsidP="00C130D2">
      <w:pPr>
        <w:rPr>
          <w:rFonts w:cstheme="minorHAnsi"/>
          <w:bCs/>
          <w:szCs w:val="72"/>
          <w:highlight w:val="darkYellow"/>
          <w:lang w:val="sr-Cyrl-RS"/>
        </w:rPr>
      </w:pPr>
      <w:r w:rsidRPr="008E2FD8">
        <w:rPr>
          <w:rFonts w:cstheme="minorHAnsi"/>
          <w:bCs/>
          <w:szCs w:val="72"/>
          <w:lang w:val="sr-Cyrl-RS"/>
        </w:rPr>
        <w:t xml:space="preserve">Девизне резерве су у марту 2021. године повећане за 852,7 мил. евра и износиле су 14,3 млрд евра, што је било довољно за покривеност новчане масе М1 од 141% и више од шест месеци увоза робе и услуга. Повећање девизних резерви </w:t>
      </w:r>
      <w:r w:rsidR="00BA23FA" w:rsidRPr="00BA23FA">
        <w:rPr>
          <w:rFonts w:cstheme="minorHAnsi"/>
          <w:bCs/>
          <w:szCs w:val="72"/>
          <w:lang w:val="sr-Cyrl-RS"/>
        </w:rPr>
        <w:t>НБС</w:t>
      </w:r>
      <w:r w:rsidR="00BA23FA" w:rsidRPr="008E2FD8">
        <w:rPr>
          <w:rFonts w:cstheme="minorHAnsi"/>
          <w:bCs/>
          <w:szCs w:val="72"/>
          <w:lang w:val="sr-Cyrl-RS"/>
        </w:rPr>
        <w:t xml:space="preserve"> </w:t>
      </w:r>
      <w:r w:rsidRPr="008E2FD8">
        <w:rPr>
          <w:rFonts w:cstheme="minorHAnsi"/>
          <w:bCs/>
          <w:szCs w:val="72"/>
          <w:lang w:val="sr-Cyrl-RS"/>
        </w:rPr>
        <w:t>резултат је, пре свега, емитовања дванаестогодишње еврообвезнице Републике Србије на међународном финансијском тржишту у номиналном износу од 1,0 млрд евра. У поређењу са мартом 2020. године, девизне резерве НБС су повећане за 1,2 млрд евра.</w:t>
      </w:r>
    </w:p>
    <w:p w14:paraId="05997E06" w14:textId="77777777" w:rsidR="00E654B9" w:rsidRPr="008E2FD8" w:rsidRDefault="00E654B9" w:rsidP="00C130D2">
      <w:pPr>
        <w:pStyle w:val="Caption"/>
        <w:keepNext/>
        <w:rPr>
          <w:rFonts w:cstheme="minorHAnsi"/>
          <w:b w:val="0"/>
          <w:iCs w:val="0"/>
          <w:szCs w:val="22"/>
          <w:lang w:val="sr-Cyrl-RS"/>
        </w:rPr>
      </w:pPr>
      <w:r w:rsidRPr="008E2FD8">
        <w:rPr>
          <w:rFonts w:cstheme="minorHAnsi"/>
          <w:iCs w:val="0"/>
          <w:szCs w:val="22"/>
          <w:lang w:val="sr-Cyrl-RS"/>
        </w:rPr>
        <w:t>Инфлација и референтна каматна стопа, %</w:t>
      </w:r>
    </w:p>
    <w:p w14:paraId="6C846FEA" w14:textId="77777777" w:rsidR="00E654B9" w:rsidRPr="008E2FD8" w:rsidRDefault="00E654B9" w:rsidP="00C130D2">
      <w:pPr>
        <w:rPr>
          <w:rFonts w:cstheme="minorHAnsi"/>
          <w:bCs/>
          <w:szCs w:val="72"/>
          <w:highlight w:val="darkYellow"/>
          <w:lang w:val="sr-Cyrl-RS"/>
        </w:rPr>
      </w:pPr>
      <w:r w:rsidRPr="008E2FD8">
        <w:rPr>
          <w:noProof/>
        </w:rPr>
        <w:drawing>
          <wp:inline distT="0" distB="0" distL="0" distR="0" wp14:anchorId="1BA40919" wp14:editId="7EFDD527">
            <wp:extent cx="2743200" cy="1758315"/>
            <wp:effectExtent l="0" t="0" r="0" b="0"/>
            <wp:docPr id="141" name="Chart 141">
              <a:extLst xmlns:a="http://schemas.openxmlformats.org/drawingml/2006/main">
                <a:ext uri="{FF2B5EF4-FFF2-40B4-BE49-F238E27FC236}">
                  <a16:creationId xmlns:a16="http://schemas.microsoft.com/office/drawing/2014/main" id="{00000000-0008-0000-0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2FC645A4" w14:textId="77777777" w:rsidR="00E654B9" w:rsidRPr="008E2FD8" w:rsidRDefault="00E654B9" w:rsidP="00C130D2">
      <w:pPr>
        <w:rPr>
          <w:rFonts w:cstheme="minorHAnsi"/>
          <w:bCs/>
          <w:szCs w:val="72"/>
          <w:lang w:val="sr-Cyrl-RS"/>
        </w:rPr>
      </w:pPr>
      <w:r w:rsidRPr="008E2FD8">
        <w:rPr>
          <w:rFonts w:cstheme="minorHAnsi"/>
          <w:bCs/>
          <w:sz w:val="16"/>
          <w:szCs w:val="72"/>
          <w:lang w:val="sr-Cyrl-RS"/>
        </w:rPr>
        <w:t>Извор: РЗС и НБС</w:t>
      </w:r>
    </w:p>
    <w:p w14:paraId="646A7221" w14:textId="77777777" w:rsidR="00E654B9" w:rsidRPr="008E2FD8" w:rsidRDefault="00E654B9" w:rsidP="009F3B0F">
      <w:pPr>
        <w:spacing w:line="240" w:lineRule="auto"/>
        <w:rPr>
          <w:rFonts w:cstheme="minorHAnsi"/>
          <w:bCs/>
          <w:szCs w:val="72"/>
          <w:highlight w:val="darkYellow"/>
          <w:lang w:val="sr-Cyrl-RS"/>
        </w:rPr>
      </w:pPr>
      <w:r w:rsidRPr="008E2FD8">
        <w:rPr>
          <w:rFonts w:cstheme="minorHAnsi"/>
          <w:bCs/>
          <w:szCs w:val="72"/>
          <w:lang w:val="sr-Cyrl-RS"/>
        </w:rPr>
        <w:t xml:space="preserve">Као последица раста цена електричне енергије и светских цена нафте у кратком року се очекује раст инфлације. Међутим, услед очекиваног наставка ниских и стабилних инфлационих кретања, као и негативног производног јаза и ниске увозне инфлације, у средњем року се очекује преовладавање дезинфлаторних притисака. Инфлација ће се налазити у доњој половини циљане вредности, а таква кретања ће зависити и од брзине опоравка домаће и стране тражње, </w:t>
      </w:r>
      <w:r w:rsidRPr="008E2FD8">
        <w:rPr>
          <w:rFonts w:cstheme="minorHAnsi"/>
          <w:bCs/>
          <w:szCs w:val="72"/>
          <w:lang w:val="sr-Cyrl-RS"/>
        </w:rPr>
        <w:t>домаћих цена хране и кретања регулисаних цена. Кључни ризици остварења пројекције инфлације односе се на кретања у међународном окружењу, пре свега на брзину опоравка зоне евра, затим на неизвесности у погледу кретања на светском тржишту примарних производа, као и токове капитала према земљама у успону. У наредном периоду очекује се наставак позитивних тенденција у кредитној активности, као резултат досадашњих предузетих мера на подстицању кредитирања, ниских каматних стопа у зони евра, као и очекиваног снажног раста економске активности.</w:t>
      </w:r>
    </w:p>
    <w:p w14:paraId="62A935C0" w14:textId="77777777" w:rsidR="00E654B9" w:rsidRPr="008E2FD8" w:rsidRDefault="00E654B9" w:rsidP="00C130D2">
      <w:pPr>
        <w:pStyle w:val="Caption"/>
        <w:keepNext/>
        <w:rPr>
          <w:rFonts w:cstheme="minorHAnsi"/>
          <w:b w:val="0"/>
          <w:i/>
          <w:iCs w:val="0"/>
          <w:szCs w:val="22"/>
          <w:lang w:val="sr-Cyrl-RS"/>
        </w:rPr>
      </w:pPr>
      <w:r w:rsidRPr="008E2FD8">
        <w:rPr>
          <w:rFonts w:cstheme="minorHAnsi"/>
          <w:iCs w:val="0"/>
          <w:szCs w:val="22"/>
          <w:lang w:val="sr-Cyrl-RS"/>
        </w:rPr>
        <w:t>Пројекција инфлације, %</w:t>
      </w:r>
    </w:p>
    <w:p w14:paraId="107FF7D2" w14:textId="77777777" w:rsidR="00E654B9" w:rsidRPr="008E2FD8" w:rsidRDefault="00337862" w:rsidP="00807FC3">
      <w:pPr>
        <w:spacing w:after="0"/>
        <w:rPr>
          <w:rFonts w:cstheme="minorHAnsi"/>
          <w:sz w:val="16"/>
          <w:szCs w:val="16"/>
          <w:lang w:val="sr-Cyrl-RS"/>
        </w:rPr>
      </w:pPr>
      <w:r w:rsidRPr="008E2FD8">
        <w:rPr>
          <w:noProof/>
        </w:rPr>
        <w:drawing>
          <wp:inline distT="0" distB="0" distL="0" distR="0" wp14:anchorId="6AE72789" wp14:editId="40E4A20A">
            <wp:extent cx="2743200" cy="1687830"/>
            <wp:effectExtent l="0" t="0" r="0" b="7620"/>
            <wp:docPr id="2" name="Chart 2">
              <a:extLst xmlns:a="http://schemas.openxmlformats.org/drawingml/2006/main">
                <a:ext uri="{FF2B5EF4-FFF2-40B4-BE49-F238E27FC236}">
                  <a16:creationId xmlns:a16="http://schemas.microsoft.com/office/drawing/2014/main" id="{00000000-0008-0000-10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852EA70" w14:textId="77777777" w:rsidR="00E654B9" w:rsidRPr="008E2FD8" w:rsidRDefault="00E654B9" w:rsidP="00161001">
      <w:pPr>
        <w:rPr>
          <w:rFonts w:cstheme="minorHAnsi"/>
          <w:bCs/>
          <w:sz w:val="16"/>
          <w:szCs w:val="72"/>
          <w:lang w:val="sr-Cyrl-RS"/>
        </w:rPr>
      </w:pPr>
      <w:r w:rsidRPr="008E2FD8">
        <w:rPr>
          <w:rFonts w:cstheme="minorHAnsi"/>
          <w:bCs/>
          <w:sz w:val="16"/>
          <w:szCs w:val="72"/>
          <w:lang w:val="sr-Cyrl-RS"/>
        </w:rPr>
        <w:t xml:space="preserve">Извор: </w:t>
      </w:r>
      <w:r w:rsidR="00E177B1" w:rsidRPr="00E177B1">
        <w:rPr>
          <w:rFonts w:cstheme="minorHAnsi"/>
          <w:bCs/>
          <w:sz w:val="16"/>
          <w:szCs w:val="72"/>
          <w:lang w:val="sr-Cyrl-RS"/>
        </w:rPr>
        <w:t xml:space="preserve">РЗС </w:t>
      </w:r>
      <w:r w:rsidRPr="008E2FD8">
        <w:rPr>
          <w:rFonts w:cstheme="minorHAnsi"/>
          <w:bCs/>
          <w:sz w:val="16"/>
          <w:szCs w:val="72"/>
          <w:lang w:val="sr-Cyrl-RS"/>
        </w:rPr>
        <w:t>и Министарство финансија</w:t>
      </w:r>
    </w:p>
    <w:p w14:paraId="3FF8988A" w14:textId="77777777" w:rsidR="007A2CD8" w:rsidRPr="008E2FD8" w:rsidRDefault="007A2CD8" w:rsidP="003B4A2C">
      <w:pPr>
        <w:spacing w:before="240"/>
        <w:jc w:val="left"/>
        <w:rPr>
          <w:rFonts w:cstheme="minorHAnsi"/>
          <w:b/>
          <w:color w:val="2F5496" w:themeColor="accent1" w:themeShade="BF"/>
          <w:sz w:val="22"/>
          <w:lang w:val="sr-Cyrl-RS"/>
        </w:rPr>
      </w:pPr>
      <w:r w:rsidRPr="008E2FD8">
        <w:rPr>
          <w:rFonts w:cstheme="minorHAnsi"/>
          <w:b/>
          <w:color w:val="2F5496" w:themeColor="accent1" w:themeShade="BF"/>
          <w:sz w:val="22"/>
          <w:lang w:val="sr-Cyrl-RS"/>
        </w:rPr>
        <w:t>Екстерни сектор</w:t>
      </w:r>
    </w:p>
    <w:p w14:paraId="3F00B568" w14:textId="77777777" w:rsidR="007A2CD8" w:rsidRPr="008E2FD8" w:rsidRDefault="007A2CD8" w:rsidP="00161001">
      <w:pPr>
        <w:rPr>
          <w:rFonts w:cstheme="minorHAnsi"/>
          <w:szCs w:val="20"/>
          <w:lang w:val="sr-Cyrl-RS"/>
        </w:rPr>
      </w:pPr>
      <w:r w:rsidRPr="008E2FD8">
        <w:rPr>
          <w:rFonts w:cstheme="minorHAnsi"/>
          <w:szCs w:val="20"/>
          <w:lang w:val="sr-Cyrl-RS"/>
        </w:rPr>
        <w:t>Пандемија која је задесила глобалну економију као и последице „закључавања</w:t>
      </w:r>
      <w:r w:rsidR="00DF60D3" w:rsidRPr="008E2FD8">
        <w:rPr>
          <w:rFonts w:cstheme="minorHAnsi"/>
          <w:szCs w:val="20"/>
          <w:lang w:val="sr-Cyrl-RS"/>
        </w:rPr>
        <w:t>”</w:t>
      </w:r>
      <w:r w:rsidRPr="008E2FD8">
        <w:rPr>
          <w:rFonts w:cstheme="minorHAnsi"/>
          <w:szCs w:val="20"/>
          <w:lang w:val="sr-Cyrl-RS"/>
        </w:rPr>
        <w:t xml:space="preserve"> привреда у великој мери одразиле су се на кретања у спољној трговини током претходне године, а посебно у другом кварталу. Међутим, опоравак спољнотрговинске активности започет је већ током трећег тромесечја услед побољшања епидемиолошке ситуације, ублажавања мера, као и постепеног отварања економија. У таквим околностима обим спољнотрговинске робне размене у 2020. години смањен је за само 3,4%, уз пад извоза од 2,8% и увоза за 3,8%.</w:t>
      </w:r>
    </w:p>
    <w:p w14:paraId="193C375E" w14:textId="77777777" w:rsidR="007A2CD8" w:rsidRPr="008E2FD8" w:rsidRDefault="007A2CD8" w:rsidP="00161001">
      <w:pPr>
        <w:rPr>
          <w:rFonts w:cstheme="minorHAnsi"/>
          <w:szCs w:val="20"/>
          <w:lang w:val="sr-Cyrl-RS"/>
        </w:rPr>
      </w:pPr>
      <w:r w:rsidRPr="008E2FD8">
        <w:rPr>
          <w:rFonts w:cstheme="minorHAnsi"/>
          <w:szCs w:val="20"/>
          <w:lang w:val="sr-Cyrl-RS"/>
        </w:rPr>
        <w:t xml:space="preserve">Диверсификација производа и тржишта на којима се пласирају домаћи производи уз опоравак спољне тражње имали су значајну улогу у побољшању извозне активности у другој половини 2020. године. Након оштрог пада у другом кварталу од скоро 20%, извоз је међугодишње посматрано већ у наредном тромесечју забележио стагнативна кретања, да би </w:t>
      </w:r>
      <w:r w:rsidRPr="008E2FD8">
        <w:rPr>
          <w:rFonts w:cstheme="minorHAnsi"/>
          <w:szCs w:val="20"/>
          <w:lang w:val="sr-Cyrl-RS"/>
        </w:rPr>
        <w:lastRenderedPageBreak/>
        <w:t>се у четвртом кварталу вратио на путању раста и био већи за 6,8% уз двоцифрене стопе раста појединих најзначајнијих прерађивачких делатности. Ипак, оваква динамика није била довољна да се посматрано на годишњем нивоу спречи пад извоза прерађивачког сектора од 5%. Најзначајнији негативан допринос забележиле су</w:t>
      </w:r>
      <w:r w:rsidRPr="008E2FD8">
        <w:rPr>
          <w:rFonts w:cstheme="minorHAnsi"/>
          <w:color w:val="FF0000"/>
          <w:szCs w:val="20"/>
          <w:lang w:val="sr-Cyrl-RS"/>
        </w:rPr>
        <w:t xml:space="preserve"> </w:t>
      </w:r>
      <w:r w:rsidRPr="008E2FD8">
        <w:rPr>
          <w:rFonts w:cstheme="minorHAnsi"/>
          <w:szCs w:val="20"/>
          <w:lang w:val="sr-Cyrl-RS"/>
        </w:rPr>
        <w:t>метална и аутомобилске индустрија, али и смањени извоз деривата нафте. Са друге стране на ублажавање пада укупне извозне активности, утицао је сектор пољопривреде који је забележио повећање извоза од 20,0%, као и рударство чија је вредност извоза више него удвостручена.</w:t>
      </w:r>
    </w:p>
    <w:p w14:paraId="3624C9CC" w14:textId="77777777" w:rsidR="007A2CD8" w:rsidRPr="008E2FD8" w:rsidRDefault="007A2CD8" w:rsidP="00161001">
      <w:pPr>
        <w:rPr>
          <w:rFonts w:cstheme="minorHAnsi"/>
          <w:szCs w:val="20"/>
          <w:lang w:val="sr-Cyrl-RS"/>
        </w:rPr>
      </w:pPr>
      <w:r w:rsidRPr="008E2FD8">
        <w:rPr>
          <w:rFonts w:cstheme="minorHAnsi"/>
          <w:szCs w:val="20"/>
          <w:lang w:val="sr-Cyrl-RS"/>
        </w:rPr>
        <w:t>Пад робног увоза током 2020. године последица је смањених потреба привреде за сировинама и репроматеријалом услед мањег обима економске активности, али и ниже цене нафте. У супротном смеру деловао је повећан увоз потрошне робе и средстава за рад, од 8,3% и 1,6%, респективно, пре свега као резултат огромних издатака државе за набавку материјала и опреме неопходних за здравствене потребе, али и нешто мањих инвестиција приватног сектора. Оваква извозно-увозна динамика имала је за последицу смањење трговинског дефицита за 6,9% у односу на 2019. годину, док је покривеност увоза извозом већа за 0,8 п.п. и износила је 74,3%.</w:t>
      </w:r>
    </w:p>
    <w:p w14:paraId="3C5E56E0" w14:textId="77777777" w:rsidR="007A2CD8" w:rsidRPr="008E2FD8" w:rsidRDefault="007A2CD8" w:rsidP="00161001">
      <w:pPr>
        <w:pStyle w:val="NoSpacing"/>
        <w:jc w:val="center"/>
        <w:rPr>
          <w:rFonts w:cstheme="minorHAnsi"/>
          <w:color w:val="002060"/>
          <w:lang w:val="sr-Cyrl-RS"/>
        </w:rPr>
      </w:pPr>
      <w:r w:rsidRPr="008E2FD8">
        <w:rPr>
          <w:rFonts w:cstheme="minorHAnsi"/>
          <w:color w:val="002060"/>
          <w:lang w:val="sr-Cyrl-RS"/>
        </w:rPr>
        <w:t>Доприноси стопи раста увоза, економска намена, п.п.</w:t>
      </w:r>
    </w:p>
    <w:p w14:paraId="0A3798F5" w14:textId="77777777" w:rsidR="007A2CD8" w:rsidRPr="008E2FD8" w:rsidRDefault="007A2CD8" w:rsidP="00161001">
      <w:pPr>
        <w:pStyle w:val="NoSpacing"/>
        <w:jc w:val="center"/>
        <w:rPr>
          <w:rFonts w:cstheme="minorHAnsi"/>
          <w:color w:val="44546A" w:themeColor="text2"/>
          <w:lang w:val="sr-Cyrl-RS"/>
        </w:rPr>
      </w:pPr>
      <w:r w:rsidRPr="008E2FD8">
        <w:rPr>
          <w:noProof/>
        </w:rPr>
        <w:drawing>
          <wp:inline distT="0" distB="0" distL="0" distR="0" wp14:anchorId="1E29296F" wp14:editId="2C274BF6">
            <wp:extent cx="2740819" cy="1980000"/>
            <wp:effectExtent l="0" t="0" r="2540" b="1270"/>
            <wp:docPr id="143" name="Chart 143">
              <a:extLst xmlns:a="http://schemas.openxmlformats.org/drawingml/2006/main">
                <a:ext uri="{FF2B5EF4-FFF2-40B4-BE49-F238E27FC236}">
                  <a16:creationId xmlns:a16="http://schemas.microsoft.com/office/drawing/2014/main" id="{00000000-0008-0000-1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1F3B0B8" w14:textId="77777777" w:rsidR="007A2CD8" w:rsidRPr="008E2FD8" w:rsidRDefault="007A2CD8" w:rsidP="00807FC3">
      <w:pPr>
        <w:spacing w:before="120"/>
        <w:rPr>
          <w:rFonts w:cstheme="minorHAnsi"/>
          <w:bCs/>
          <w:szCs w:val="72"/>
          <w:lang w:val="sr-Cyrl-RS"/>
        </w:rPr>
      </w:pPr>
      <w:r w:rsidRPr="008E2FD8">
        <w:rPr>
          <w:rFonts w:cstheme="minorHAnsi"/>
          <w:bCs/>
          <w:sz w:val="16"/>
          <w:szCs w:val="72"/>
          <w:lang w:val="sr-Cyrl-RS"/>
        </w:rPr>
        <w:t>Извор: РЗС</w:t>
      </w:r>
    </w:p>
    <w:p w14:paraId="4CCF41C8" w14:textId="77777777" w:rsidR="007A2CD8" w:rsidRPr="008E2FD8" w:rsidRDefault="007A2CD8" w:rsidP="00CE729E">
      <w:pPr>
        <w:rPr>
          <w:rFonts w:eastAsia="Times New Roman" w:cstheme="minorHAnsi"/>
          <w:lang w:val="sr-Cyrl-RS"/>
        </w:rPr>
      </w:pPr>
      <w:r w:rsidRPr="008E2FD8">
        <w:rPr>
          <w:rFonts w:eastAsia="Times New Roman" w:cstheme="minorHAnsi"/>
          <w:lang w:val="sr-Cyrl-RS"/>
        </w:rPr>
        <w:t xml:space="preserve">Спољнотрговинска робна размена је током првог квартала 2021. године наставила са позитивним кретањима. Даљи опоравак спољне тражње уз активирање нових производних капацитета резултирао је повећањем робног извоза од 13,8% </w:t>
      </w:r>
      <w:r w:rsidRPr="008E2FD8">
        <w:rPr>
          <w:rFonts w:eastAsia="Times New Roman" w:cstheme="minorHAnsi"/>
          <w:lang w:val="sr-Cyrl-RS"/>
        </w:rPr>
        <w:t>мг. Висок раст у првом кварталу делом је последица и базног ефекта, будући да су неке делатности већ током марта 2020. године значајно смањиле извозну активност. Прерађивачка индустрија је у прва три месеца наставила да буде главни носилац раста извоза, обезбеђујући допринос од 10,3 п.п. који је подржан и већим извозом сектора пољопривреде и рударства. У оквиру прерађивачке индустрије готово све делатности бележе веће вредности извоза, а највећа повећања регистрована су код извоза електричне опреме (35,3%), хемијске (24,5%) и металне индустрије (17,3%), као и код прехрамбене (12,3%) и гумарске индустрије (10,6%). Истовремено увоз робе забележио је благи пад од 0,3% мг. као последица нешто мањег увоза опреме и репроматеријала.</w:t>
      </w:r>
      <w:r w:rsidRPr="008E2FD8">
        <w:rPr>
          <w:rFonts w:eastAsia="Times New Roman" w:cstheme="minorHAnsi"/>
          <w:color w:val="FF0000"/>
          <w:lang w:val="sr-Cyrl-RS"/>
        </w:rPr>
        <w:t xml:space="preserve"> </w:t>
      </w:r>
      <w:r w:rsidRPr="008E2FD8">
        <w:rPr>
          <w:rFonts w:eastAsia="Times New Roman" w:cstheme="minorHAnsi"/>
          <w:lang w:val="sr-Cyrl-RS"/>
        </w:rPr>
        <w:t>У супротном смеру деловао је увоз потрошне робе који је повећан за 3,4% мг услед опоравка личне потрошње домаћинства. Оваква кретања у спољнотрговинској размени током</w:t>
      </w:r>
      <w:r w:rsidRPr="008E2FD8">
        <w:rPr>
          <w:rFonts w:cstheme="minorHAnsi"/>
          <w:lang w:val="sr-Cyrl-RS"/>
        </w:rPr>
        <w:t xml:space="preserve"> првог квартала 2021. године имала су за резултат смањење дефицита робне размене за 34,6% мг, као и повећање покривености увоза извозом са 70,8% на 80,8%.</w:t>
      </w:r>
    </w:p>
    <w:p w14:paraId="461B85AD" w14:textId="77777777" w:rsidR="007A2CD8" w:rsidRPr="008E2FD8" w:rsidRDefault="007A2CD8" w:rsidP="00161001">
      <w:pPr>
        <w:spacing w:after="60"/>
        <w:rPr>
          <w:rFonts w:cstheme="minorHAnsi"/>
          <w:bCs/>
          <w:spacing w:val="-2"/>
          <w:szCs w:val="72"/>
          <w:lang w:val="sr-Cyrl-RS"/>
        </w:rPr>
      </w:pPr>
      <w:r w:rsidRPr="008E2FD8">
        <w:rPr>
          <w:rFonts w:cstheme="minorHAnsi"/>
          <w:bCs/>
          <w:spacing w:val="-2"/>
          <w:szCs w:val="72"/>
          <w:lang w:val="sr-Cyrl-RS"/>
        </w:rPr>
        <w:t>Најважнији спољнотрговински партнери током прва три месеца 2021. године и даље су земље ЕУ, на које се односило 67,3% укупног извоза и 60,4% укупног увоза. Највећи део укупног извоза (41%) у том периоду био је усмерен на тржиште пет земаља: Немачка, Италија, Румунија, БиХ и Мађарска. Увоз из Немачке, Кине, Италије, Мађарске и Турске чинио је 44,7% укупног увоза.</w:t>
      </w:r>
    </w:p>
    <w:p w14:paraId="28E40688" w14:textId="77777777" w:rsidR="007A2CD8" w:rsidRPr="008E2FD8" w:rsidRDefault="007A2CD8" w:rsidP="00161001">
      <w:pPr>
        <w:pStyle w:val="NoSpacing"/>
        <w:jc w:val="center"/>
        <w:rPr>
          <w:rFonts w:cstheme="minorHAnsi"/>
          <w:color w:val="002060"/>
          <w:lang w:val="sr-Cyrl-RS"/>
        </w:rPr>
      </w:pPr>
      <w:r w:rsidRPr="008E2FD8">
        <w:rPr>
          <w:rFonts w:cstheme="minorHAnsi"/>
          <w:color w:val="002060"/>
          <w:lang w:val="sr-Cyrl-RS"/>
        </w:rPr>
        <w:t>Робна размена, мил. ЕУР</w:t>
      </w:r>
    </w:p>
    <w:p w14:paraId="4EDB4A39" w14:textId="77777777" w:rsidR="007A2CD8" w:rsidRPr="008E2FD8" w:rsidRDefault="007A2CD8" w:rsidP="00161001">
      <w:pPr>
        <w:pStyle w:val="NoSpacing"/>
        <w:jc w:val="center"/>
        <w:rPr>
          <w:rFonts w:cstheme="minorHAnsi"/>
          <w:b w:val="0"/>
          <w:color w:val="44546A" w:themeColor="text2"/>
          <w:lang w:val="sr-Cyrl-RS"/>
        </w:rPr>
      </w:pPr>
      <w:r w:rsidRPr="008E2FD8">
        <w:rPr>
          <w:noProof/>
        </w:rPr>
        <w:drawing>
          <wp:inline distT="0" distB="0" distL="0" distR="0" wp14:anchorId="7A99DE87" wp14:editId="7BFAC9CA">
            <wp:extent cx="2743200" cy="1659255"/>
            <wp:effectExtent l="0" t="0" r="0" b="0"/>
            <wp:docPr id="144" name="Chart 144">
              <a:extLst xmlns:a="http://schemas.openxmlformats.org/drawingml/2006/main">
                <a:ext uri="{FF2B5EF4-FFF2-40B4-BE49-F238E27FC236}">
                  <a16:creationId xmlns:a16="http://schemas.microsoft.com/office/drawing/2014/main" id="{00000000-0008-0000-1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4DBB5D19" w14:textId="77777777" w:rsidR="007A2CD8" w:rsidRPr="008E2FD8" w:rsidRDefault="007A2CD8" w:rsidP="00161001">
      <w:pPr>
        <w:spacing w:before="40"/>
        <w:rPr>
          <w:rFonts w:cstheme="minorHAnsi"/>
          <w:sz w:val="16"/>
          <w:lang w:val="sr-Cyrl-RS"/>
        </w:rPr>
      </w:pPr>
      <w:r w:rsidRPr="008E2FD8">
        <w:rPr>
          <w:rFonts w:cstheme="minorHAnsi"/>
          <w:sz w:val="16"/>
          <w:lang w:val="sr-Cyrl-RS"/>
        </w:rPr>
        <w:t>Извор: РЗС</w:t>
      </w:r>
    </w:p>
    <w:p w14:paraId="27EF739B" w14:textId="77777777" w:rsidR="007A2CD8" w:rsidRPr="008E2FD8" w:rsidRDefault="007A2CD8" w:rsidP="00161001">
      <w:pPr>
        <w:rPr>
          <w:rFonts w:eastAsia="Times New Roman" w:cstheme="minorHAnsi"/>
          <w:szCs w:val="24"/>
          <w:lang w:val="sr-Cyrl-RS"/>
        </w:rPr>
      </w:pPr>
      <w:r w:rsidRPr="008E2FD8">
        <w:rPr>
          <w:rFonts w:cstheme="minorHAnsi"/>
          <w:bCs/>
          <w:szCs w:val="72"/>
          <w:lang w:val="sr-Cyrl-RS"/>
        </w:rPr>
        <w:t xml:space="preserve">Платнобилансна кретања током 2020. године карактерисао је осетно нижи дефицит текућег рачуна који је био за 37,3% мањи у односу на </w:t>
      </w:r>
      <w:r w:rsidRPr="008E2FD8">
        <w:rPr>
          <w:rFonts w:cstheme="minorHAnsi"/>
          <w:bCs/>
          <w:szCs w:val="72"/>
          <w:lang w:val="sr-Cyrl-RS"/>
        </w:rPr>
        <w:lastRenderedPageBreak/>
        <w:t xml:space="preserve">претходну годину. Робни дефицит износио је 5,2 млрд евра и био је нижи за готово 400 мил. евра, док је суфицит у размени услуга износио 1,1 млрд евра и био је виши за 62,9 мил. евра, пре свега услед повољнијег салда нето извоза туристичких услуга. </w:t>
      </w:r>
      <w:r w:rsidRPr="008E2FD8">
        <w:rPr>
          <w:rFonts w:eastAsia="Times New Roman" w:cstheme="minorHAnsi"/>
          <w:szCs w:val="24"/>
          <w:lang w:val="sr-Cyrl-RS"/>
        </w:rPr>
        <w:t>Нижи расходи по основу доходака од инвестиција имали су за резултат смањење дефицита примарног дохотка за 43,4%, док је суфицит секундарног дохотка био нижи за 9,1%, услед мањег прилива дознака из иностранства. Оваква кретања имала су за резултат смањење учешћа дефицита текућег рачуна у БДП на 4,3% што је за 2,6 п.п. мање у односу на 2019. годину.</w:t>
      </w:r>
    </w:p>
    <w:p w14:paraId="2832CDE3" w14:textId="77777777" w:rsidR="007A2CD8" w:rsidRPr="008E2FD8" w:rsidRDefault="007A2CD8" w:rsidP="00CE729E">
      <w:pPr>
        <w:rPr>
          <w:rFonts w:cstheme="minorHAnsi"/>
          <w:bCs/>
          <w:szCs w:val="72"/>
          <w:lang w:val="sr-Cyrl-RS"/>
        </w:rPr>
      </w:pPr>
      <w:r w:rsidRPr="008E2FD8">
        <w:rPr>
          <w:rFonts w:eastAsia="Times New Roman" w:cstheme="minorHAnsi"/>
          <w:szCs w:val="24"/>
          <w:lang w:val="sr-Cyrl-RS"/>
        </w:rPr>
        <w:t>Нето прилив страних директних инвестиција је у 2020. години остао висок упркос неповољном утицају пандемије и износио је 2,9 млрд евра, односно 6,2% БДП и био је више него довољан за пуну покривеност дефицита текућег рачуна. Посматрано према делатностима, највеће учешће у укупним нето СДИ и даље бележи прерађивачка индустрија, али и финансијски сектор, највећим делом услед приватизације Комерцијалне банке. Посматрано према географском пореклу, из ЕУ је</w:t>
      </w:r>
      <w:r w:rsidRPr="008E2FD8">
        <w:rPr>
          <w:rFonts w:cstheme="minorHAnsi"/>
          <w:bCs/>
          <w:szCs w:val="20"/>
          <w:lang w:val="sr-Cyrl-RS"/>
        </w:rPr>
        <w:t xml:space="preserve"> у овом периоду стигло 67,9% укупних инвестиција</w:t>
      </w:r>
      <w:r w:rsidRPr="008E2FD8">
        <w:rPr>
          <w:rFonts w:eastAsia="Times New Roman" w:cstheme="minorHAnsi"/>
          <w:szCs w:val="20"/>
          <w:lang w:val="sr-Cyrl-RS"/>
        </w:rPr>
        <w:t>, док посматрано по земљама највећи нето прилив страних директних улагања долази из Холандије, Словеније, Кине, Немачке и Аустрије, које чине нешто мање од три четвртине укупних доспелих инвестиција. На крају 2020. године, регистрован је прилив портфолио инвестиција у износу од 1,6 млрд евра, највећим делом услед емитовања 7Г еврообвезнице (2 млрд евра) у мају, која је искоришћена за под</w:t>
      </w:r>
      <w:r w:rsidR="00F752BB">
        <w:rPr>
          <w:rFonts w:eastAsia="Times New Roman" w:cstheme="minorHAnsi"/>
          <w:szCs w:val="20"/>
          <w:lang w:val="sr-Cyrl-RS"/>
        </w:rPr>
        <w:t>ршку привреде у борби са корона</w:t>
      </w:r>
      <w:r w:rsidRPr="008E2FD8">
        <w:rPr>
          <w:rFonts w:eastAsia="Times New Roman" w:cstheme="minorHAnsi"/>
          <w:szCs w:val="20"/>
          <w:lang w:val="sr-Cyrl-RS"/>
        </w:rPr>
        <w:t>вирусом. Са друге стране, друга емисија еврообвезница (1,2 млрд долара) у највећој мери искоришћена је за превремену исплату дела дуга по основу обвезница емитованих 2011. године.</w:t>
      </w:r>
    </w:p>
    <w:p w14:paraId="4011495E" w14:textId="77777777" w:rsidR="007A2CD8" w:rsidRPr="008E2FD8" w:rsidRDefault="007A2CD8" w:rsidP="00CE729E">
      <w:pPr>
        <w:rPr>
          <w:rFonts w:cstheme="minorHAnsi"/>
          <w:bCs/>
          <w:szCs w:val="72"/>
          <w:lang w:val="sr-Cyrl-RS"/>
        </w:rPr>
      </w:pPr>
      <w:r w:rsidRPr="008E2FD8">
        <w:rPr>
          <w:rFonts w:eastAsia="Times New Roman" w:cstheme="minorHAnsi"/>
          <w:szCs w:val="24"/>
          <w:lang w:val="sr-Cyrl-RS"/>
        </w:rPr>
        <w:t>Повољна платнобилансна кретања настављају се и почетком 2021. године. У прва два месеца робни дефицит је био мањи за 43,2% услед раста извоза и пада увоза, док је суфицит на рачуну услуга већи за 70,3%,</w:t>
      </w:r>
      <w:r w:rsidRPr="008E2FD8">
        <w:rPr>
          <w:lang w:val="sr-Cyrl-RS"/>
        </w:rPr>
        <w:t xml:space="preserve"> пре свега као резултат </w:t>
      </w:r>
      <w:r w:rsidRPr="008E2FD8">
        <w:rPr>
          <w:rFonts w:eastAsia="Times New Roman" w:cstheme="minorHAnsi"/>
          <w:szCs w:val="24"/>
          <w:lang w:val="sr-Cyrl-RS"/>
        </w:rPr>
        <w:t xml:space="preserve">већег пада потрошње наших туриста у иностранству него што је пад потрошње иностраних туриста у Србији. </w:t>
      </w:r>
      <w:r w:rsidRPr="008E2FD8">
        <w:rPr>
          <w:rFonts w:cstheme="minorHAnsi"/>
          <w:iCs/>
          <w:szCs w:val="20"/>
          <w:lang w:val="sr-Cyrl-RS"/>
        </w:rPr>
        <w:t xml:space="preserve">Остварен је нижи дефицит примарног дохотка од 48,3% мг. првенствено услед нижих расхода по основу доходака од директних инвестиција. На рачуну секундарног дохотка забележен је суфицит у износу од 578,2 мил. евра, који је међугодишње виши за 6,7%, највећим делом због повећаног прилива по основу дознака. </w:t>
      </w:r>
      <w:r w:rsidRPr="008E2FD8">
        <w:rPr>
          <w:szCs w:val="20"/>
          <w:lang w:val="sr-Cyrl-RS"/>
        </w:rPr>
        <w:t>Очекује се да укупан дефицит текућег рачуна у 2021. години износи око 2,8 млрд евра, односно 5,6% БДП. Са опоравком економије очекује се и убрзање прилива СДИ који ће и током ове године обезбедити пуну покривеност дефицита текућег рачуна.</w:t>
      </w:r>
    </w:p>
    <w:p w14:paraId="7238750F" w14:textId="77777777" w:rsidR="007A2CD8" w:rsidRPr="008E2FD8" w:rsidRDefault="007A2CD8" w:rsidP="00CE729E">
      <w:pPr>
        <w:rPr>
          <w:szCs w:val="20"/>
          <w:lang w:val="sr-Cyrl-RS"/>
        </w:rPr>
      </w:pPr>
      <w:r w:rsidRPr="008E2FD8">
        <w:rPr>
          <w:szCs w:val="20"/>
          <w:lang w:val="sr-Cyrl-RS"/>
        </w:rPr>
        <w:t>Средњорочним макроекономским оквиром за период 2022–2024. године предвиђено је даље побољшање спољнотрговинских токова које се заснива на модернизацији и ширењу производних и извозних капацитета у делатностима разменљивих добара, јачању конкурентности на међународном тржишту и освајању нових тржишних ниша. То ће бити подржано даљим ублажавањем ефеката пандемије у спољном окружењу, као и интензивирањем домаће инвестиционе активности.</w:t>
      </w:r>
    </w:p>
    <w:p w14:paraId="7AEFBF73" w14:textId="77777777" w:rsidR="003B4A2C" w:rsidRDefault="007A2CD8" w:rsidP="00CE729E">
      <w:pPr>
        <w:spacing w:after="120"/>
        <w:rPr>
          <w:szCs w:val="20"/>
          <w:lang w:val="sr-Cyrl-RS"/>
        </w:rPr>
      </w:pPr>
      <w:r w:rsidRPr="008E2FD8">
        <w:rPr>
          <w:spacing w:val="-3"/>
          <w:szCs w:val="20"/>
          <w:lang w:val="sr-Cyrl-RS"/>
        </w:rPr>
        <w:t xml:space="preserve">Раст робног извоза у еврима по просечној стопи од 11,5% и увоза за 9,0% у пројектованом трогодишњем периоду смањиће спољнотрговински </w:t>
      </w:r>
      <w:r w:rsidRPr="008E2FD8">
        <w:rPr>
          <w:szCs w:val="20"/>
          <w:lang w:val="sr-Cyrl-RS"/>
        </w:rPr>
        <w:t>дефицит роба на 9,5% БДП у 2024. години, са овогодишњих 12,0%. Предвиђа се наставак повољних кретања на рачуну услуга, где ће суфицит у пројектованом трогодишњем периоду износити у просеку 1,4 млрд евра. Прилив по основу текућих трансфера износиће у просеку 7,1% БДП годишње, при чему ће приходи од дознака задржати улогу доминантне компоненте. Нето ефекат текућих трансфера и нето факторских плаћања у наредном трогодишњем периоду биће позитиван и износиће око 1,8 млрд евра просечно годишње, што ће значајно ублажити дефицит спољнотрговинског биланса роба и услуга. Оваква кретања уз пројектовану динамику економске активности имаће за резултат смањење учешћа дефицита текућег рачуна платног биланса на 4,4% БДП на крају пројекцијског периода.</w:t>
      </w:r>
    </w:p>
    <w:p w14:paraId="5A909A7C" w14:textId="77777777" w:rsidR="00665C9F" w:rsidRPr="008E2FD8" w:rsidRDefault="00665C9F" w:rsidP="00CE729E">
      <w:pPr>
        <w:spacing w:after="120"/>
        <w:rPr>
          <w:szCs w:val="20"/>
          <w:lang w:val="sr-Cyrl-RS"/>
        </w:rPr>
        <w:sectPr w:rsidR="00665C9F" w:rsidRPr="008E2FD8" w:rsidSect="00CE729E">
          <w:headerReference w:type="even" r:id="rId77"/>
          <w:headerReference w:type="default" r:id="rId78"/>
          <w:footerReference w:type="even" r:id="rId79"/>
          <w:footerReference w:type="default" r:id="rId80"/>
          <w:headerReference w:type="first" r:id="rId81"/>
          <w:type w:val="continuous"/>
          <w:pgSz w:w="12240" w:h="15840" w:code="1"/>
          <w:pgMar w:top="1440" w:right="1440" w:bottom="1440" w:left="1440" w:header="720" w:footer="720" w:gutter="0"/>
          <w:cols w:num="2" w:space="720"/>
          <w:docGrid w:linePitch="360"/>
        </w:sectPr>
      </w:pPr>
    </w:p>
    <w:p w14:paraId="78835CB0" w14:textId="77777777" w:rsidR="009F3B0F" w:rsidRPr="008E2FD8" w:rsidRDefault="009F3B0F" w:rsidP="00CE729E">
      <w:pPr>
        <w:spacing w:after="120"/>
        <w:rPr>
          <w:rFonts w:cstheme="minorHAnsi"/>
          <w:bCs/>
          <w:szCs w:val="72"/>
          <w:lang w:val="sr-Cyrl-RS"/>
        </w:rPr>
      </w:pPr>
    </w:p>
    <w:p w14:paraId="6287BD61" w14:textId="77777777" w:rsidR="009F3B0F" w:rsidRPr="008E2FD8" w:rsidRDefault="009F3B0F">
      <w:pPr>
        <w:jc w:val="left"/>
        <w:rPr>
          <w:rFonts w:cstheme="minorHAnsi"/>
          <w:b/>
          <w:color w:val="002060"/>
          <w:lang w:val="sr-Cyrl-RS"/>
        </w:rPr>
      </w:pPr>
      <w:r w:rsidRPr="008E2FD8">
        <w:rPr>
          <w:rFonts w:cstheme="minorHAnsi"/>
          <w:b/>
          <w:color w:val="002060"/>
          <w:lang w:val="sr-Cyrl-RS"/>
        </w:rPr>
        <w:br w:type="page"/>
      </w:r>
    </w:p>
    <w:p w14:paraId="0C790C61" w14:textId="77777777" w:rsidR="007A2CD8" w:rsidRPr="008E2FD8" w:rsidRDefault="007A2CD8" w:rsidP="006E2422">
      <w:pPr>
        <w:jc w:val="center"/>
        <w:rPr>
          <w:rFonts w:cstheme="minorHAnsi"/>
          <w:b/>
          <w:color w:val="002060"/>
          <w:lang w:val="sr-Cyrl-RS"/>
        </w:rPr>
      </w:pPr>
      <w:r w:rsidRPr="008E2FD8">
        <w:rPr>
          <w:rFonts w:cstheme="minorHAnsi"/>
          <w:b/>
          <w:color w:val="002060"/>
          <w:lang w:val="sr-Cyrl-RS"/>
        </w:rPr>
        <w:lastRenderedPageBreak/>
        <w:t>Структура текућег рачуна, % БДП</w:t>
      </w:r>
    </w:p>
    <w:p w14:paraId="1ADCAC6C" w14:textId="77777777" w:rsidR="007A2CD8" w:rsidRPr="008E2FD8" w:rsidRDefault="007A2CD8" w:rsidP="00663DA8">
      <w:pPr>
        <w:rPr>
          <w:rFonts w:cstheme="minorHAnsi"/>
          <w:sz w:val="16"/>
          <w:lang w:val="sr-Cyrl-RS"/>
        </w:rPr>
      </w:pPr>
      <w:r w:rsidRPr="008E2FD8">
        <w:rPr>
          <w:noProof/>
        </w:rPr>
        <w:drawing>
          <wp:inline distT="0" distB="0" distL="0" distR="0" wp14:anchorId="5F1C4830" wp14:editId="5B0A3260">
            <wp:extent cx="2743200" cy="2159635"/>
            <wp:effectExtent l="0" t="0" r="0" b="0"/>
            <wp:docPr id="145" name="Chart 145">
              <a:extLst xmlns:a="http://schemas.openxmlformats.org/drawingml/2006/main">
                <a:ext uri="{FF2B5EF4-FFF2-40B4-BE49-F238E27FC236}">
                  <a16:creationId xmlns:a16="http://schemas.microsoft.com/office/drawing/2014/main" id="{00000000-0008-0000-1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8E2FD8">
        <w:rPr>
          <w:rFonts w:cstheme="minorHAnsi"/>
          <w:sz w:val="16"/>
          <w:lang w:val="sr-Cyrl-RS"/>
        </w:rPr>
        <w:t>Извор: Министарство финансија, НБС, РЗС</w:t>
      </w:r>
    </w:p>
    <w:p w14:paraId="1ECF7424" w14:textId="77777777" w:rsidR="007A2CD8" w:rsidRPr="008E2FD8" w:rsidRDefault="007A2CD8" w:rsidP="006E2422">
      <w:pPr>
        <w:spacing w:after="120"/>
        <w:rPr>
          <w:rFonts w:cstheme="minorHAnsi"/>
          <w:bCs/>
          <w:szCs w:val="72"/>
          <w:lang w:val="sr-Cyrl-RS"/>
        </w:rPr>
      </w:pPr>
      <w:r w:rsidRPr="008E2FD8">
        <w:rPr>
          <w:szCs w:val="20"/>
          <w:lang w:val="sr-Cyrl-RS"/>
        </w:rPr>
        <w:t>Битно је истаћи да ће у структури финансијског рачуна доминирати удео СДИ са учешћем у БДП од 6,1% просечно годишње. Овај прилив ће уједно бити главни извор финансирања дефицита текућег рачуна. Задржана повољна инвестициона перспектива наше земље и раст СДИ, као и њихова даља диверсификација ка сектору разменљивих добара, допринеће наставку раста извоза и јачању спољне и унутрашње макроекономске равнотеже</w:t>
      </w:r>
      <w:r w:rsidRPr="008E2FD8">
        <w:rPr>
          <w:rFonts w:cstheme="minorHAnsi"/>
          <w:bCs/>
          <w:szCs w:val="72"/>
          <w:lang w:val="sr-Cyrl-RS"/>
        </w:rPr>
        <w:t>.</w:t>
      </w:r>
    </w:p>
    <w:p w14:paraId="17A758CE" w14:textId="77777777" w:rsidR="007A2CD8" w:rsidRPr="008E2FD8" w:rsidRDefault="007A2CD8" w:rsidP="006E2422">
      <w:pPr>
        <w:jc w:val="center"/>
        <w:rPr>
          <w:rFonts w:cstheme="minorHAnsi"/>
          <w:bCs/>
          <w:color w:val="002060"/>
          <w:szCs w:val="72"/>
          <w:lang w:val="sr-Cyrl-RS"/>
        </w:rPr>
      </w:pPr>
      <w:r w:rsidRPr="008E2FD8">
        <w:rPr>
          <w:rFonts w:cstheme="minorHAnsi"/>
          <w:b/>
          <w:color w:val="002060"/>
          <w:lang w:val="sr-Cyrl-RS"/>
        </w:rPr>
        <w:t>Дефицит текућег рачуна и СДИ, % БДП</w:t>
      </w:r>
    </w:p>
    <w:p w14:paraId="0A069481" w14:textId="77777777" w:rsidR="007A2CD8" w:rsidRPr="008E2FD8" w:rsidRDefault="007A2CD8" w:rsidP="00161001">
      <w:pPr>
        <w:spacing w:after="120"/>
        <w:rPr>
          <w:lang w:val="sr-Cyrl-RS"/>
        </w:rPr>
      </w:pPr>
      <w:r w:rsidRPr="008E2FD8">
        <w:rPr>
          <w:noProof/>
        </w:rPr>
        <w:drawing>
          <wp:inline distT="0" distB="0" distL="0" distR="0" wp14:anchorId="313B7E05" wp14:editId="525E43EE">
            <wp:extent cx="2743200" cy="2015490"/>
            <wp:effectExtent l="0" t="0" r="0" b="3810"/>
            <wp:docPr id="146" name="Chart 146">
              <a:extLst xmlns:a="http://schemas.openxmlformats.org/drawingml/2006/main">
                <a:ext uri="{FF2B5EF4-FFF2-40B4-BE49-F238E27FC236}">
                  <a16:creationId xmlns:a16="http://schemas.microsoft.com/office/drawing/2014/main" id="{00000000-0008-0000-1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397BDF26" w14:textId="77777777" w:rsidR="007A2CD8" w:rsidRPr="008E2FD8" w:rsidRDefault="007A2CD8" w:rsidP="00161001">
      <w:pPr>
        <w:spacing w:after="120"/>
        <w:rPr>
          <w:lang w:val="sr-Cyrl-RS"/>
        </w:rPr>
      </w:pPr>
      <w:r w:rsidRPr="008E2FD8">
        <w:rPr>
          <w:rFonts w:cstheme="minorHAnsi"/>
          <w:sz w:val="16"/>
          <w:lang w:val="sr-Cyrl-RS"/>
        </w:rPr>
        <w:t>Извор: НБС и Министарство финансија</w:t>
      </w:r>
    </w:p>
    <w:p w14:paraId="602C76D1" w14:textId="77777777" w:rsidR="007A2CD8" w:rsidRPr="008E2FD8" w:rsidRDefault="007A2CD8" w:rsidP="00CE729E">
      <w:pPr>
        <w:rPr>
          <w:szCs w:val="20"/>
          <w:lang w:val="sr-Cyrl-RS"/>
        </w:rPr>
      </w:pPr>
      <w:r w:rsidRPr="008E2FD8">
        <w:rPr>
          <w:szCs w:val="20"/>
          <w:lang w:val="sr-Cyrl-RS"/>
        </w:rPr>
        <w:t>Поједини показатељи екстерне позиције Србије су благо погоршани током 2020. године али и даље одражавају задовољавајућу резистентност српске привреде на финансијске шокове из међународног окружења. Повећани су рацио спољни дуг према извозу и спољни дуг према БДП. На повећање ових индикатора екстерне солвентности највећи утицај имала је продаја државних обвезница на међународном финансијском тржишту у износу од две млрд евра, са циљем помоћи привреди у време пандемије, док су средства прикупљена другом емисијом еврообвезница у 2020. у износу од 1,2 млрд долара у највећој мери искоришћена за превремено враћање дела дуга по основу обвезница емитованих 2011. године. Учешће спољног дуга у извозу роба и услуга у 2020. години износи 138,8%, што је значајно испод критеријума Светске банке од 220% и гарант је одрживости сервисирања.</w:t>
      </w:r>
    </w:p>
    <w:p w14:paraId="24D70ABE" w14:textId="77777777" w:rsidR="006E2422" w:rsidRPr="008E2FD8" w:rsidRDefault="006E2422" w:rsidP="00CE729E">
      <w:pPr>
        <w:rPr>
          <w:szCs w:val="20"/>
          <w:lang w:val="sr-Cyrl-RS"/>
        </w:rPr>
      </w:pPr>
    </w:p>
    <w:p w14:paraId="68C3D431" w14:textId="77777777" w:rsidR="006E2422" w:rsidRPr="008E2FD8" w:rsidRDefault="006E2422" w:rsidP="00CE729E">
      <w:pPr>
        <w:rPr>
          <w:szCs w:val="20"/>
          <w:lang w:val="sr-Cyrl-RS"/>
        </w:rPr>
      </w:pPr>
    </w:p>
    <w:p w14:paraId="3BB04C58" w14:textId="77777777" w:rsidR="006E2422" w:rsidRPr="008E2FD8" w:rsidRDefault="006E2422" w:rsidP="00CE729E">
      <w:pPr>
        <w:rPr>
          <w:szCs w:val="20"/>
          <w:lang w:val="sr-Cyrl-RS"/>
        </w:rPr>
      </w:pPr>
    </w:p>
    <w:p w14:paraId="756D9F10" w14:textId="77777777" w:rsidR="006E2422" w:rsidRPr="008E2FD8" w:rsidRDefault="006E2422" w:rsidP="00CE729E">
      <w:pPr>
        <w:rPr>
          <w:szCs w:val="20"/>
          <w:lang w:val="sr-Cyrl-RS"/>
        </w:rPr>
      </w:pPr>
    </w:p>
    <w:p w14:paraId="097C1384" w14:textId="77777777" w:rsidR="006E2422" w:rsidRPr="008E2FD8" w:rsidRDefault="006E2422" w:rsidP="00CE729E">
      <w:pPr>
        <w:rPr>
          <w:szCs w:val="20"/>
          <w:lang w:val="sr-Cyrl-RS"/>
        </w:rPr>
      </w:pPr>
    </w:p>
    <w:p w14:paraId="7805553D" w14:textId="77777777" w:rsidR="006E2422" w:rsidRPr="008E2FD8" w:rsidRDefault="006E2422" w:rsidP="00CE729E">
      <w:pPr>
        <w:rPr>
          <w:szCs w:val="20"/>
          <w:lang w:val="sr-Cyrl-RS"/>
        </w:rPr>
      </w:pPr>
    </w:p>
    <w:p w14:paraId="7FA3FE64" w14:textId="77777777" w:rsidR="006E2422" w:rsidRPr="008E2FD8" w:rsidRDefault="006E2422" w:rsidP="00CE729E">
      <w:pPr>
        <w:rPr>
          <w:szCs w:val="20"/>
          <w:lang w:val="sr-Cyrl-RS"/>
        </w:rPr>
      </w:pPr>
    </w:p>
    <w:p w14:paraId="51633EA2" w14:textId="77777777" w:rsidR="006E2422" w:rsidRPr="008E2FD8" w:rsidRDefault="006E2422" w:rsidP="00CE729E">
      <w:pPr>
        <w:rPr>
          <w:szCs w:val="20"/>
          <w:lang w:val="sr-Cyrl-RS"/>
        </w:rPr>
      </w:pPr>
    </w:p>
    <w:p w14:paraId="6766B3E0" w14:textId="77777777" w:rsidR="006E2422" w:rsidRPr="008E2FD8" w:rsidRDefault="006E2422" w:rsidP="00CE729E">
      <w:pPr>
        <w:rPr>
          <w:szCs w:val="20"/>
          <w:lang w:val="sr-Cyrl-RS"/>
        </w:rPr>
      </w:pPr>
    </w:p>
    <w:p w14:paraId="6A0F8F36" w14:textId="77777777" w:rsidR="006E2422" w:rsidRPr="008E2FD8" w:rsidRDefault="006E2422" w:rsidP="00CE729E">
      <w:pPr>
        <w:rPr>
          <w:szCs w:val="20"/>
          <w:lang w:val="sr-Cyrl-RS"/>
        </w:rPr>
      </w:pPr>
    </w:p>
    <w:p w14:paraId="71F5E79A" w14:textId="77777777" w:rsidR="006E2422" w:rsidRPr="008E2FD8" w:rsidRDefault="006E2422" w:rsidP="00CE729E">
      <w:pPr>
        <w:rPr>
          <w:szCs w:val="20"/>
          <w:lang w:val="sr-Cyrl-RS"/>
        </w:rPr>
      </w:pPr>
    </w:p>
    <w:p w14:paraId="01C2E8C0" w14:textId="77777777" w:rsidR="006E2422" w:rsidRPr="008E2FD8" w:rsidRDefault="006E2422" w:rsidP="00CE729E">
      <w:pPr>
        <w:rPr>
          <w:szCs w:val="20"/>
          <w:lang w:val="sr-Cyrl-RS"/>
        </w:rPr>
      </w:pPr>
    </w:p>
    <w:p w14:paraId="2D67AD25" w14:textId="77777777" w:rsidR="006E2422" w:rsidRPr="008E2FD8" w:rsidRDefault="006E2422" w:rsidP="00CE729E">
      <w:pPr>
        <w:rPr>
          <w:sz w:val="16"/>
          <w:szCs w:val="16"/>
          <w:lang w:val="sr-Cyrl-RS"/>
        </w:rPr>
      </w:pPr>
    </w:p>
    <w:p w14:paraId="7D6A4267" w14:textId="77777777" w:rsidR="006E2422" w:rsidRPr="008E2FD8" w:rsidRDefault="006E2422" w:rsidP="00CE729E">
      <w:pPr>
        <w:rPr>
          <w:sz w:val="16"/>
          <w:szCs w:val="16"/>
          <w:lang w:val="sr-Cyrl-RS"/>
        </w:rPr>
        <w:sectPr w:rsidR="006E2422" w:rsidRPr="008E2FD8" w:rsidSect="00CE729E">
          <w:type w:val="continuous"/>
          <w:pgSz w:w="12240" w:h="15840" w:code="1"/>
          <w:pgMar w:top="1440" w:right="1440" w:bottom="1440" w:left="1440" w:header="720" w:footer="720" w:gutter="0"/>
          <w:cols w:num="2" w:space="720"/>
          <w:docGrid w:linePitch="360"/>
        </w:sectPr>
      </w:pPr>
    </w:p>
    <w:p w14:paraId="708251B7" w14:textId="77777777" w:rsidR="006E2422" w:rsidRPr="008E2FD8" w:rsidRDefault="006E2422">
      <w:pPr>
        <w:jc w:val="left"/>
        <w:rPr>
          <w:rFonts w:eastAsiaTheme="majorEastAsia" w:cstheme="minorHAnsi"/>
          <w:b/>
          <w:color w:val="2F5496" w:themeColor="accent1" w:themeShade="BF"/>
          <w:sz w:val="24"/>
          <w:szCs w:val="24"/>
          <w:lang w:val="sr-Cyrl-RS"/>
        </w:rPr>
      </w:pPr>
      <w:r w:rsidRPr="008E2FD8">
        <w:rPr>
          <w:rFonts w:cstheme="minorHAnsi"/>
          <w:b/>
          <w:sz w:val="24"/>
          <w:szCs w:val="24"/>
          <w:lang w:val="sr-Cyrl-RS"/>
        </w:rPr>
        <w:br w:type="page"/>
      </w:r>
    </w:p>
    <w:p w14:paraId="5285D3B0" w14:textId="77777777" w:rsidR="002931F2" w:rsidRPr="008E2FD8" w:rsidRDefault="002931F2" w:rsidP="001476C8">
      <w:pPr>
        <w:pStyle w:val="Heading2"/>
        <w:jc w:val="center"/>
        <w:rPr>
          <w:rFonts w:asciiTheme="minorHAnsi" w:hAnsiTheme="minorHAnsi" w:cstheme="minorHAnsi"/>
          <w:b/>
          <w:sz w:val="24"/>
          <w:szCs w:val="24"/>
          <w:lang w:val="sr-Cyrl-RS"/>
        </w:rPr>
      </w:pPr>
      <w:bookmarkStart w:id="7" w:name="_Toc73364965"/>
      <w:r w:rsidRPr="008E2FD8">
        <w:rPr>
          <w:rFonts w:asciiTheme="minorHAnsi" w:hAnsiTheme="minorHAnsi" w:cstheme="minorHAnsi"/>
          <w:b/>
          <w:sz w:val="24"/>
          <w:szCs w:val="24"/>
          <w:lang w:val="sr-Cyrl-RS"/>
        </w:rPr>
        <w:lastRenderedPageBreak/>
        <w:t>4. Ризици остваривања пројекције кретања БДП Републике Србије</w:t>
      </w:r>
      <w:r w:rsidRPr="008E2FD8">
        <w:rPr>
          <w:rFonts w:asciiTheme="minorHAnsi" w:hAnsiTheme="minorHAnsi" w:cstheme="minorHAnsi"/>
          <w:b/>
          <w:sz w:val="24"/>
          <w:szCs w:val="24"/>
          <w:lang w:val="sr-Cyrl-RS"/>
        </w:rPr>
        <w:br w:type="textWrapping" w:clear="all"/>
        <w:t>у периоду 2022–2024. година</w:t>
      </w:r>
      <w:bookmarkEnd w:id="7"/>
    </w:p>
    <w:p w14:paraId="7316EAAA" w14:textId="77777777" w:rsidR="002931F2" w:rsidRPr="008E2FD8" w:rsidRDefault="002931F2" w:rsidP="001476C8">
      <w:pPr>
        <w:spacing w:after="40"/>
        <w:rPr>
          <w:color w:val="auto"/>
          <w:lang w:val="sr-Cyrl-RS"/>
        </w:rPr>
      </w:pPr>
    </w:p>
    <w:p w14:paraId="513572E5" w14:textId="77777777" w:rsidR="002931F2" w:rsidRPr="008E2FD8" w:rsidRDefault="002931F2" w:rsidP="001476C8">
      <w:pPr>
        <w:spacing w:after="40"/>
        <w:jc w:val="center"/>
        <w:rPr>
          <w:color w:val="auto"/>
          <w:lang w:val="sr-Cyrl-RS"/>
        </w:rPr>
        <w:sectPr w:rsidR="002931F2" w:rsidRPr="008E2FD8" w:rsidSect="00D91A27">
          <w:headerReference w:type="even" r:id="rId84"/>
          <w:footerReference w:type="even" r:id="rId85"/>
          <w:footerReference w:type="default" r:id="rId86"/>
          <w:headerReference w:type="first" r:id="rId87"/>
          <w:type w:val="continuous"/>
          <w:pgSz w:w="12240" w:h="15840"/>
          <w:pgMar w:top="1440" w:right="1440" w:bottom="1440" w:left="1440" w:header="720" w:footer="720" w:gutter="0"/>
          <w:cols w:space="720"/>
          <w:docGrid w:linePitch="360"/>
        </w:sectPr>
      </w:pPr>
    </w:p>
    <w:p w14:paraId="0A858DD7" w14:textId="77777777" w:rsidR="002931F2" w:rsidRPr="008E2FD8" w:rsidRDefault="002931F2" w:rsidP="00163ABC">
      <w:pPr>
        <w:rPr>
          <w:rFonts w:cstheme="minorHAnsi"/>
          <w:bCs/>
          <w:szCs w:val="72"/>
          <w:lang w:val="sr-Cyrl-RS"/>
        </w:rPr>
      </w:pPr>
      <w:r w:rsidRPr="008E2FD8">
        <w:rPr>
          <w:rFonts w:cstheme="minorHAnsi"/>
          <w:bCs/>
          <w:szCs w:val="72"/>
          <w:lang w:val="sr-Cyrl-RS"/>
        </w:rPr>
        <w:t>Средњорочни сценарио кретања привредне активности Републике Србије праћен је бројним ризицима како из међународног окружења, тако и по основу домаћих фактора.</w:t>
      </w:r>
    </w:p>
    <w:p w14:paraId="409F31FE" w14:textId="77777777" w:rsidR="002931F2" w:rsidRPr="008E2FD8" w:rsidRDefault="002931F2" w:rsidP="00CE729E">
      <w:pPr>
        <w:rPr>
          <w:rFonts w:cstheme="minorHAnsi"/>
          <w:bCs/>
          <w:szCs w:val="72"/>
          <w:lang w:val="sr-Cyrl-RS"/>
        </w:rPr>
      </w:pPr>
      <w:r w:rsidRPr="008E2FD8">
        <w:rPr>
          <w:rFonts w:cstheme="minorHAnsi"/>
          <w:bCs/>
          <w:szCs w:val="72"/>
          <w:lang w:val="sr-Cyrl-RS"/>
        </w:rPr>
        <w:t>Ризици макроекономског оквира</w:t>
      </w:r>
      <w:r w:rsidRPr="008E2FD8">
        <w:rPr>
          <w:color w:val="auto"/>
          <w:lang w:val="sr-Cyrl-RS"/>
        </w:rPr>
        <w:t xml:space="preserve"> </w:t>
      </w:r>
      <w:r w:rsidRPr="008E2FD8">
        <w:rPr>
          <w:rFonts w:cstheme="minorHAnsi"/>
          <w:bCs/>
          <w:szCs w:val="72"/>
          <w:lang w:val="sr-Cyrl-RS"/>
        </w:rPr>
        <w:t>у највећој мери потичу од неизвесности у погледу тока пандемије на светском нивоу и ефикасности у њеном сузбијању</w:t>
      </w:r>
      <w:r w:rsidR="00440D31" w:rsidRPr="008E2FD8">
        <w:rPr>
          <w:rFonts w:cstheme="minorHAnsi"/>
          <w:bCs/>
          <w:szCs w:val="72"/>
          <w:lang w:val="sr-Cyrl-RS"/>
        </w:rPr>
        <w:t>.</w:t>
      </w:r>
    </w:p>
    <w:p w14:paraId="364DC2A7" w14:textId="77777777" w:rsidR="002931F2" w:rsidRPr="008E2FD8" w:rsidRDefault="002931F2" w:rsidP="00CE729E">
      <w:pPr>
        <w:rPr>
          <w:rFonts w:cstheme="minorHAnsi"/>
          <w:bCs/>
          <w:szCs w:val="72"/>
          <w:lang w:val="sr-Cyrl-RS"/>
        </w:rPr>
      </w:pPr>
      <w:r w:rsidRPr="008E2FD8">
        <w:rPr>
          <w:rFonts w:cstheme="minorHAnsi"/>
          <w:bCs/>
          <w:szCs w:val="72"/>
          <w:lang w:val="sr-Cyrl-RS"/>
        </w:rPr>
        <w:t xml:space="preserve">Основним макроекономским сценаријем </w:t>
      </w:r>
      <w:r w:rsidR="008354FF">
        <w:rPr>
          <w:rFonts w:cstheme="minorHAnsi"/>
          <w:bCs/>
          <w:szCs w:val="72"/>
          <w:lang w:val="sr-Cyrl-RS"/>
        </w:rPr>
        <w:t>претпостављено</w:t>
      </w:r>
      <w:r w:rsidRPr="008E2FD8">
        <w:rPr>
          <w:rFonts w:cstheme="minorHAnsi"/>
          <w:bCs/>
          <w:szCs w:val="72"/>
          <w:lang w:val="sr-Cyrl-RS"/>
        </w:rPr>
        <w:t xml:space="preserve"> је да ће утицај пандемије слабити током 2021. године како</w:t>
      </w:r>
      <w:r w:rsidRPr="008E2FD8">
        <w:rPr>
          <w:color w:val="auto"/>
          <w:lang w:val="sr-Cyrl-RS"/>
        </w:rPr>
        <w:t xml:space="preserve"> </w:t>
      </w:r>
      <w:r w:rsidRPr="008E2FD8">
        <w:rPr>
          <w:rFonts w:cstheme="minorHAnsi"/>
          <w:bCs/>
          <w:szCs w:val="72"/>
          <w:lang w:val="sr-Cyrl-RS"/>
        </w:rPr>
        <w:t>трансмисија вируса буде слабила и ка</w:t>
      </w:r>
      <w:r w:rsidR="00141A18" w:rsidRPr="008E2FD8">
        <w:rPr>
          <w:rFonts w:cstheme="minorHAnsi"/>
          <w:bCs/>
          <w:szCs w:val="72"/>
          <w:lang w:val="sr-Cyrl-RS"/>
        </w:rPr>
        <w:t>ко буде расла употреба вакцине.</w:t>
      </w:r>
      <w:r w:rsidRPr="008E2FD8">
        <w:rPr>
          <w:rFonts w:cstheme="minorHAnsi"/>
          <w:bCs/>
          <w:szCs w:val="72"/>
          <w:lang w:val="sr-Cyrl-RS"/>
        </w:rPr>
        <w:t xml:space="preserve"> У супротном, погоршање епидемиолошке ситуације и увођење додатних рестриктивних мера водило би даљим рецесионим трендовима. Опоравак еврозоне и региона централне и југоисточне Европе, наших најзначајнијих спољнотрговинских партнера, у наредном периоду ће зависити од ефикасности здравствених мера, али и од могућности коришћења и домета фискалних и монетарних подстицаја чији је</w:t>
      </w:r>
      <w:r w:rsidRPr="008E2FD8">
        <w:rPr>
          <w:color w:val="auto"/>
          <w:lang w:val="sr-Cyrl-RS"/>
        </w:rPr>
        <w:t xml:space="preserve"> </w:t>
      </w:r>
      <w:r w:rsidRPr="008E2FD8">
        <w:rPr>
          <w:rFonts w:cstheme="minorHAnsi"/>
          <w:bCs/>
          <w:szCs w:val="72"/>
          <w:lang w:val="sr-Cyrl-RS"/>
        </w:rPr>
        <w:t>простор за контрациклично деловање у многим земљама сужен</w:t>
      </w:r>
      <w:r w:rsidR="00440D31" w:rsidRPr="008E2FD8">
        <w:rPr>
          <w:rFonts w:cstheme="minorHAnsi"/>
          <w:bCs/>
          <w:szCs w:val="72"/>
          <w:lang w:val="sr-Cyrl-RS"/>
        </w:rPr>
        <w:t>.</w:t>
      </w:r>
    </w:p>
    <w:p w14:paraId="6031514A" w14:textId="77777777" w:rsidR="002931F2" w:rsidRPr="008E2FD8" w:rsidRDefault="002931F2" w:rsidP="00CE729E">
      <w:pPr>
        <w:rPr>
          <w:rFonts w:cstheme="minorHAnsi"/>
          <w:bCs/>
          <w:szCs w:val="72"/>
          <w:lang w:val="sr-Cyrl-RS"/>
        </w:rPr>
      </w:pPr>
      <w:r w:rsidRPr="008E2FD8">
        <w:rPr>
          <w:rFonts w:cstheme="minorHAnsi"/>
          <w:bCs/>
          <w:szCs w:val="72"/>
          <w:lang w:val="sr-Cyrl-RS"/>
        </w:rPr>
        <w:t xml:space="preserve">У кратком року, егзогене ризике оцењујемо као симетричне. Већа производња и дистрибуција вакцине би требало да пандeмију сведе на прихватљиве оквире и да подстакне бржи од очекиваног опоравака потрошачког и инвестиционог поверења, а тиме и бржи привредни раст. С друге стране, потешкоће у процесу производње и дистрибуције вакцине, с којима се већ суочавају поједине развијене земље, и појава нових сојева вируса, који се брже шире, могли би да продуже трајање рестриктивних здравствених мера и тиме успоре опоравак. Неизвесност на међународном робном и </w:t>
      </w:r>
      <w:r w:rsidR="008354FF">
        <w:rPr>
          <w:rFonts w:cstheme="minorHAnsi"/>
          <w:bCs/>
          <w:szCs w:val="72"/>
          <w:lang w:val="sr-Cyrl-RS"/>
        </w:rPr>
        <w:t>финансијском</w:t>
      </w:r>
      <w:r w:rsidRPr="008E2FD8">
        <w:rPr>
          <w:rFonts w:cstheme="minorHAnsi"/>
          <w:bCs/>
          <w:szCs w:val="72"/>
          <w:lang w:val="sr-Cyrl-RS"/>
        </w:rPr>
        <w:t xml:space="preserve"> тржишту, трговинске тензије и урушено пословно поверење негативно би се одразили на токове капитала. Што се тиче робног тржишта, колабирање цена примарних производа може имати двојак утицај на привредни раст Србије. Кретање цене нафте изнад пројектованог негативно би се одразило на трошкове </w:t>
      </w:r>
      <w:r w:rsidRPr="008E2FD8">
        <w:rPr>
          <w:rFonts w:cstheme="minorHAnsi"/>
          <w:bCs/>
          <w:szCs w:val="72"/>
          <w:lang w:val="sr-Cyrl-RS"/>
        </w:rPr>
        <w:t>производње, али би и променило структуру потрошње домаћинстава повећањем удела увозних добара, што би удружено успорило привредни раст. Србија је задржала улогу нето извозника основних метала и поред смањења извоза, тако да би бржи раст њихових цена погодовао економској активности и донекле неутрализовао ефекте ЕУ мера. Ублажавању негативних ризика допринеће активирање нових и проширење постојећих извозних капацитета, повољнији односи робне размене.</w:t>
      </w:r>
      <w:r w:rsidRPr="008E2FD8">
        <w:rPr>
          <w:color w:val="auto"/>
          <w:lang w:val="sr-Cyrl-RS"/>
        </w:rPr>
        <w:t xml:space="preserve"> </w:t>
      </w:r>
      <w:r w:rsidRPr="008E2FD8">
        <w:rPr>
          <w:rFonts w:cstheme="minorHAnsi"/>
          <w:bCs/>
          <w:szCs w:val="72"/>
          <w:lang w:val="sr-Cyrl-RS"/>
        </w:rPr>
        <w:t>Захваљујући инвестицијама из претходног периода, пре свега у разменљиве секторе, укупан извоз Србије је мање погођен смањеном екстерном тражњом из зоне евра, а индустријски сектор је остао релативно отпоран на шокове из глобалног окружења.</w:t>
      </w:r>
    </w:p>
    <w:p w14:paraId="5F086ECE" w14:textId="77777777" w:rsidR="002931F2" w:rsidRPr="008E2FD8" w:rsidRDefault="002931F2" w:rsidP="00CE729E">
      <w:pPr>
        <w:rPr>
          <w:rFonts w:cstheme="minorHAnsi"/>
          <w:bCs/>
          <w:szCs w:val="72"/>
          <w:lang w:val="sr-Cyrl-RS"/>
        </w:rPr>
      </w:pPr>
      <w:r w:rsidRPr="008E2FD8">
        <w:rPr>
          <w:rFonts w:cstheme="minorHAnsi"/>
          <w:bCs/>
          <w:szCs w:val="72"/>
          <w:lang w:val="sr-Cyrl-RS"/>
        </w:rPr>
        <w:t>Ендогени ризици су идентификовани као израженији навише.</w:t>
      </w:r>
      <w:r w:rsidRPr="008E2FD8">
        <w:rPr>
          <w:color w:val="auto"/>
          <w:lang w:val="sr-Cyrl-RS"/>
        </w:rPr>
        <w:t xml:space="preserve"> </w:t>
      </w:r>
      <w:r w:rsidRPr="008E2FD8">
        <w:rPr>
          <w:rFonts w:cstheme="minorHAnsi"/>
          <w:bCs/>
          <w:szCs w:val="72"/>
          <w:lang w:val="sr-Cyrl-RS"/>
        </w:rPr>
        <w:t>Иако је погоршање епидемиолошке ситуације и привремено затварање економије током 2020. године утицало на уздржавање од потрошње, њен потпун опоравак се очекује у 2021. години. С друге стране, пакет економских мера Владе и НБС очувао је расположиви доходак становништва и постојећа радна места, те обезбедио опоравак бржи од очек</w:t>
      </w:r>
      <w:r w:rsidR="00440D31" w:rsidRPr="008E2FD8">
        <w:rPr>
          <w:rFonts w:cstheme="minorHAnsi"/>
          <w:bCs/>
          <w:szCs w:val="72"/>
          <w:lang w:val="sr-Cyrl-RS"/>
        </w:rPr>
        <w:t>иваног.</w:t>
      </w:r>
    </w:p>
    <w:p w14:paraId="618FB664" w14:textId="77777777" w:rsidR="002931F2" w:rsidRPr="008E2FD8" w:rsidRDefault="002931F2" w:rsidP="00CE729E">
      <w:pPr>
        <w:rPr>
          <w:rFonts w:cstheme="minorHAnsi"/>
          <w:bCs/>
          <w:szCs w:val="72"/>
          <w:lang w:val="sr-Cyrl-RS"/>
        </w:rPr>
      </w:pPr>
      <w:r w:rsidRPr="008E2FD8">
        <w:rPr>
          <w:rFonts w:cstheme="minorHAnsi"/>
          <w:bCs/>
          <w:szCs w:val="72"/>
          <w:lang w:val="sr-Cyrl-RS"/>
        </w:rPr>
        <w:t>Ток пандемије ће определити кретања у услужном сектору, посебно у секторима саобраћаја, угоститељства и туризма. Штета проузрокована пандемијом у овим секторима може се прел</w:t>
      </w:r>
      <w:r w:rsidR="00440D31" w:rsidRPr="008E2FD8">
        <w:rPr>
          <w:rFonts w:cstheme="minorHAnsi"/>
          <w:bCs/>
          <w:szCs w:val="72"/>
          <w:lang w:val="sr-Cyrl-RS"/>
        </w:rPr>
        <w:t>ити и на друге привредне гране.</w:t>
      </w:r>
    </w:p>
    <w:p w14:paraId="61550732" w14:textId="77777777" w:rsidR="002931F2" w:rsidRPr="008E2FD8" w:rsidRDefault="002931F2" w:rsidP="00CE729E">
      <w:pPr>
        <w:rPr>
          <w:rFonts w:cstheme="minorHAnsi"/>
          <w:bCs/>
          <w:szCs w:val="72"/>
          <w:lang w:val="sr-Cyrl-RS"/>
        </w:rPr>
      </w:pPr>
      <w:r w:rsidRPr="008E2FD8">
        <w:rPr>
          <w:rFonts w:cstheme="minorHAnsi"/>
          <w:bCs/>
          <w:szCs w:val="72"/>
          <w:lang w:val="sr-Cyrl-RS"/>
        </w:rPr>
        <w:t xml:space="preserve">Остали фактори из домаћег окружења односе се на волатилност пољопривредне производње, ефикасност у реализацији јавних пројеката и динамику спровођења започетих реформи. Наставак структурних реформи и даља унапређења пословног амбијента требало би да допринесу бржем расту. И поред унапређења и модернизације сектора пољопривреде, производња главних биљних култура и даље је значајно зависна од агрометеоролошких услова, што може довести до битних одступања од вишегодишње просечне пољопривредне </w:t>
      </w:r>
      <w:r w:rsidRPr="008E2FD8">
        <w:rPr>
          <w:rFonts w:cstheme="minorHAnsi"/>
          <w:bCs/>
          <w:szCs w:val="72"/>
          <w:lang w:val="sr-Cyrl-RS"/>
        </w:rPr>
        <w:lastRenderedPageBreak/>
        <w:t>производње на бази које се пројектује кретање овог сектора. У основном сценарију је претпостављен негативан допринос пољопривреде БДП с обзиром на прошлогодишњу одличну сезону. Раст грађевинарства у наредном периоду базиран је на трендним кретањима ове делатности, предикцијским индикаторима и најављеним инвестиционим улагањима државе. Динамика и ефикасност у спровођењу јавних пројеката, након попуштања здравствених мера, као и активности у сегменту изградње зграда и производних капацитета носе са собом симетричне ризике. Кретање индустријске производње у највећој мери опредељено је екстерним факторима. Ипак, електро-енергетски сегмент би могао да допринесе расту изнад очекивања, уколико реформски процеси буду интензивирани, а инвестициона улагања из претходног периода ефектуирана у долазећем периоду. Такође, реформа јавних предузећа основ је за подизање нивоа продуктивности и ефикасности, што би појефтинило производне процесе, подигло конкурентност и проширило инвестиционе капацитете. Динамика спровођења ових реформи јасно се осликава на динамици укупног привредног раста утицајем у истом смеру, брже спровођење реформи носи</w:t>
      </w:r>
      <w:r w:rsidR="00440D31" w:rsidRPr="008E2FD8">
        <w:rPr>
          <w:rFonts w:cstheme="minorHAnsi"/>
          <w:bCs/>
          <w:szCs w:val="72"/>
          <w:lang w:val="sr-Cyrl-RS"/>
        </w:rPr>
        <w:t xml:space="preserve"> бржи привредни раст и обратно.</w:t>
      </w:r>
    </w:p>
    <w:p w14:paraId="16020672" w14:textId="77777777" w:rsidR="002931F2" w:rsidRPr="008E2FD8" w:rsidRDefault="002931F2" w:rsidP="00CE729E">
      <w:pPr>
        <w:rPr>
          <w:rFonts w:cstheme="minorHAnsi"/>
          <w:bCs/>
          <w:szCs w:val="72"/>
          <w:lang w:val="sr-Cyrl-RS"/>
        </w:rPr>
      </w:pPr>
      <w:r w:rsidRPr="008E2FD8">
        <w:rPr>
          <w:rFonts w:cstheme="minorHAnsi"/>
          <w:bCs/>
          <w:szCs w:val="72"/>
          <w:lang w:val="sr-Cyrl-RS"/>
        </w:rPr>
        <w:t>Иако је неутралисањем унутрашњих и спољашњих неравнотежа у претходном периоду повећана резистентност српске привреде на екстерне шокове, не треба губити из вида да смо мала и отворена економија која им је значајно изложена.</w:t>
      </w:r>
    </w:p>
    <w:p w14:paraId="66BE11DD" w14:textId="77777777" w:rsidR="002931F2" w:rsidRPr="008E2FD8" w:rsidRDefault="002931F2" w:rsidP="00CE729E">
      <w:pPr>
        <w:rPr>
          <w:rFonts w:cstheme="minorHAnsi"/>
          <w:bCs/>
          <w:szCs w:val="72"/>
          <w:lang w:val="sr-Cyrl-RS"/>
        </w:rPr>
      </w:pPr>
      <w:r w:rsidRPr="008E2FD8">
        <w:rPr>
          <w:rFonts w:cstheme="minorHAnsi"/>
          <w:bCs/>
          <w:szCs w:val="72"/>
          <w:lang w:val="sr-Cyrl-RS"/>
        </w:rPr>
        <w:t>Повољна макроекономска перспектива земље, унапређен пословни амбијент, задржавање повољних финансијских услова и планирани инвестициони пројекти државе умањиће неизвесност присутну у погледу спремности за инвестициона улагања и</w:t>
      </w:r>
      <w:r w:rsidR="00C74EFE">
        <w:rPr>
          <w:rFonts w:cstheme="minorHAnsi"/>
          <w:bCs/>
          <w:szCs w:val="72"/>
          <w:lang w:val="sr-Cyrl-RS"/>
        </w:rPr>
        <w:t xml:space="preserve"> ширење производних капацитета.</w:t>
      </w:r>
    </w:p>
    <w:p w14:paraId="24C02BF2" w14:textId="77777777" w:rsidR="002931F2" w:rsidRPr="008E2FD8" w:rsidRDefault="002931F2" w:rsidP="0023268B">
      <w:pPr>
        <w:pStyle w:val="Caption"/>
        <w:keepNext/>
        <w:spacing w:after="0"/>
        <w:rPr>
          <w:rFonts w:cstheme="minorHAnsi"/>
          <w:b w:val="0"/>
          <w:i/>
          <w:iCs w:val="0"/>
          <w:szCs w:val="22"/>
          <w:lang w:val="sr-Cyrl-RS"/>
        </w:rPr>
      </w:pPr>
      <w:r w:rsidRPr="008E2FD8">
        <w:rPr>
          <w:rFonts w:cstheme="minorHAnsi"/>
          <w:iCs w:val="0"/>
          <w:szCs w:val="22"/>
          <w:lang w:val="sr-Cyrl-RS"/>
        </w:rPr>
        <w:t xml:space="preserve">Пројекција кретања БДП, међугодишње </w:t>
      </w:r>
      <w:r w:rsidRPr="008E2FD8">
        <w:rPr>
          <w:rFonts w:cstheme="minorHAnsi"/>
          <w:iCs w:val="0"/>
          <w:szCs w:val="22"/>
          <w:lang w:val="sr-Cyrl-RS"/>
        </w:rPr>
        <w:br w:type="textWrapping" w:clear="all"/>
        <w:t>стопе раста, %</w:t>
      </w:r>
    </w:p>
    <w:p w14:paraId="7B62A286" w14:textId="77777777" w:rsidR="002931F2" w:rsidRPr="008E2FD8" w:rsidRDefault="002931F2" w:rsidP="0023268B">
      <w:pPr>
        <w:spacing w:after="120"/>
        <w:rPr>
          <w:rFonts w:cstheme="minorHAnsi"/>
          <w:bCs/>
          <w:sz w:val="16"/>
          <w:szCs w:val="72"/>
          <w:lang w:val="sr-Cyrl-RS"/>
        </w:rPr>
      </w:pPr>
      <w:r w:rsidRPr="008E2FD8">
        <w:rPr>
          <w:noProof/>
        </w:rPr>
        <w:drawing>
          <wp:inline distT="0" distB="0" distL="0" distR="0" wp14:anchorId="0560F18F" wp14:editId="731FA43B">
            <wp:extent cx="2743200" cy="1388745"/>
            <wp:effectExtent l="0" t="0" r="0" b="1905"/>
            <wp:docPr id="147" name="Chart 147">
              <a:extLst xmlns:a="http://schemas.openxmlformats.org/drawingml/2006/main">
                <a:ext uri="{FF2B5EF4-FFF2-40B4-BE49-F238E27FC236}">
                  <a16:creationId xmlns:a16="http://schemas.microsoft.com/office/drawing/2014/main" id="{00000000-0008-0000-08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1201F70D" w14:textId="77777777" w:rsidR="002931F2" w:rsidRPr="008E2FD8" w:rsidRDefault="002931F2" w:rsidP="00B435B3">
      <w:pPr>
        <w:rPr>
          <w:rFonts w:cstheme="minorHAnsi"/>
          <w:bCs/>
          <w:sz w:val="16"/>
          <w:szCs w:val="72"/>
          <w:lang w:val="sr-Cyrl-RS"/>
        </w:rPr>
      </w:pPr>
      <w:r w:rsidRPr="008E2FD8">
        <w:rPr>
          <w:rFonts w:cstheme="minorHAnsi"/>
          <w:bCs/>
          <w:sz w:val="16"/>
          <w:szCs w:val="72"/>
          <w:lang w:val="sr-Cyrl-RS"/>
        </w:rPr>
        <w:t>Извор: Министарство финансија</w:t>
      </w:r>
    </w:p>
    <w:p w14:paraId="706F77AD" w14:textId="77777777" w:rsidR="002931F2" w:rsidRPr="008E2FD8" w:rsidRDefault="002931F2" w:rsidP="00B435B3">
      <w:pPr>
        <w:rPr>
          <w:rFonts w:cstheme="minorHAnsi"/>
          <w:bCs/>
          <w:sz w:val="16"/>
          <w:szCs w:val="72"/>
          <w:lang w:val="sr-Cyrl-RS"/>
        </w:rPr>
      </w:pPr>
    </w:p>
    <w:p w14:paraId="7F4F0C66" w14:textId="77777777" w:rsidR="002931F2" w:rsidRPr="008E2FD8" w:rsidRDefault="002931F2" w:rsidP="00B435B3">
      <w:pPr>
        <w:rPr>
          <w:color w:val="auto"/>
          <w:lang w:val="sr-Cyrl-RS"/>
        </w:rPr>
        <w:sectPr w:rsidR="002931F2" w:rsidRPr="008E2FD8" w:rsidSect="00C130D2">
          <w:headerReference w:type="even" r:id="rId89"/>
          <w:footerReference w:type="even" r:id="rId90"/>
          <w:footerReference w:type="default" r:id="rId91"/>
          <w:headerReference w:type="first" r:id="rId92"/>
          <w:type w:val="continuous"/>
          <w:pgSz w:w="12240" w:h="15840"/>
          <w:pgMar w:top="1440" w:right="1440" w:bottom="1440" w:left="1440" w:header="720" w:footer="720" w:gutter="0"/>
          <w:cols w:num="2" w:space="720"/>
          <w:docGrid w:linePitch="360"/>
          <w15:footnoteColumns w:val="1"/>
        </w:sectPr>
      </w:pPr>
    </w:p>
    <w:bookmarkEnd w:id="3"/>
    <w:bookmarkEnd w:id="4"/>
    <w:p w14:paraId="169B9C45" w14:textId="77777777" w:rsidR="00940807" w:rsidRPr="008E2FD8" w:rsidRDefault="00940807">
      <w:pPr>
        <w:jc w:val="left"/>
        <w:rPr>
          <w:sz w:val="14"/>
          <w:szCs w:val="26"/>
          <w:lang w:val="sr-Cyrl-RS"/>
        </w:rPr>
      </w:pPr>
      <w:r w:rsidRPr="008E2FD8">
        <w:rPr>
          <w:sz w:val="14"/>
          <w:szCs w:val="26"/>
          <w:lang w:val="sr-Cyrl-RS"/>
        </w:rPr>
        <w:br w:type="page"/>
      </w:r>
    </w:p>
    <w:p w14:paraId="6AC6B63D" w14:textId="77777777" w:rsidR="001E3E7D" w:rsidRPr="00EA3D8C" w:rsidRDefault="001E3E7D" w:rsidP="00A70E96">
      <w:pPr>
        <w:pStyle w:val="Heading1"/>
        <w:jc w:val="center"/>
        <w:rPr>
          <w:rFonts w:asciiTheme="minorHAnsi" w:hAnsiTheme="minorHAnsi" w:cstheme="minorHAnsi"/>
          <w:b/>
          <w:sz w:val="24"/>
          <w:szCs w:val="24"/>
          <w:lang w:val="sr-Cyrl-RS"/>
        </w:rPr>
      </w:pPr>
      <w:bookmarkStart w:id="8" w:name="_Toc11155989"/>
      <w:bookmarkStart w:id="9" w:name="_Toc56667074"/>
      <w:bookmarkStart w:id="10" w:name="_Toc73364966"/>
      <w:bookmarkStart w:id="11" w:name="_Toc24119837"/>
      <w:r w:rsidRPr="00EA3D8C">
        <w:rPr>
          <w:rFonts w:asciiTheme="minorHAnsi" w:hAnsiTheme="minorHAnsi" w:cstheme="minorHAnsi"/>
          <w:b/>
          <w:sz w:val="24"/>
          <w:szCs w:val="24"/>
          <w:lang w:val="sr-Cyrl-RS"/>
        </w:rPr>
        <w:lastRenderedPageBreak/>
        <w:t xml:space="preserve">II. </w:t>
      </w:r>
      <w:r>
        <w:rPr>
          <w:rFonts w:asciiTheme="minorHAnsi" w:hAnsiTheme="minorHAnsi" w:cstheme="minorHAnsi"/>
          <w:b/>
          <w:sz w:val="24"/>
          <w:szCs w:val="24"/>
          <w:lang w:val="sr-Cyrl-RS"/>
        </w:rPr>
        <w:t>ФИСКАЛНИ ОКВИР ЗА ПЕРИОД ОД 2022. ДО 2024</w:t>
      </w:r>
      <w:r w:rsidRPr="00EA3D8C">
        <w:rPr>
          <w:rFonts w:asciiTheme="minorHAnsi" w:hAnsiTheme="minorHAnsi" w:cstheme="minorHAnsi"/>
          <w:b/>
          <w:sz w:val="24"/>
          <w:szCs w:val="24"/>
          <w:lang w:val="sr-Cyrl-RS"/>
        </w:rPr>
        <w:t>. ГОДИНЕ</w:t>
      </w:r>
      <w:bookmarkStart w:id="12" w:name="_Toc528909823"/>
      <w:bookmarkStart w:id="13" w:name="_Toc530635104"/>
      <w:bookmarkEnd w:id="8"/>
      <w:bookmarkEnd w:id="9"/>
      <w:bookmarkEnd w:id="10"/>
    </w:p>
    <w:p w14:paraId="644A44AF" w14:textId="77777777" w:rsidR="001E3E7D" w:rsidRPr="00EA3D8C" w:rsidRDefault="001E3E7D" w:rsidP="009E4B86">
      <w:pPr>
        <w:keepNext/>
        <w:keepLines/>
        <w:spacing w:before="40" w:after="360"/>
        <w:jc w:val="center"/>
        <w:outlineLvl w:val="1"/>
        <w:rPr>
          <w:rFonts w:eastAsiaTheme="majorEastAsia" w:cstheme="minorHAnsi"/>
          <w:b/>
          <w:color w:val="2F5496" w:themeColor="accent1" w:themeShade="BF"/>
          <w:sz w:val="24"/>
          <w:szCs w:val="26"/>
          <w:lang w:val="sr-Cyrl-RS"/>
        </w:rPr>
      </w:pPr>
      <w:bookmarkStart w:id="14" w:name="_Toc11155990"/>
      <w:bookmarkStart w:id="15" w:name="_Toc56667075"/>
      <w:bookmarkStart w:id="16" w:name="_Toc73364967"/>
      <w:r w:rsidRPr="00EA3D8C">
        <w:rPr>
          <w:rFonts w:eastAsiaTheme="majorEastAsia" w:cstheme="minorHAnsi"/>
          <w:b/>
          <w:color w:val="2F5496" w:themeColor="accent1" w:themeShade="BF"/>
          <w:sz w:val="24"/>
          <w:szCs w:val="26"/>
          <w:lang w:val="sr-Cyrl-RS"/>
        </w:rPr>
        <w:t xml:space="preserve">1. </w:t>
      </w:r>
      <w:bookmarkEnd w:id="12"/>
      <w:r w:rsidRPr="00EA3D8C">
        <w:rPr>
          <w:rFonts w:eastAsiaTheme="majorEastAsia" w:cstheme="minorHAnsi"/>
          <w:b/>
          <w:color w:val="2F5496" w:themeColor="accent1" w:themeShade="BF"/>
          <w:sz w:val="24"/>
          <w:szCs w:val="26"/>
          <w:lang w:val="sr-Cyrl-RS"/>
        </w:rPr>
        <w:t>Средњорочни циљеви фискалне политике</w:t>
      </w:r>
      <w:bookmarkEnd w:id="13"/>
      <w:bookmarkEnd w:id="14"/>
      <w:bookmarkEnd w:id="15"/>
      <w:bookmarkEnd w:id="16"/>
    </w:p>
    <w:p w14:paraId="1039D79A" w14:textId="77777777" w:rsidR="001E3E7D" w:rsidRPr="00EA3D8C" w:rsidRDefault="001E3E7D" w:rsidP="00C130D2">
      <w:pPr>
        <w:spacing w:after="120" w:line="276" w:lineRule="auto"/>
        <w:rPr>
          <w:rFonts w:ascii="Calibri" w:hAnsi="Calibri" w:cs="Calibri"/>
          <w:bCs/>
          <w:color w:val="FF0000"/>
          <w:szCs w:val="20"/>
          <w:lang w:val="sr-Cyrl-RS"/>
        </w:rPr>
        <w:sectPr w:rsidR="001E3E7D" w:rsidRPr="00EA3D8C" w:rsidSect="00AE40EB">
          <w:headerReference w:type="even" r:id="rId93"/>
          <w:footerReference w:type="even" r:id="rId94"/>
          <w:footerReference w:type="default" r:id="rId95"/>
          <w:headerReference w:type="first" r:id="rId96"/>
          <w:type w:val="continuous"/>
          <w:pgSz w:w="12240" w:h="15840" w:code="1"/>
          <w:pgMar w:top="1440" w:right="1440" w:bottom="1440" w:left="1440" w:header="720" w:footer="720" w:gutter="0"/>
          <w:cols w:space="720"/>
          <w:docGrid w:linePitch="360"/>
        </w:sectPr>
      </w:pPr>
    </w:p>
    <w:p w14:paraId="1610E340" w14:textId="77777777" w:rsidR="001E3E7D" w:rsidRPr="00EA3D8C" w:rsidRDefault="001E3E7D" w:rsidP="008265F0">
      <w:pPr>
        <w:rPr>
          <w:rFonts w:ascii="Calibri" w:hAnsi="Calibri" w:cs="Calibri"/>
          <w:bCs/>
          <w:szCs w:val="20"/>
          <w:lang w:val="sr-Cyrl-RS"/>
        </w:rPr>
      </w:pPr>
      <w:r>
        <w:rPr>
          <w:rFonts w:ascii="Calibri" w:hAnsi="Calibri" w:cs="Calibri"/>
          <w:bCs/>
          <w:szCs w:val="20"/>
          <w:lang w:val="sr-Cyrl-RS"/>
        </w:rPr>
        <w:t xml:space="preserve">Србија је 2020. годину завршила са фискалним дефицитом од 8,1% БДП и нивоом дуга од 58,2% БДП. </w:t>
      </w:r>
      <w:r w:rsidRPr="00EA3D8C">
        <w:rPr>
          <w:rFonts w:ascii="Calibri" w:hAnsi="Calibri" w:cs="Calibri"/>
          <w:bCs/>
          <w:szCs w:val="20"/>
          <w:lang w:val="sr-Cyrl-RS"/>
        </w:rPr>
        <w:t xml:space="preserve">Добро стање јавних финансија и релативно повољан ниво дуга омогућили су издашну и правовремену реакцију државе на кризу изазвану пандемијом. Пакет мера </w:t>
      </w:r>
      <w:r>
        <w:rPr>
          <w:rFonts w:ascii="Calibri" w:hAnsi="Calibri" w:cs="Calibri"/>
          <w:bCs/>
          <w:szCs w:val="20"/>
          <w:lang w:val="sr-Cyrl-RS"/>
        </w:rPr>
        <w:t>који је планиран у износу од око 12,9</w:t>
      </w:r>
      <w:r w:rsidRPr="00EA3D8C">
        <w:rPr>
          <w:rFonts w:ascii="Calibri" w:hAnsi="Calibri" w:cs="Calibri"/>
          <w:bCs/>
          <w:szCs w:val="20"/>
          <w:lang w:val="sr-Cyrl-RS"/>
        </w:rPr>
        <w:t>% БДП,</w:t>
      </w:r>
      <w:r>
        <w:rPr>
          <w:rFonts w:ascii="Calibri" w:hAnsi="Calibri" w:cs="Calibri"/>
          <w:bCs/>
          <w:szCs w:val="20"/>
          <w:lang w:val="sr-Cyrl-RS"/>
        </w:rPr>
        <w:t xml:space="preserve"> а реализован у износу од око 11,6% БДП, према прелиминарним подацима,</w:t>
      </w:r>
      <w:r w:rsidRPr="00EA3D8C">
        <w:rPr>
          <w:rFonts w:ascii="Calibri" w:hAnsi="Calibri" w:cs="Calibri"/>
          <w:bCs/>
          <w:szCs w:val="20"/>
          <w:lang w:val="sr-Cyrl-RS"/>
        </w:rPr>
        <w:t xml:space="preserve"> у комбинацији са монетарним мерама, ублажио је негативне ефекте кризе и стабилизовао макроекономска кретања.</w:t>
      </w:r>
      <w:r>
        <w:rPr>
          <w:rFonts w:ascii="Calibri" w:hAnsi="Calibri" w:cs="Calibri"/>
          <w:bCs/>
          <w:szCs w:val="20"/>
          <w:lang w:val="sr-Cyrl-RS"/>
        </w:rPr>
        <w:t xml:space="preserve"> </w:t>
      </w:r>
    </w:p>
    <w:p w14:paraId="20EAB97C" w14:textId="77777777" w:rsidR="001E3E7D" w:rsidRPr="000E7907" w:rsidRDefault="001E3E7D" w:rsidP="008265F0">
      <w:pPr>
        <w:rPr>
          <w:rFonts w:ascii="Calibri" w:hAnsi="Calibri" w:cs="Calibri"/>
          <w:bCs/>
          <w:szCs w:val="20"/>
          <w:lang w:val="sr-Cyrl-RS"/>
        </w:rPr>
      </w:pPr>
      <w:r w:rsidRPr="000E7907">
        <w:rPr>
          <w:rFonts w:ascii="Calibri" w:hAnsi="Calibri" w:cs="Calibri"/>
          <w:bCs/>
          <w:szCs w:val="20"/>
          <w:lang w:val="sr-Cyrl-RS"/>
        </w:rPr>
        <w:t>Борба са пандемијом коронавируса с</w:t>
      </w:r>
      <w:r>
        <w:rPr>
          <w:rFonts w:ascii="Calibri" w:hAnsi="Calibri" w:cs="Calibri"/>
          <w:bCs/>
          <w:szCs w:val="20"/>
          <w:lang w:val="sr-Cyrl-RS"/>
        </w:rPr>
        <w:t>е наставља и током 2021. године</w:t>
      </w:r>
      <w:r w:rsidRPr="000E7907">
        <w:rPr>
          <w:rFonts w:ascii="Calibri" w:hAnsi="Calibri" w:cs="Calibri"/>
          <w:bCs/>
          <w:szCs w:val="20"/>
          <w:lang w:val="sr-Cyrl-RS"/>
        </w:rPr>
        <w:t xml:space="preserve">. У циљу смањења негативних ефеката по привредну активност </w:t>
      </w:r>
      <w:r>
        <w:rPr>
          <w:rFonts w:ascii="Calibri" w:hAnsi="Calibri" w:cs="Calibri"/>
          <w:bCs/>
          <w:szCs w:val="20"/>
          <w:lang w:val="sr-Cyrl-RS"/>
        </w:rPr>
        <w:t>усвојен</w:t>
      </w:r>
      <w:r w:rsidRPr="000E7907">
        <w:rPr>
          <w:rFonts w:ascii="Calibri" w:hAnsi="Calibri" w:cs="Calibri"/>
          <w:bCs/>
          <w:szCs w:val="20"/>
          <w:lang w:val="sr-Cyrl-RS"/>
        </w:rPr>
        <w:t xml:space="preserve"> је нови пакет мера подршке привреди и становништву. </w:t>
      </w:r>
      <w:r>
        <w:rPr>
          <w:rFonts w:ascii="Calibri" w:hAnsi="Calibri" w:cs="Calibri"/>
          <w:bCs/>
          <w:szCs w:val="20"/>
          <w:lang w:val="sr-Cyrl-RS"/>
        </w:rPr>
        <w:t>П</w:t>
      </w:r>
      <w:r w:rsidRPr="000E7907">
        <w:rPr>
          <w:rFonts w:ascii="Calibri" w:hAnsi="Calibri" w:cs="Calibri"/>
          <w:bCs/>
          <w:szCs w:val="20"/>
          <w:lang w:val="sr-Cyrl-RS"/>
        </w:rPr>
        <w:t xml:space="preserve">акет мера </w:t>
      </w:r>
      <w:r>
        <w:rPr>
          <w:rFonts w:ascii="Calibri" w:hAnsi="Calibri" w:cs="Calibri"/>
          <w:bCs/>
          <w:szCs w:val="20"/>
          <w:lang w:val="sr-Cyrl-RS"/>
        </w:rPr>
        <w:t xml:space="preserve">износи око 4,5% БДП и </w:t>
      </w:r>
      <w:r w:rsidRPr="000E7907">
        <w:rPr>
          <w:rFonts w:ascii="Calibri" w:hAnsi="Calibri" w:cs="Calibri"/>
          <w:bCs/>
          <w:szCs w:val="20"/>
          <w:lang w:val="sr-Cyrl-RS"/>
        </w:rPr>
        <w:t>обухвата општу помоћ привреди</w:t>
      </w:r>
      <w:r>
        <w:rPr>
          <w:rFonts w:ascii="Calibri" w:hAnsi="Calibri" w:cs="Calibri"/>
          <w:bCs/>
          <w:szCs w:val="20"/>
          <w:lang w:val="sr-Latn-RS"/>
        </w:rPr>
        <w:t xml:space="preserve"> </w:t>
      </w:r>
      <w:r>
        <w:rPr>
          <w:rFonts w:ascii="Calibri" w:hAnsi="Calibri" w:cs="Calibri"/>
          <w:bCs/>
          <w:szCs w:val="20"/>
          <w:lang w:val="sr-Cyrl-RS"/>
        </w:rPr>
        <w:t>и грађанима, у виду директне помоћи</w:t>
      </w:r>
      <w:r w:rsidRPr="000E7907">
        <w:rPr>
          <w:rFonts w:ascii="Calibri" w:hAnsi="Calibri" w:cs="Calibri"/>
          <w:bCs/>
          <w:szCs w:val="20"/>
          <w:lang w:val="sr-Cyrl-RS"/>
        </w:rPr>
        <w:t>, али и додатне мере намењене секторима чије је пословање у највећој мери ограничено мерама за сузбијање епидемије (угоститељство, аутобуски превоз, хотелијерство и туристички сектор). Поред директне помоћи овим пакетом мера обезбеђују се додатна средства за очување ликвидности привредних субјеката и продужава рок з</w:t>
      </w:r>
      <w:r>
        <w:rPr>
          <w:rFonts w:ascii="Calibri" w:hAnsi="Calibri" w:cs="Calibri"/>
          <w:bCs/>
          <w:szCs w:val="20"/>
          <w:lang w:val="sr-Cyrl-RS"/>
        </w:rPr>
        <w:t>а коришћење овог облика помоћи, а повећава се и износ средстава намењених сектору здравства.</w:t>
      </w:r>
    </w:p>
    <w:p w14:paraId="67DA9C77" w14:textId="77777777" w:rsidR="001E3E7D" w:rsidRPr="00EA3D8C" w:rsidRDefault="001E3E7D" w:rsidP="008265F0">
      <w:pPr>
        <w:rPr>
          <w:rFonts w:ascii="Calibri" w:hAnsi="Calibri" w:cs="Calibri"/>
          <w:bCs/>
          <w:szCs w:val="20"/>
          <w:lang w:val="sr-Cyrl-RS"/>
        </w:rPr>
      </w:pPr>
      <w:r>
        <w:rPr>
          <w:rFonts w:ascii="Calibri" w:hAnsi="Calibri" w:cs="Calibri"/>
          <w:bCs/>
          <w:szCs w:val="20"/>
          <w:lang w:val="sr-Cyrl-RS"/>
        </w:rPr>
        <w:t xml:space="preserve">С обзиром на велики ефекат који ће пакет мера имати на фискалну позицију државе направљен је ребаланс буџета Републике. Ребалансом буџета планира се дефицит од 6,9% БДП и ниво дуга од </w:t>
      </w:r>
      <w:r>
        <w:rPr>
          <w:rFonts w:ascii="Calibri" w:hAnsi="Calibri" w:cs="Calibri"/>
          <w:bCs/>
          <w:szCs w:val="20"/>
        </w:rPr>
        <w:t>60</w:t>
      </w:r>
      <w:r>
        <w:rPr>
          <w:rFonts w:ascii="Calibri" w:hAnsi="Calibri" w:cs="Calibri"/>
          <w:bCs/>
          <w:szCs w:val="20"/>
          <w:lang w:val="sr-Cyrl-RS"/>
        </w:rPr>
        <w:t xml:space="preserve">% БДП. Као и у претходној години, фискална интервенција државе у циљу минимизирања ефеката кризе комбинована је са настојањима </w:t>
      </w:r>
      <w:r w:rsidRPr="00EA3D8C">
        <w:rPr>
          <w:rFonts w:ascii="Calibri" w:hAnsi="Calibri" w:cs="Calibri"/>
          <w:bCs/>
          <w:szCs w:val="20"/>
          <w:lang w:val="sr-Cyrl-RS"/>
        </w:rPr>
        <w:t>да се не зауставе развојни програми и инфраструктурни пројекти финансирани из буџета.</w:t>
      </w:r>
    </w:p>
    <w:p w14:paraId="48B179F1" w14:textId="77777777" w:rsidR="001E3E7D" w:rsidRPr="00EA3D8C" w:rsidRDefault="001E3E7D" w:rsidP="008265F0">
      <w:pPr>
        <w:rPr>
          <w:rFonts w:ascii="Calibri" w:hAnsi="Calibri" w:cs="Calibri"/>
          <w:bCs/>
          <w:szCs w:val="20"/>
          <w:lang w:val="sr-Cyrl-RS"/>
        </w:rPr>
      </w:pPr>
      <w:r w:rsidRPr="00EA3D8C">
        <w:rPr>
          <w:rFonts w:ascii="Calibri" w:hAnsi="Calibri" w:cs="Calibri"/>
          <w:bCs/>
          <w:szCs w:val="20"/>
          <w:lang w:val="sr-Cyrl-RS"/>
        </w:rPr>
        <w:t xml:space="preserve">Глобална пандемија још није завршена тако да је предстојећи период пун неизвесности. Планирање економске и, посебно, фискалне политике првенствено ће зависити од сузбијања пандемије и њеног окончања. Опште је </w:t>
      </w:r>
      <w:r w:rsidRPr="00EA3D8C">
        <w:rPr>
          <w:rFonts w:ascii="Calibri" w:hAnsi="Calibri" w:cs="Calibri"/>
          <w:bCs/>
          <w:szCs w:val="20"/>
          <w:lang w:val="sr-Cyrl-RS"/>
        </w:rPr>
        <w:t>опредељење да се у периоду након кризе изазване пандемијом омогући постепено уравнотежење и стабилизација јавних финансија, како би се смањило учешће јавног дуга у БДП и створиле основе за стабилан привредни раст. До тада, потребно је обезбедити могућност правовремене реакције фискалне политике у случају продубљивања кризе.</w:t>
      </w:r>
    </w:p>
    <w:p w14:paraId="5B9FDDED" w14:textId="77777777" w:rsidR="001E3E7D" w:rsidRPr="00EA3D8C" w:rsidRDefault="001E3E7D" w:rsidP="008265F0">
      <w:pPr>
        <w:rPr>
          <w:rFonts w:ascii="Calibri" w:hAnsi="Calibri" w:cs="Calibri"/>
          <w:bCs/>
          <w:szCs w:val="20"/>
          <w:lang w:val="sr-Cyrl-RS"/>
        </w:rPr>
      </w:pPr>
      <w:r w:rsidRPr="00EA3D8C">
        <w:rPr>
          <w:rFonts w:ascii="Calibri" w:hAnsi="Calibri" w:cs="Calibri"/>
          <w:bCs/>
          <w:szCs w:val="20"/>
          <w:lang w:val="sr-Cyrl-RS"/>
        </w:rPr>
        <w:t>Средњорочни фискални оквир предвиђа умерено напуштање експанзивне фискалне политике. С обзиром на неизвесну економску ситуацију</w:t>
      </w:r>
      <w:r>
        <w:rPr>
          <w:rFonts w:ascii="Calibri" w:hAnsi="Calibri" w:cs="Calibri"/>
          <w:bCs/>
          <w:szCs w:val="20"/>
          <w:lang w:val="sr-Cyrl-RS"/>
        </w:rPr>
        <w:t>,</w:t>
      </w:r>
      <w:r w:rsidRPr="00EA3D8C">
        <w:rPr>
          <w:rFonts w:ascii="Calibri" w:hAnsi="Calibri" w:cs="Calibri"/>
          <w:bCs/>
          <w:szCs w:val="20"/>
          <w:lang w:val="sr-Cyrl-RS"/>
        </w:rPr>
        <w:t xml:space="preserve"> буџет ће свакако представљати </w:t>
      </w:r>
      <w:r>
        <w:rPr>
          <w:rFonts w:ascii="Calibri" w:hAnsi="Calibri" w:cs="Calibri"/>
          <w:bCs/>
          <w:szCs w:val="20"/>
          <w:lang w:val="sr-Cyrl-RS"/>
        </w:rPr>
        <w:t>„</w:t>
      </w:r>
      <w:r w:rsidRPr="00EA3D8C">
        <w:rPr>
          <w:rFonts w:ascii="Calibri" w:hAnsi="Calibri" w:cs="Calibri"/>
          <w:bCs/>
          <w:szCs w:val="20"/>
          <w:lang w:val="sr-Cyrl-RS"/>
        </w:rPr>
        <w:t>сигурносну мрежу</w:t>
      </w:r>
      <w:r w:rsidRPr="00E33648">
        <w:rPr>
          <w:rFonts w:ascii="Calibri" w:hAnsi="Calibri" w:cs="Calibri"/>
          <w:bCs/>
          <w:szCs w:val="20"/>
          <w:lang w:val="sr-Cyrl-RS"/>
        </w:rPr>
        <w:t>”</w:t>
      </w:r>
      <w:r w:rsidRPr="00EA3D8C">
        <w:rPr>
          <w:rFonts w:ascii="Calibri" w:hAnsi="Calibri" w:cs="Calibri"/>
          <w:bCs/>
          <w:szCs w:val="20"/>
          <w:lang w:val="sr-Cyrl-RS"/>
        </w:rPr>
        <w:t xml:space="preserve"> у случају ескалације неповољних кретања. Са једне стране обезбедиће се континуитет развојних и социјалних програма, а са друге стране обезбедиће се одрживост јавних финансија и наставак смањења нивоа јавног дуга у смислу учешћа у БДП. Имајући у виду очекивана макроекономска кретања, предвиђени годишњи фискални дефицити омогућавају смањење учешћа дуга опште државе БДП у наредном периоду.</w:t>
      </w:r>
    </w:p>
    <w:p w14:paraId="1F11C2F6" w14:textId="77777777" w:rsidR="001E3E7D" w:rsidRPr="00EA3D8C" w:rsidRDefault="001E3E7D" w:rsidP="008265F0">
      <w:pPr>
        <w:rPr>
          <w:rFonts w:ascii="Calibri" w:hAnsi="Calibri" w:cs="Calibri"/>
          <w:bCs/>
          <w:color w:val="FF0000"/>
          <w:szCs w:val="20"/>
          <w:lang w:val="sr-Cyrl-RS"/>
        </w:rPr>
        <w:sectPr w:rsidR="001E3E7D" w:rsidRPr="00EA3D8C" w:rsidSect="00AE40EB">
          <w:type w:val="continuous"/>
          <w:pgSz w:w="12240" w:h="15840" w:code="1"/>
          <w:pgMar w:top="1440" w:right="1440" w:bottom="1440" w:left="1440" w:header="720" w:footer="720" w:gutter="0"/>
          <w:cols w:num="2" w:space="720"/>
          <w:docGrid w:linePitch="360"/>
        </w:sectPr>
      </w:pPr>
      <w:r w:rsidRPr="00EA3D8C">
        <w:rPr>
          <w:rFonts w:ascii="Calibri" w:hAnsi="Calibri" w:cs="Calibri"/>
          <w:bCs/>
          <w:szCs w:val="20"/>
          <w:lang w:val="sr-Cyrl-RS"/>
        </w:rPr>
        <w:t>Фискална политика ће у наредном периоду бити фокусирана на наставак смањења укупног пореског оптерећења рада чиме се додатно растерећује привреда, односно повећава конкурентност приватног сектора. На расходној страни, приоритет ће имати инфраструктурни и капитални пројекти, те политика пензија и плата. При томе ће се водити рачуна да се повећањем ове две, највеће, категорије расхода не изађе из планираног одрживог оквира. Додатно, стабилности јавних финансија и одрживом фискалном оквиру допринеће планиране измене Закона о буџетском систему, којима ће, између осталог, бити редизајниран скуп фискалних правила, општих и посебних, те дефинисане посебне мере и консеквенце у случају њиховог непоштовања. Посебан акценат биће стављен на измену општих правила која се односе на јавни дуг и дефицит опште државе, те посебних правила везаних за одрживи ниво расхода за плате и пензије.</w:t>
      </w:r>
    </w:p>
    <w:p w14:paraId="0771267F" w14:textId="77777777" w:rsidR="001E3E7D" w:rsidRPr="00EA3D8C" w:rsidRDefault="001E3E7D" w:rsidP="005D42AC">
      <w:pPr>
        <w:spacing w:after="120" w:line="276" w:lineRule="auto"/>
        <w:rPr>
          <w:rFonts w:ascii="Calibri" w:hAnsi="Calibri" w:cs="Calibri"/>
          <w:bCs/>
          <w:szCs w:val="20"/>
          <w:lang w:val="sr-Cyrl-RS"/>
        </w:rPr>
        <w:sectPr w:rsidR="001E3E7D" w:rsidRPr="00EA3D8C" w:rsidSect="00AE40EB">
          <w:type w:val="continuous"/>
          <w:pgSz w:w="12240" w:h="15840" w:code="1"/>
          <w:pgMar w:top="1440" w:right="1440" w:bottom="1440" w:left="1440" w:header="720" w:footer="720" w:gutter="0"/>
          <w:cols w:num="2" w:space="720"/>
          <w:docGrid w:linePitch="360"/>
        </w:sectPr>
      </w:pPr>
      <w:r w:rsidRPr="00EA3D8C">
        <w:rPr>
          <w:rFonts w:ascii="Calibri" w:hAnsi="Calibri" w:cs="Calibri"/>
          <w:bCs/>
          <w:color w:val="FF0000"/>
          <w:szCs w:val="20"/>
          <w:lang w:val="sr-Cyrl-RS"/>
        </w:rPr>
        <w:t xml:space="preserve"> </w:t>
      </w:r>
    </w:p>
    <w:p w14:paraId="1ADE826C" w14:textId="77777777" w:rsidR="001E3E7D" w:rsidRPr="00EA3D8C" w:rsidRDefault="001E3E7D" w:rsidP="002E4BCE">
      <w:pPr>
        <w:keepNext/>
        <w:keepLines/>
        <w:spacing w:after="0"/>
        <w:jc w:val="center"/>
        <w:outlineLvl w:val="1"/>
        <w:rPr>
          <w:rFonts w:eastAsia="MS PGothic" w:cstheme="minorHAnsi"/>
          <w:b/>
          <w:color w:val="2F5496" w:themeColor="accent1" w:themeShade="BF"/>
          <w:sz w:val="24"/>
          <w:szCs w:val="26"/>
          <w:lang w:val="sr-Cyrl-RS" w:eastAsia="ja-JP"/>
        </w:rPr>
      </w:pPr>
      <w:bookmarkStart w:id="17" w:name="_Toc530635105"/>
      <w:bookmarkStart w:id="18" w:name="_Toc24119831"/>
      <w:bookmarkStart w:id="19" w:name="_Toc56667076"/>
      <w:bookmarkStart w:id="20" w:name="_Toc73364968"/>
      <w:bookmarkStart w:id="21" w:name="_Toc530635106"/>
      <w:r>
        <w:rPr>
          <w:rFonts w:eastAsia="MS PGothic" w:cstheme="minorHAnsi"/>
          <w:b/>
          <w:color w:val="2F5496" w:themeColor="accent1" w:themeShade="BF"/>
          <w:sz w:val="24"/>
          <w:szCs w:val="26"/>
          <w:lang w:val="sr-Cyrl-RS" w:eastAsia="ja-JP"/>
        </w:rPr>
        <w:lastRenderedPageBreak/>
        <w:t>2. Фискална кретања у 2020</w:t>
      </w:r>
      <w:r w:rsidRPr="00EA3D8C">
        <w:rPr>
          <w:rFonts w:eastAsia="MS PGothic" w:cstheme="minorHAnsi"/>
          <w:b/>
          <w:color w:val="2F5496" w:themeColor="accent1" w:themeShade="BF"/>
          <w:sz w:val="24"/>
          <w:szCs w:val="26"/>
          <w:lang w:val="sr-Cyrl-RS" w:eastAsia="ja-JP"/>
        </w:rPr>
        <w:t>. години</w:t>
      </w:r>
      <w:bookmarkEnd w:id="17"/>
      <w:bookmarkEnd w:id="18"/>
      <w:bookmarkEnd w:id="19"/>
      <w:bookmarkEnd w:id="20"/>
    </w:p>
    <w:p w14:paraId="653E2A1F" w14:textId="77777777" w:rsidR="001E3E7D" w:rsidRPr="00EA3D8C" w:rsidRDefault="001E3E7D" w:rsidP="005D42AC">
      <w:pPr>
        <w:spacing w:after="120"/>
        <w:rPr>
          <w:rFonts w:cstheme="minorHAnsi"/>
          <w:lang w:val="sr-Cyrl-RS" w:eastAsia="ja-JP"/>
        </w:rPr>
      </w:pPr>
    </w:p>
    <w:p w14:paraId="1CE2CCA4" w14:textId="77777777" w:rsidR="001E3E7D" w:rsidRPr="00EA3D8C" w:rsidRDefault="001E3E7D" w:rsidP="005D42AC">
      <w:pPr>
        <w:spacing w:line="276" w:lineRule="auto"/>
        <w:rPr>
          <w:rFonts w:cstheme="minorHAnsi"/>
          <w:bCs/>
          <w:szCs w:val="72"/>
          <w:lang w:val="sr-Cyrl-RS"/>
        </w:rPr>
        <w:sectPr w:rsidR="001E3E7D" w:rsidRPr="00EA3D8C" w:rsidSect="00AE40EB">
          <w:headerReference w:type="even" r:id="rId97"/>
          <w:footerReference w:type="even" r:id="rId98"/>
          <w:footerReference w:type="default" r:id="rId99"/>
          <w:headerReference w:type="first" r:id="rId100"/>
          <w:pgSz w:w="12240" w:h="15840" w:code="1"/>
          <w:pgMar w:top="1440" w:right="1440" w:bottom="1440" w:left="1440" w:header="720" w:footer="720" w:gutter="0"/>
          <w:cols w:space="720"/>
          <w:docGrid w:linePitch="360"/>
        </w:sectPr>
      </w:pPr>
    </w:p>
    <w:p w14:paraId="43D18033" w14:textId="77777777" w:rsidR="001E3E7D" w:rsidRDefault="001E3E7D" w:rsidP="008265F0">
      <w:pPr>
        <w:rPr>
          <w:rFonts w:cstheme="minorHAnsi"/>
          <w:bCs/>
          <w:szCs w:val="72"/>
          <w:lang w:val="sr-Cyrl-RS"/>
        </w:rPr>
      </w:pPr>
      <w:r>
        <w:rPr>
          <w:rFonts w:cstheme="minorHAnsi"/>
          <w:bCs/>
          <w:szCs w:val="72"/>
          <w:lang w:val="sr-Cyrl-CS"/>
        </w:rPr>
        <w:t>На крају 2020</w:t>
      </w:r>
      <w:r w:rsidRPr="00E32159">
        <w:rPr>
          <w:rFonts w:cstheme="minorHAnsi"/>
          <w:bCs/>
          <w:szCs w:val="72"/>
          <w:lang w:val="sr-Cyrl-CS"/>
        </w:rPr>
        <w:t>. године, на нивоу општ</w:t>
      </w:r>
      <w:r>
        <w:rPr>
          <w:rFonts w:cstheme="minorHAnsi"/>
          <w:bCs/>
          <w:szCs w:val="72"/>
          <w:lang w:val="sr-Cyrl-CS"/>
        </w:rPr>
        <w:t>е државе остварен је фискални де</w:t>
      </w:r>
      <w:r w:rsidRPr="00E32159">
        <w:rPr>
          <w:rFonts w:cstheme="minorHAnsi"/>
          <w:bCs/>
          <w:szCs w:val="72"/>
          <w:lang w:val="sr-Cyrl-CS"/>
        </w:rPr>
        <w:t xml:space="preserve">фицит у износу од </w:t>
      </w:r>
      <w:r>
        <w:rPr>
          <w:rFonts w:cstheme="minorHAnsi"/>
          <w:bCs/>
          <w:szCs w:val="72"/>
          <w:lang w:val="sr-Cyrl-CS"/>
        </w:rPr>
        <w:t>442,8 млрд динара, односно 8,1</w:t>
      </w:r>
      <w:r w:rsidRPr="00E32159">
        <w:rPr>
          <w:rFonts w:cstheme="minorHAnsi"/>
          <w:bCs/>
          <w:szCs w:val="72"/>
          <w:lang w:val="sr-Cyrl-CS"/>
        </w:rPr>
        <w:t xml:space="preserve">% БДП, што је за </w:t>
      </w:r>
      <w:r>
        <w:rPr>
          <w:rFonts w:cstheme="minorHAnsi"/>
          <w:bCs/>
          <w:szCs w:val="72"/>
        </w:rPr>
        <w:t>0,8</w:t>
      </w:r>
      <w:r w:rsidRPr="00E32159">
        <w:rPr>
          <w:rFonts w:cstheme="minorHAnsi"/>
          <w:bCs/>
          <w:szCs w:val="72"/>
          <w:lang w:val="sr-Cyrl-CS"/>
        </w:rPr>
        <w:t xml:space="preserve">% БДП </w:t>
      </w:r>
      <w:r>
        <w:rPr>
          <w:rFonts w:cstheme="minorHAnsi"/>
          <w:bCs/>
          <w:szCs w:val="72"/>
          <w:lang w:val="sr-Cyrl-RS"/>
        </w:rPr>
        <w:t>боље</w:t>
      </w:r>
      <w:r w:rsidRPr="00E32159">
        <w:rPr>
          <w:rFonts w:cstheme="minorHAnsi"/>
          <w:bCs/>
          <w:szCs w:val="72"/>
          <w:lang w:val="sr-Cyrl-CS"/>
        </w:rPr>
        <w:t xml:space="preserve"> од планираног, с обзиром да је </w:t>
      </w:r>
      <w:r>
        <w:rPr>
          <w:rFonts w:cstheme="minorHAnsi"/>
          <w:bCs/>
          <w:szCs w:val="72"/>
          <w:lang w:val="sr-Cyrl-CS"/>
        </w:rPr>
        <w:t xml:space="preserve">ребалансом </w:t>
      </w:r>
      <w:r w:rsidRPr="00E32159">
        <w:rPr>
          <w:rFonts w:cstheme="minorHAnsi"/>
          <w:bCs/>
          <w:szCs w:val="72"/>
          <w:lang w:val="sr-Cyrl-CS"/>
        </w:rPr>
        <w:t xml:space="preserve">планиран фискални дефицит </w:t>
      </w:r>
      <w:r>
        <w:rPr>
          <w:rFonts w:cstheme="minorHAnsi"/>
          <w:bCs/>
          <w:szCs w:val="72"/>
          <w:lang w:val="sr-Cyrl-CS"/>
        </w:rPr>
        <w:t>од 8,9% БДП</w:t>
      </w:r>
      <w:r w:rsidRPr="00E32159">
        <w:rPr>
          <w:rFonts w:cstheme="minorHAnsi"/>
          <w:bCs/>
          <w:szCs w:val="72"/>
          <w:lang w:val="sr-Cyrl-CS"/>
        </w:rPr>
        <w:t xml:space="preserve">. У истом периоду остварен је примарни фискални </w:t>
      </w:r>
      <w:r>
        <w:rPr>
          <w:rFonts w:cstheme="minorHAnsi"/>
          <w:bCs/>
          <w:szCs w:val="72"/>
          <w:lang w:val="sr-Cyrl-RS"/>
        </w:rPr>
        <w:t>де</w:t>
      </w:r>
      <w:r w:rsidRPr="00E32159">
        <w:rPr>
          <w:rFonts w:cstheme="minorHAnsi"/>
          <w:bCs/>
          <w:szCs w:val="72"/>
          <w:lang w:val="sr-Cyrl-CS"/>
        </w:rPr>
        <w:t xml:space="preserve">фицит од </w:t>
      </w:r>
      <w:r>
        <w:rPr>
          <w:rFonts w:cstheme="minorHAnsi"/>
          <w:bCs/>
          <w:szCs w:val="72"/>
          <w:lang w:val="sr-Cyrl-CS"/>
        </w:rPr>
        <w:t>6,1% БДП. У оригиналном буџетском плану дефицит је износио 0,5% БДП.</w:t>
      </w:r>
      <w:r w:rsidR="00B906B9">
        <w:rPr>
          <w:rFonts w:cstheme="minorHAnsi"/>
          <w:bCs/>
          <w:szCs w:val="72"/>
          <w:lang w:val="sr-Cyrl-CS"/>
        </w:rPr>
        <w:t xml:space="preserve"> </w:t>
      </w:r>
      <w:r w:rsidRPr="00E32159">
        <w:rPr>
          <w:rFonts w:cstheme="minorHAnsi"/>
          <w:bCs/>
          <w:szCs w:val="72"/>
          <w:lang w:val="sr-Cyrl-CS"/>
        </w:rPr>
        <w:t xml:space="preserve">Дуг је </w:t>
      </w:r>
      <w:r>
        <w:rPr>
          <w:rFonts w:cstheme="minorHAnsi"/>
          <w:bCs/>
          <w:szCs w:val="72"/>
          <w:lang w:val="sr-Cyrl-CS"/>
        </w:rPr>
        <w:t>повећан</w:t>
      </w:r>
      <w:r w:rsidRPr="00E32159">
        <w:rPr>
          <w:rFonts w:cstheme="minorHAnsi"/>
          <w:bCs/>
          <w:szCs w:val="72"/>
          <w:lang w:val="sr-Cyrl-CS"/>
        </w:rPr>
        <w:t xml:space="preserve"> за </w:t>
      </w:r>
      <w:r>
        <w:rPr>
          <w:rFonts w:cstheme="minorHAnsi"/>
          <w:bCs/>
          <w:szCs w:val="72"/>
          <w:lang w:val="sr-Latn-RS"/>
        </w:rPr>
        <w:t>5,3</w:t>
      </w:r>
      <w:r w:rsidR="005E67C7">
        <w:rPr>
          <w:rFonts w:cstheme="minorHAnsi"/>
          <w:bCs/>
          <w:szCs w:val="72"/>
          <w:lang w:val="sr-Cyrl-CS"/>
        </w:rPr>
        <w:t> п.</w:t>
      </w:r>
      <w:r w:rsidRPr="00E32159">
        <w:rPr>
          <w:rFonts w:cstheme="minorHAnsi"/>
          <w:bCs/>
          <w:szCs w:val="72"/>
          <w:lang w:val="sr-Cyrl-CS"/>
        </w:rPr>
        <w:t xml:space="preserve">п, са </w:t>
      </w:r>
      <w:r>
        <w:rPr>
          <w:rFonts w:cstheme="minorHAnsi"/>
          <w:bCs/>
          <w:szCs w:val="72"/>
          <w:lang w:val="sr-Latn-RS"/>
        </w:rPr>
        <w:t>52,9</w:t>
      </w:r>
      <w:r w:rsidRPr="00E32159">
        <w:rPr>
          <w:rFonts w:cstheme="minorHAnsi"/>
          <w:bCs/>
          <w:szCs w:val="72"/>
          <w:lang w:val="sr-Cyrl-CS"/>
        </w:rPr>
        <w:t>% БДП,</w:t>
      </w:r>
      <w:r>
        <w:rPr>
          <w:rFonts w:cstheme="minorHAnsi"/>
          <w:bCs/>
          <w:szCs w:val="72"/>
          <w:lang w:val="sr-Cyrl-CS"/>
        </w:rPr>
        <w:t xml:space="preserve"> колико је износио на крају 2019</w:t>
      </w:r>
      <w:r w:rsidRPr="00E32159">
        <w:rPr>
          <w:rFonts w:cstheme="minorHAnsi"/>
          <w:bCs/>
          <w:szCs w:val="72"/>
          <w:lang w:val="sr-Cyrl-CS"/>
        </w:rPr>
        <w:t xml:space="preserve">. године на </w:t>
      </w:r>
      <w:r>
        <w:rPr>
          <w:rFonts w:cstheme="minorHAnsi"/>
          <w:bCs/>
          <w:szCs w:val="72"/>
          <w:lang w:val="sr-Latn-RS"/>
        </w:rPr>
        <w:t>58,2</w:t>
      </w:r>
      <w:r w:rsidRPr="00E32159">
        <w:rPr>
          <w:rFonts w:cstheme="minorHAnsi"/>
          <w:bCs/>
          <w:szCs w:val="72"/>
          <w:lang w:val="sr-Cyrl-CS"/>
        </w:rPr>
        <w:t xml:space="preserve">% БДП на </w:t>
      </w:r>
      <w:r>
        <w:rPr>
          <w:rFonts w:cstheme="minorHAnsi"/>
          <w:bCs/>
          <w:szCs w:val="72"/>
          <w:lang w:val="sr-Cyrl-CS"/>
        </w:rPr>
        <w:t>крају 2020</w:t>
      </w:r>
      <w:r w:rsidRPr="00E32159">
        <w:rPr>
          <w:rFonts w:cstheme="minorHAnsi"/>
          <w:bCs/>
          <w:szCs w:val="72"/>
          <w:lang w:val="sr-Cyrl-CS"/>
        </w:rPr>
        <w:t>. године.</w:t>
      </w:r>
      <w:r>
        <w:rPr>
          <w:rFonts w:cstheme="minorHAnsi"/>
          <w:bCs/>
          <w:szCs w:val="72"/>
          <w:lang w:val="sr-Cyrl-CS"/>
        </w:rPr>
        <w:t xml:space="preserve"> Оваква неповољна фискална кретања су условљена кризом коју је изазвала пандемија </w:t>
      </w:r>
      <w:r>
        <w:rPr>
          <w:rFonts w:cstheme="minorHAnsi"/>
          <w:bCs/>
          <w:szCs w:val="72"/>
          <w:lang w:val="sr-Latn-RS"/>
        </w:rPr>
        <w:t>COVID</w:t>
      </w:r>
      <w:r>
        <w:rPr>
          <w:rFonts w:cstheme="minorHAnsi"/>
          <w:bCs/>
          <w:szCs w:val="72"/>
          <w:lang w:val="sr-Cyrl-CS"/>
        </w:rPr>
        <w:t xml:space="preserve">-19, односно напорима које је Република Србија уложила у ублажавање њеног утицаја на економске и друштвене токове значајним улагањима у здравствени систем и набавку неопходних медицинских средстава. </w:t>
      </w:r>
      <w:r>
        <w:rPr>
          <w:rFonts w:cstheme="minorHAnsi"/>
          <w:bCs/>
          <w:szCs w:val="72"/>
          <w:lang w:val="sr-Cyrl-RS"/>
        </w:rPr>
        <w:t>Укупан пакет мера планиран за 2020. годину износио је 704,4 млрд динара, односно 12,9% БДП, од чега је реализовано 564,1 млрд динара мера за подршку привреди и становништву (10,3%БДП), што уз набавку медицинске опреме и лекова у износу од око 72 млрд динара (1,3</w:t>
      </w:r>
      <w:r w:rsidRPr="00E171AB">
        <w:rPr>
          <w:rFonts w:cstheme="minorHAnsi"/>
          <w:bCs/>
          <w:szCs w:val="72"/>
          <w:lang w:val="sr-Cyrl-RS"/>
        </w:rPr>
        <w:t>% БДП</w:t>
      </w:r>
      <w:r>
        <w:rPr>
          <w:rFonts w:cstheme="minorHAnsi"/>
          <w:bCs/>
          <w:szCs w:val="72"/>
          <w:lang w:val="sr-Cyrl-RS"/>
        </w:rPr>
        <w:t xml:space="preserve">), чини укупан трошак за борбу против </w:t>
      </w:r>
      <w:r w:rsidRPr="00F7646D">
        <w:rPr>
          <w:rFonts w:cstheme="minorHAnsi"/>
          <w:bCs/>
          <w:szCs w:val="72"/>
          <w:lang w:val="sr-Cyrl-RS"/>
        </w:rPr>
        <w:t>COVID-19</w:t>
      </w:r>
      <w:r>
        <w:rPr>
          <w:rFonts w:cstheme="minorHAnsi"/>
          <w:bCs/>
          <w:szCs w:val="72"/>
          <w:lang w:val="sr-Cyrl-RS"/>
        </w:rPr>
        <w:t xml:space="preserve"> од 636,1 </w:t>
      </w:r>
      <w:r w:rsidR="008265F0">
        <w:rPr>
          <w:rFonts w:cstheme="minorHAnsi"/>
          <w:bCs/>
          <w:szCs w:val="72"/>
          <w:lang w:val="sr-Cyrl-RS"/>
        </w:rPr>
        <w:t>млрд динара, односно 11,6% БДП.</w:t>
      </w:r>
    </w:p>
    <w:p w14:paraId="57300F73" w14:textId="77777777" w:rsidR="001E3E7D" w:rsidRDefault="001E3E7D" w:rsidP="008265F0">
      <w:pPr>
        <w:rPr>
          <w:rFonts w:cstheme="minorHAnsi"/>
          <w:bCs/>
          <w:szCs w:val="72"/>
          <w:lang w:val="sr-Cyrl-RS"/>
        </w:rPr>
      </w:pPr>
      <w:r>
        <w:rPr>
          <w:rFonts w:cstheme="minorHAnsi"/>
          <w:bCs/>
          <w:szCs w:val="72"/>
          <w:lang w:val="sr-Cyrl-RS"/>
        </w:rPr>
        <w:t>У односу на ориг</w:t>
      </w:r>
      <w:r w:rsidR="005E67C7">
        <w:rPr>
          <w:rFonts w:cstheme="minorHAnsi"/>
          <w:bCs/>
          <w:szCs w:val="72"/>
          <w:lang w:val="sr-Cyrl-RS"/>
        </w:rPr>
        <w:t>и</w:t>
      </w:r>
      <w:r>
        <w:rPr>
          <w:rFonts w:cstheme="minorHAnsi"/>
          <w:bCs/>
          <w:szCs w:val="72"/>
          <w:lang w:val="sr-Cyrl-RS"/>
        </w:rPr>
        <w:t xml:space="preserve">нални буџетски план, приходи и расходи су остварени уз значајна одступања, како у номиналним износима, тако и у структури. </w:t>
      </w:r>
    </w:p>
    <w:p w14:paraId="69CD9055" w14:textId="77777777" w:rsidR="001E3E7D" w:rsidRPr="00AF0B43" w:rsidRDefault="001E3E7D" w:rsidP="008265F0">
      <w:pPr>
        <w:rPr>
          <w:rFonts w:cstheme="minorHAnsi"/>
          <w:bCs/>
          <w:spacing w:val="-2"/>
          <w:szCs w:val="72"/>
          <w:lang w:val="sr-Cyrl-RS"/>
        </w:rPr>
      </w:pPr>
      <w:r w:rsidRPr="00AF0B43">
        <w:rPr>
          <w:rFonts w:cstheme="minorHAnsi"/>
          <w:bCs/>
          <w:spacing w:val="-2"/>
          <w:szCs w:val="72"/>
          <w:lang w:val="sr-Cyrl-RS"/>
        </w:rPr>
        <w:t xml:space="preserve">Јавни приходи су остварени у износу мањем за 85,8 млрд динара (1,6% БДП) у односу на </w:t>
      </w:r>
      <w:r w:rsidR="00B906B9" w:rsidRPr="00AF0B43">
        <w:rPr>
          <w:rFonts w:cstheme="minorHAnsi"/>
          <w:bCs/>
          <w:spacing w:val="-2"/>
          <w:szCs w:val="72"/>
          <w:lang w:val="sr-Cyrl-RS"/>
        </w:rPr>
        <w:t xml:space="preserve">износ </w:t>
      </w:r>
      <w:r w:rsidRPr="00AF0B43">
        <w:rPr>
          <w:rFonts w:cstheme="minorHAnsi"/>
          <w:bCs/>
          <w:spacing w:val="-2"/>
          <w:szCs w:val="72"/>
          <w:lang w:val="sr-Cyrl-RS"/>
        </w:rPr>
        <w:t xml:space="preserve">планиран оригиналним буџетом, док су у односу на 2019. годину номинално мањи за 1%. Највеће одступање у односу на план је забележено код пореских прихода тј. доприноса, пореза на доходак грађана и ПДВ. Доприноси и порез на доходак грађана су укупно мањи у односу на план за 1,2% БДП, што је последица мера којима су пореске обавезе по овом основу одложене и плаћају се у ратама, почевши од јануара 2021. године. Након периода у којем су важиле мере забележен је већи раст код ових категорија од иницијалног плана, делом и због тога што су неки порески обвезници већ почели да измирују део својих одложених обавеза. Индиректни порези (највећим делом ПДВ) нижи су за 0,7% БДП у односу на план, што је </w:t>
      </w:r>
      <w:r w:rsidRPr="00AF0B43">
        <w:rPr>
          <w:rFonts w:cstheme="minorHAnsi"/>
          <w:bCs/>
          <w:spacing w:val="-2"/>
          <w:szCs w:val="72"/>
          <w:lang w:val="sr-Cyrl-RS"/>
        </w:rPr>
        <w:t>последица пада личне потрошње, мера ограничења кретања становништва, смањеног оби</w:t>
      </w:r>
      <w:r w:rsidR="00103068" w:rsidRPr="00AF0B43">
        <w:rPr>
          <w:rFonts w:cstheme="minorHAnsi"/>
          <w:bCs/>
          <w:spacing w:val="-2"/>
          <w:szCs w:val="72"/>
          <w:lang w:val="sr-Cyrl-RS"/>
        </w:rPr>
        <w:t xml:space="preserve">ма транзитног саобраћаја и сл. </w:t>
      </w:r>
      <w:r w:rsidRPr="00AF0B43">
        <w:rPr>
          <w:rFonts w:cstheme="minorHAnsi"/>
          <w:bCs/>
          <w:spacing w:val="-2"/>
          <w:szCs w:val="72"/>
          <w:lang w:val="sr-Cyrl-RS"/>
        </w:rPr>
        <w:t>Порез на добит правних лица је остварен у износу вишем од планираног за око 0,2% БДП и поред мере одлагања уплата аконтација за други квартал, услед конзервативног приступа у планирању ове категорије заснованог на умереном расту профитабилности привреде. Непорески приходи су виши за 0,2% БДП у односу на план, захваљујући уплатама ванредних непореских прихода, који нису обухваћени планом</w:t>
      </w:r>
      <w:r w:rsidRPr="00AF0B43">
        <w:rPr>
          <w:spacing w:val="-2"/>
        </w:rPr>
        <w:t xml:space="preserve"> </w:t>
      </w:r>
      <w:r w:rsidRPr="00AF0B43">
        <w:rPr>
          <w:spacing w:val="-2"/>
          <w:lang w:val="sr-Cyrl-RS"/>
        </w:rPr>
        <w:t>(</w:t>
      </w:r>
      <w:r w:rsidRPr="00AF0B43">
        <w:rPr>
          <w:rFonts w:cstheme="minorHAnsi"/>
          <w:bCs/>
          <w:spacing w:val="-2"/>
          <w:szCs w:val="72"/>
          <w:lang w:val="sr-Cyrl-RS"/>
        </w:rPr>
        <w:t>добит, дивиденде, премије итд</w:t>
      </w:r>
      <w:r w:rsidR="005E67C7" w:rsidRPr="00AF0B43">
        <w:rPr>
          <w:rFonts w:cstheme="minorHAnsi"/>
          <w:bCs/>
          <w:spacing w:val="-2"/>
          <w:szCs w:val="72"/>
          <w:lang w:val="sr-Cyrl-RS"/>
        </w:rPr>
        <w:t>.</w:t>
      </w:r>
      <w:r w:rsidRPr="00AF0B43">
        <w:rPr>
          <w:rFonts w:cstheme="minorHAnsi"/>
          <w:bCs/>
          <w:spacing w:val="-2"/>
          <w:szCs w:val="72"/>
          <w:lang w:val="sr-Cyrl-RS"/>
        </w:rPr>
        <w:t>), док су редовни непорески приходи били значајно умањени због пандемије (путарине, казне, судске и административне таксе и накнаде и сл.).</w:t>
      </w:r>
    </w:p>
    <w:p w14:paraId="0E26F9C1" w14:textId="77777777" w:rsidR="001E3E7D" w:rsidRDefault="001E3E7D" w:rsidP="008265F0">
      <w:pPr>
        <w:rPr>
          <w:rFonts w:cstheme="minorHAnsi"/>
          <w:bCs/>
          <w:szCs w:val="72"/>
        </w:rPr>
      </w:pPr>
      <w:r>
        <w:rPr>
          <w:rFonts w:cstheme="minorHAnsi"/>
          <w:bCs/>
          <w:szCs w:val="72"/>
          <w:lang w:val="sr-Cyrl-RS"/>
        </w:rPr>
        <w:t xml:space="preserve">Јавни расходи извршени су у износу вишем за 327,9 млрд динара (6% БДП) у односу на оригинални план. </w:t>
      </w:r>
      <w:r w:rsidRPr="00D87DC5">
        <w:rPr>
          <w:rFonts w:cstheme="minorHAnsi"/>
          <w:bCs/>
          <w:szCs w:val="72"/>
          <w:lang w:val="sr-Cyrl-RS"/>
        </w:rPr>
        <w:t xml:space="preserve">У односу на 2019. годину </w:t>
      </w:r>
      <w:r>
        <w:rPr>
          <w:rFonts w:cstheme="minorHAnsi"/>
          <w:bCs/>
          <w:szCs w:val="72"/>
          <w:lang w:val="sr-Cyrl-RS"/>
        </w:rPr>
        <w:t>бележе раст од</w:t>
      </w:r>
      <w:r w:rsidRPr="00D87DC5">
        <w:rPr>
          <w:rFonts w:cstheme="minorHAnsi"/>
          <w:bCs/>
          <w:szCs w:val="72"/>
          <w:lang w:val="sr-Cyrl-RS"/>
        </w:rPr>
        <w:t xml:space="preserve"> 1</w:t>
      </w:r>
      <w:r>
        <w:rPr>
          <w:rFonts w:cstheme="minorHAnsi"/>
          <w:bCs/>
          <w:szCs w:val="72"/>
          <w:lang w:val="sr-Cyrl-RS"/>
        </w:rPr>
        <w:t>3,8</w:t>
      </w:r>
      <w:r w:rsidRPr="00D87DC5">
        <w:rPr>
          <w:rFonts w:cstheme="minorHAnsi"/>
          <w:bCs/>
          <w:szCs w:val="72"/>
          <w:lang w:val="sr-Cyrl-RS"/>
        </w:rPr>
        <w:t>%.</w:t>
      </w:r>
      <w:r>
        <w:rPr>
          <w:rFonts w:cstheme="minorHAnsi"/>
          <w:bCs/>
          <w:szCs w:val="72"/>
          <w:lang w:val="sr-Cyrl-RS"/>
        </w:rPr>
        <w:t xml:space="preserve"> Најв</w:t>
      </w:r>
      <w:r w:rsidR="00103068">
        <w:rPr>
          <w:rFonts w:cstheme="minorHAnsi"/>
          <w:bCs/>
          <w:szCs w:val="72"/>
          <w:lang w:val="sr-Cyrl-RS"/>
        </w:rPr>
        <w:t>еће одступање је оствар</w:t>
      </w:r>
      <w:r w:rsidR="005E67C7">
        <w:rPr>
          <w:rFonts w:cstheme="minorHAnsi"/>
          <w:bCs/>
          <w:szCs w:val="72"/>
          <w:lang w:val="sr-Cyrl-RS"/>
        </w:rPr>
        <w:t>е</w:t>
      </w:r>
      <w:r w:rsidR="00103068">
        <w:rPr>
          <w:rFonts w:cstheme="minorHAnsi"/>
          <w:bCs/>
          <w:szCs w:val="72"/>
          <w:lang w:val="sr-Cyrl-RS"/>
        </w:rPr>
        <w:t xml:space="preserve">но код </w:t>
      </w:r>
      <w:r>
        <w:rPr>
          <w:rFonts w:cstheme="minorHAnsi"/>
          <w:bCs/>
          <w:szCs w:val="72"/>
          <w:lang w:val="sr-Cyrl-RS"/>
        </w:rPr>
        <w:t>субвен</w:t>
      </w:r>
      <w:r w:rsidR="00103068">
        <w:rPr>
          <w:rFonts w:cstheme="minorHAnsi"/>
          <w:bCs/>
          <w:szCs w:val="72"/>
          <w:lang w:val="sr-Cyrl-RS"/>
        </w:rPr>
        <w:t xml:space="preserve">ција (2,5% БДП), колико износи </w:t>
      </w:r>
      <w:r>
        <w:rPr>
          <w:rFonts w:cstheme="minorHAnsi"/>
          <w:bCs/>
          <w:szCs w:val="72"/>
          <w:lang w:val="sr-Cyrl-RS"/>
        </w:rPr>
        <w:t xml:space="preserve">и директна подршка приватном сектору исплаћена са ове позиције. Исплата </w:t>
      </w:r>
      <w:r w:rsidRPr="002B2BDC">
        <w:rPr>
          <w:rFonts w:cstheme="minorHAnsi"/>
          <w:bCs/>
          <w:szCs w:val="72"/>
          <w:lang w:val="sr-Cyrl-RS"/>
        </w:rPr>
        <w:t>директне новчане помоћи становништву</w:t>
      </w:r>
      <w:r>
        <w:rPr>
          <w:rFonts w:cstheme="minorHAnsi"/>
          <w:bCs/>
          <w:szCs w:val="72"/>
          <w:lang w:val="sr-Cyrl-RS"/>
        </w:rPr>
        <w:t xml:space="preserve"> са позиције осталих текућих расхода утицала је да ови расходи буду већи за 1,4% БДП у односу на план. Расходи за робе и услуге су већи од плана за око 0,8% БДП због повећаних издатака за набавку лекова и медицинске опреме, али и повећаних расхода за одржавање путне мреже код ЈП „Путеви Србије</w:t>
      </w:r>
      <w:r w:rsidR="0000208A" w:rsidRPr="0000208A">
        <w:rPr>
          <w:rFonts w:cstheme="minorHAnsi"/>
          <w:bCs/>
          <w:szCs w:val="72"/>
          <w:lang w:val="sr-Cyrl-RS"/>
        </w:rPr>
        <w:t>”</w:t>
      </w:r>
      <w:r>
        <w:rPr>
          <w:rFonts w:cstheme="minorHAnsi"/>
          <w:bCs/>
          <w:szCs w:val="72"/>
          <w:lang w:val="sr-Cyrl-RS"/>
        </w:rPr>
        <w:t>, док су расходи за запослене већи за 0,4% БДП највише због повећања плата у здравственом сектору. Реализација јавних инвестиција у 2020. години је надмашила све претходне године достигавши ниво од 5,4% БДП и премашивши план за 0,6% БДП. Улагано је како у саобраћајну инфраструктуру</w:t>
      </w:r>
      <w:r w:rsidR="00B906B9">
        <w:rPr>
          <w:rFonts w:cstheme="minorHAnsi"/>
          <w:bCs/>
          <w:szCs w:val="72"/>
          <w:lang w:val="sr-Cyrl-RS"/>
        </w:rPr>
        <w:t>,</w:t>
      </w:r>
      <w:r>
        <w:rPr>
          <w:rFonts w:cstheme="minorHAnsi"/>
          <w:bCs/>
          <w:szCs w:val="72"/>
          <w:lang w:val="sr-Cyrl-RS"/>
        </w:rPr>
        <w:t xml:space="preserve"> тако и у нове здравствене капацитете, што представља значајан квалитативан помак у управљању јавним финансијама у кризним временима и подстрек даљем економском расту. </w:t>
      </w:r>
      <w:r w:rsidRPr="002B2BDC">
        <w:rPr>
          <w:rFonts w:cstheme="minorHAnsi"/>
          <w:bCs/>
          <w:szCs w:val="72"/>
          <w:lang w:val="sr-Cyrl-RS"/>
        </w:rPr>
        <w:t xml:space="preserve">Позиција нето буџетских позајмица увећана је за </w:t>
      </w:r>
      <w:r>
        <w:rPr>
          <w:rFonts w:cstheme="minorHAnsi"/>
          <w:bCs/>
          <w:szCs w:val="72"/>
          <w:lang w:val="sr-Cyrl-RS"/>
        </w:rPr>
        <w:t>0,6% БДП у односу на оригинални буџетски план</w:t>
      </w:r>
      <w:r w:rsidRPr="002B2BDC">
        <w:rPr>
          <w:rFonts w:cstheme="minorHAnsi"/>
          <w:bCs/>
          <w:szCs w:val="72"/>
          <w:lang w:val="sr-Cyrl-RS"/>
        </w:rPr>
        <w:t xml:space="preserve">. </w:t>
      </w:r>
      <w:r>
        <w:rPr>
          <w:rFonts w:cstheme="minorHAnsi"/>
          <w:bCs/>
          <w:szCs w:val="72"/>
          <w:lang w:val="sr-Cyrl-RS"/>
        </w:rPr>
        <w:t>У оквиру ове категорије расхода</w:t>
      </w:r>
      <w:r w:rsidRPr="002B2BDC">
        <w:rPr>
          <w:rFonts w:cstheme="minorHAnsi"/>
          <w:bCs/>
          <w:szCs w:val="72"/>
          <w:lang w:val="sr-Cyrl-RS"/>
        </w:rPr>
        <w:t xml:space="preserve"> извршен је пренос средстава за кредитну помоћ привреди преко Ф</w:t>
      </w:r>
      <w:r>
        <w:rPr>
          <w:rFonts w:cstheme="minorHAnsi"/>
          <w:bCs/>
          <w:szCs w:val="72"/>
          <w:lang w:val="sr-Cyrl-RS"/>
        </w:rPr>
        <w:t>онда за развој Републике Србије</w:t>
      </w:r>
      <w:r>
        <w:rPr>
          <w:rFonts w:cstheme="minorHAnsi"/>
          <w:bCs/>
          <w:szCs w:val="72"/>
        </w:rPr>
        <w:t>.</w:t>
      </w:r>
    </w:p>
    <w:p w14:paraId="084811AC" w14:textId="77777777" w:rsidR="001E3E7D" w:rsidRPr="0092013C" w:rsidRDefault="001E3E7D" w:rsidP="008265F0">
      <w:pPr>
        <w:spacing w:line="276" w:lineRule="auto"/>
        <w:rPr>
          <w:rFonts w:cstheme="minorHAnsi"/>
          <w:bCs/>
          <w:szCs w:val="72"/>
        </w:rPr>
        <w:sectPr w:rsidR="001E3E7D" w:rsidRPr="0092013C" w:rsidSect="008265F0">
          <w:type w:val="continuous"/>
          <w:pgSz w:w="12240" w:h="15840"/>
          <w:pgMar w:top="1440" w:right="1440" w:bottom="1440" w:left="1440" w:header="720" w:footer="720" w:gutter="0"/>
          <w:cols w:num="2" w:space="720"/>
          <w:docGrid w:linePitch="360"/>
        </w:sectPr>
      </w:pPr>
    </w:p>
    <w:p w14:paraId="4FDA9B92" w14:textId="77777777" w:rsidR="001E3E7D" w:rsidRPr="00D87C3F" w:rsidRDefault="001E3E7D" w:rsidP="008265F0">
      <w:pPr>
        <w:spacing w:after="0" w:line="276" w:lineRule="auto"/>
        <w:jc w:val="center"/>
        <w:rPr>
          <w:rFonts w:cs="Times New Roman"/>
          <w:b/>
          <w:sz w:val="24"/>
          <w:szCs w:val="24"/>
          <w:lang w:val="sr-Cyrl-RS"/>
        </w:rPr>
        <w:sectPr w:rsidR="001E3E7D" w:rsidRPr="00D87C3F" w:rsidSect="00AE40EB">
          <w:type w:val="continuous"/>
          <w:pgSz w:w="12240" w:h="15840" w:code="1"/>
          <w:pgMar w:top="1440" w:right="1440" w:bottom="1440" w:left="1440" w:header="720" w:footer="720" w:gutter="0"/>
          <w:cols w:space="720"/>
          <w:docGrid w:linePitch="360"/>
        </w:sectPr>
      </w:pPr>
      <w:r>
        <w:rPr>
          <w:rFonts w:cstheme="minorHAnsi"/>
          <w:b/>
          <w:color w:val="002060"/>
          <w:lang w:val="sr-Cyrl-RS"/>
        </w:rPr>
        <w:lastRenderedPageBreak/>
        <w:t xml:space="preserve">Табела 5. </w:t>
      </w:r>
      <w:r w:rsidRPr="00D87C3F">
        <w:rPr>
          <w:rFonts w:cstheme="minorHAnsi"/>
          <w:b/>
          <w:color w:val="002060"/>
          <w:lang w:val="sr-Cyrl-RS"/>
        </w:rPr>
        <w:t>Преглед пакета мера за подршку привреди и становништву у 2020. години</w:t>
      </w:r>
    </w:p>
    <w:tbl>
      <w:tblPr>
        <w:tblStyle w:val="PlainTable411"/>
        <w:tblpPr w:leftFromText="180" w:rightFromText="180" w:vertAnchor="text" w:horzAnchor="margin" w:tblpXSpec="center" w:tblpY="208"/>
        <w:tblW w:w="10802" w:type="dxa"/>
        <w:tblLayout w:type="fixed"/>
        <w:tblLook w:val="04A0" w:firstRow="1" w:lastRow="0" w:firstColumn="1" w:lastColumn="0" w:noHBand="0" w:noVBand="1"/>
      </w:tblPr>
      <w:tblGrid>
        <w:gridCol w:w="7230"/>
        <w:gridCol w:w="889"/>
        <w:gridCol w:w="889"/>
        <w:gridCol w:w="897"/>
        <w:gridCol w:w="897"/>
      </w:tblGrid>
      <w:tr w:rsidR="001E3E7D" w:rsidRPr="0092013C" w14:paraId="4543B772" w14:textId="77777777" w:rsidTr="005E67C7">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7230" w:type="dxa"/>
            <w:noWrap/>
            <w:hideMark/>
          </w:tcPr>
          <w:p w14:paraId="108F10B3" w14:textId="77777777" w:rsidR="001E3E7D" w:rsidRPr="0092013C" w:rsidRDefault="001E3E7D" w:rsidP="008265F0">
            <w:pPr>
              <w:rPr>
                <w:rFonts w:ascii="Times New Roman" w:eastAsia="Times New Roman" w:hAnsi="Times New Roman" w:cs="Times New Roman"/>
                <w:color w:val="002060"/>
                <w:sz w:val="18"/>
                <w:szCs w:val="18"/>
                <w:lang w:val="sr-Cyrl-RS"/>
              </w:rPr>
            </w:pPr>
          </w:p>
        </w:tc>
        <w:tc>
          <w:tcPr>
            <w:tcW w:w="1778" w:type="dxa"/>
            <w:gridSpan w:val="2"/>
            <w:hideMark/>
          </w:tcPr>
          <w:p w14:paraId="5B8062A4" w14:textId="77777777" w:rsidR="001E3E7D" w:rsidRPr="0092013C" w:rsidRDefault="001E3E7D" w:rsidP="008265F0">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План</w:t>
            </w:r>
          </w:p>
        </w:tc>
        <w:tc>
          <w:tcPr>
            <w:tcW w:w="1794" w:type="dxa"/>
            <w:gridSpan w:val="2"/>
            <w:hideMark/>
          </w:tcPr>
          <w:p w14:paraId="67550F95" w14:textId="77777777" w:rsidR="001E3E7D" w:rsidRPr="0092013C" w:rsidRDefault="001E3E7D" w:rsidP="008265F0">
            <w:pPr>
              <w:jc w:val="center"/>
              <w:cnfStyle w:val="100000000000" w:firstRow="1"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 xml:space="preserve">Реализација </w:t>
            </w:r>
          </w:p>
        </w:tc>
      </w:tr>
      <w:tr w:rsidR="001E3E7D" w:rsidRPr="0092013C" w14:paraId="5F606ECD" w14:textId="77777777" w:rsidTr="005E67C7">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7230" w:type="dxa"/>
            <w:noWrap/>
            <w:hideMark/>
          </w:tcPr>
          <w:p w14:paraId="51E174F8" w14:textId="77777777" w:rsidR="001E3E7D" w:rsidRPr="0092013C" w:rsidRDefault="001E3E7D" w:rsidP="008265F0">
            <w:pPr>
              <w:rPr>
                <w:rFonts w:ascii="Times New Roman" w:eastAsia="Times New Roman" w:hAnsi="Times New Roman" w:cs="Times New Roman"/>
                <w:color w:val="002060"/>
                <w:sz w:val="18"/>
                <w:szCs w:val="18"/>
                <w:lang w:val="sr-Cyrl-RS"/>
              </w:rPr>
            </w:pPr>
            <w:r w:rsidRPr="0092013C">
              <w:rPr>
                <w:rFonts w:ascii="Times New Roman" w:eastAsia="Times New Roman" w:hAnsi="Times New Roman" w:cs="Times New Roman"/>
                <w:color w:val="002060"/>
                <w:sz w:val="18"/>
                <w:szCs w:val="18"/>
                <w:lang w:val="sr-Cyrl-RS"/>
              </w:rPr>
              <w:t> </w:t>
            </w:r>
          </w:p>
        </w:tc>
        <w:tc>
          <w:tcPr>
            <w:tcW w:w="889" w:type="dxa"/>
            <w:noWrap/>
            <w:vAlign w:val="center"/>
            <w:hideMark/>
          </w:tcPr>
          <w:p w14:paraId="51511ECA" w14:textId="77777777" w:rsidR="001E3E7D" w:rsidRPr="0092013C" w:rsidRDefault="001E3E7D" w:rsidP="005E67C7">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у млрд РСД</w:t>
            </w:r>
          </w:p>
        </w:tc>
        <w:tc>
          <w:tcPr>
            <w:tcW w:w="889" w:type="dxa"/>
            <w:noWrap/>
            <w:vAlign w:val="center"/>
            <w:hideMark/>
          </w:tcPr>
          <w:p w14:paraId="30171D46" w14:textId="77777777" w:rsidR="001E3E7D" w:rsidRPr="0092013C" w:rsidRDefault="001E3E7D" w:rsidP="005E67C7">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у % БДП</w:t>
            </w:r>
          </w:p>
        </w:tc>
        <w:tc>
          <w:tcPr>
            <w:tcW w:w="897" w:type="dxa"/>
            <w:noWrap/>
            <w:vAlign w:val="center"/>
            <w:hideMark/>
          </w:tcPr>
          <w:p w14:paraId="01CAE3DF" w14:textId="77777777" w:rsidR="001E3E7D" w:rsidRPr="0092013C" w:rsidRDefault="001E3E7D" w:rsidP="005E67C7">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у млрд РСД</w:t>
            </w:r>
          </w:p>
        </w:tc>
        <w:tc>
          <w:tcPr>
            <w:tcW w:w="897" w:type="dxa"/>
            <w:noWrap/>
            <w:vAlign w:val="center"/>
            <w:hideMark/>
          </w:tcPr>
          <w:p w14:paraId="5F948287" w14:textId="77777777" w:rsidR="001E3E7D" w:rsidRPr="0092013C" w:rsidRDefault="001E3E7D" w:rsidP="005E67C7">
            <w:pPr>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у % БДП</w:t>
            </w:r>
          </w:p>
        </w:tc>
      </w:tr>
      <w:tr w:rsidR="001E3E7D" w:rsidRPr="0092013C" w14:paraId="72E65A64"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1187A5B0"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Мере пореске политике</w:t>
            </w:r>
          </w:p>
        </w:tc>
        <w:tc>
          <w:tcPr>
            <w:tcW w:w="889" w:type="dxa"/>
            <w:noWrap/>
            <w:hideMark/>
          </w:tcPr>
          <w:p w14:paraId="1BEC040B" w14:textId="77777777" w:rsidR="001E3E7D" w:rsidRPr="0092013C" w:rsidRDefault="001E3E7D" w:rsidP="008265F0">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 </w:t>
            </w:r>
          </w:p>
        </w:tc>
        <w:tc>
          <w:tcPr>
            <w:tcW w:w="889" w:type="dxa"/>
            <w:noWrap/>
            <w:hideMark/>
          </w:tcPr>
          <w:p w14:paraId="4863C8D3" w14:textId="77777777" w:rsidR="001E3E7D" w:rsidRPr="0092013C" w:rsidRDefault="001E3E7D" w:rsidP="008265F0">
            <w:pPr>
              <w:spacing w:line="276" w:lineRule="auto"/>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 </w:t>
            </w:r>
          </w:p>
        </w:tc>
        <w:tc>
          <w:tcPr>
            <w:tcW w:w="897" w:type="dxa"/>
            <w:noWrap/>
            <w:hideMark/>
          </w:tcPr>
          <w:p w14:paraId="371C34A6" w14:textId="77777777" w:rsidR="001E3E7D" w:rsidRPr="0092013C" w:rsidRDefault="001E3E7D" w:rsidP="008265F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 </w:t>
            </w:r>
          </w:p>
        </w:tc>
        <w:tc>
          <w:tcPr>
            <w:tcW w:w="897" w:type="dxa"/>
            <w:noWrap/>
            <w:hideMark/>
          </w:tcPr>
          <w:p w14:paraId="501C90A8" w14:textId="77777777" w:rsidR="001E3E7D" w:rsidRPr="0092013C" w:rsidRDefault="001E3E7D" w:rsidP="008265F0">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 </w:t>
            </w:r>
          </w:p>
        </w:tc>
      </w:tr>
      <w:tr w:rsidR="001E3E7D" w:rsidRPr="0092013C" w14:paraId="0031D2CE"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0A26949C"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Одложено плаћање пореза на зараде и доприноса за приватни сектор током ванредног стања и за један додатни месец; приватне компаније обавезе отплаћују на рате, од јануара 2021. године</w:t>
            </w:r>
          </w:p>
        </w:tc>
        <w:tc>
          <w:tcPr>
            <w:tcW w:w="889" w:type="dxa"/>
            <w:noWrap/>
            <w:vAlign w:val="center"/>
            <w:hideMark/>
          </w:tcPr>
          <w:p w14:paraId="051FD5E7"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168,0</w:t>
            </w:r>
          </w:p>
        </w:tc>
        <w:tc>
          <w:tcPr>
            <w:tcW w:w="889" w:type="dxa"/>
            <w:noWrap/>
            <w:vAlign w:val="center"/>
            <w:hideMark/>
          </w:tcPr>
          <w:p w14:paraId="315DBF5C"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3,1</w:t>
            </w:r>
          </w:p>
        </w:tc>
        <w:tc>
          <w:tcPr>
            <w:tcW w:w="897" w:type="dxa"/>
            <w:noWrap/>
            <w:vAlign w:val="center"/>
            <w:hideMark/>
          </w:tcPr>
          <w:p w14:paraId="7482E7F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119,8</w:t>
            </w:r>
          </w:p>
        </w:tc>
        <w:tc>
          <w:tcPr>
            <w:tcW w:w="897" w:type="dxa"/>
            <w:noWrap/>
            <w:vAlign w:val="center"/>
            <w:hideMark/>
          </w:tcPr>
          <w:p w14:paraId="5D0ABE42"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2,2</w:t>
            </w:r>
          </w:p>
        </w:tc>
      </w:tr>
      <w:tr w:rsidR="001E3E7D" w:rsidRPr="0092013C" w14:paraId="6800C157"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1270E0BC"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 xml:space="preserve">Одложено плаћање аконтације за други квартал 2020. пореза на добит правних лица </w:t>
            </w:r>
          </w:p>
        </w:tc>
        <w:tc>
          <w:tcPr>
            <w:tcW w:w="889" w:type="dxa"/>
            <w:noWrap/>
            <w:vAlign w:val="center"/>
            <w:hideMark/>
          </w:tcPr>
          <w:p w14:paraId="0F6A531C"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21,0</w:t>
            </w:r>
          </w:p>
        </w:tc>
        <w:tc>
          <w:tcPr>
            <w:tcW w:w="889" w:type="dxa"/>
            <w:noWrap/>
            <w:vAlign w:val="center"/>
            <w:hideMark/>
          </w:tcPr>
          <w:p w14:paraId="7D030D9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0,4</w:t>
            </w:r>
          </w:p>
        </w:tc>
        <w:tc>
          <w:tcPr>
            <w:tcW w:w="897" w:type="dxa"/>
            <w:noWrap/>
            <w:vAlign w:val="center"/>
            <w:hideMark/>
          </w:tcPr>
          <w:p w14:paraId="792DB45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13,5</w:t>
            </w:r>
          </w:p>
        </w:tc>
        <w:tc>
          <w:tcPr>
            <w:tcW w:w="897" w:type="dxa"/>
            <w:noWrap/>
            <w:vAlign w:val="center"/>
            <w:hideMark/>
          </w:tcPr>
          <w:p w14:paraId="696BCF68"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0,2</w:t>
            </w:r>
          </w:p>
        </w:tc>
      </w:tr>
      <w:tr w:rsidR="001E3E7D" w:rsidRPr="0092013C" w14:paraId="297B03C8"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00060A6A"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Ослобађање од плаћања ПДВ за све донаторе</w:t>
            </w:r>
          </w:p>
        </w:tc>
        <w:tc>
          <w:tcPr>
            <w:tcW w:w="889" w:type="dxa"/>
            <w:noWrap/>
            <w:vAlign w:val="center"/>
            <w:hideMark/>
          </w:tcPr>
          <w:p w14:paraId="02CA35E4"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c>
          <w:tcPr>
            <w:tcW w:w="889" w:type="dxa"/>
            <w:noWrap/>
            <w:vAlign w:val="center"/>
            <w:hideMark/>
          </w:tcPr>
          <w:p w14:paraId="228213D8"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c>
          <w:tcPr>
            <w:tcW w:w="897" w:type="dxa"/>
            <w:noWrap/>
            <w:vAlign w:val="center"/>
            <w:hideMark/>
          </w:tcPr>
          <w:p w14:paraId="73400673"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c>
          <w:tcPr>
            <w:tcW w:w="897" w:type="dxa"/>
            <w:noWrap/>
            <w:vAlign w:val="center"/>
            <w:hideMark/>
          </w:tcPr>
          <w:p w14:paraId="7A444E41"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r>
      <w:tr w:rsidR="001E3E7D" w:rsidRPr="0092013C" w14:paraId="63DAD38C"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6F4CE659"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Укупно</w:t>
            </w:r>
          </w:p>
        </w:tc>
        <w:tc>
          <w:tcPr>
            <w:tcW w:w="889" w:type="dxa"/>
            <w:noWrap/>
            <w:vAlign w:val="center"/>
            <w:hideMark/>
          </w:tcPr>
          <w:p w14:paraId="742DC43D"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189,0</w:t>
            </w:r>
          </w:p>
        </w:tc>
        <w:tc>
          <w:tcPr>
            <w:tcW w:w="889" w:type="dxa"/>
            <w:noWrap/>
            <w:vAlign w:val="center"/>
            <w:hideMark/>
          </w:tcPr>
          <w:p w14:paraId="1ACE452F"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3,5</w:t>
            </w:r>
          </w:p>
        </w:tc>
        <w:tc>
          <w:tcPr>
            <w:tcW w:w="897" w:type="dxa"/>
            <w:noWrap/>
            <w:vAlign w:val="center"/>
            <w:hideMark/>
          </w:tcPr>
          <w:p w14:paraId="7640DAA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133,3</w:t>
            </w:r>
          </w:p>
        </w:tc>
        <w:tc>
          <w:tcPr>
            <w:tcW w:w="897" w:type="dxa"/>
            <w:noWrap/>
            <w:vAlign w:val="center"/>
            <w:hideMark/>
          </w:tcPr>
          <w:p w14:paraId="311092C1"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2,4</w:t>
            </w:r>
          </w:p>
        </w:tc>
      </w:tr>
      <w:tr w:rsidR="001E3E7D" w:rsidRPr="0092013C" w14:paraId="42CF9E7D"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5CF28F1A"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Директна подршка приватном сектору</w:t>
            </w:r>
          </w:p>
        </w:tc>
        <w:tc>
          <w:tcPr>
            <w:tcW w:w="889" w:type="dxa"/>
            <w:noWrap/>
            <w:vAlign w:val="center"/>
            <w:hideMark/>
          </w:tcPr>
          <w:p w14:paraId="6068D234"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p>
        </w:tc>
        <w:tc>
          <w:tcPr>
            <w:tcW w:w="889" w:type="dxa"/>
            <w:noWrap/>
            <w:vAlign w:val="center"/>
            <w:hideMark/>
          </w:tcPr>
          <w:p w14:paraId="3054F51A"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464BA29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5EAA3567"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p>
        </w:tc>
      </w:tr>
      <w:tr w:rsidR="001E3E7D" w:rsidRPr="0092013C" w14:paraId="0E99D266"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31FFF4BB"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Директна подршка предузетницима који плаћају паушални порез и предузетницима који плаћају порез на стварне приходе, микро, малим и средњим предузећима у приватном сектору - три месеца исплата нето минималне зараде и још два додатна месеца исплата 60% нето минималне зараде</w:t>
            </w:r>
          </w:p>
        </w:tc>
        <w:tc>
          <w:tcPr>
            <w:tcW w:w="889" w:type="dxa"/>
            <w:noWrap/>
            <w:vAlign w:val="center"/>
            <w:hideMark/>
          </w:tcPr>
          <w:p w14:paraId="435C832C"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128,8</w:t>
            </w:r>
          </w:p>
        </w:tc>
        <w:tc>
          <w:tcPr>
            <w:tcW w:w="889" w:type="dxa"/>
            <w:noWrap/>
            <w:vAlign w:val="center"/>
            <w:hideMark/>
          </w:tcPr>
          <w:p w14:paraId="4F2115A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2,4</w:t>
            </w:r>
          </w:p>
        </w:tc>
        <w:tc>
          <w:tcPr>
            <w:tcW w:w="897" w:type="dxa"/>
            <w:noWrap/>
            <w:vAlign w:val="center"/>
            <w:hideMark/>
          </w:tcPr>
          <w:p w14:paraId="4347E236"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130,1</w:t>
            </w:r>
          </w:p>
        </w:tc>
        <w:tc>
          <w:tcPr>
            <w:tcW w:w="897" w:type="dxa"/>
            <w:noWrap/>
            <w:vAlign w:val="center"/>
            <w:hideMark/>
          </w:tcPr>
          <w:p w14:paraId="37BDFCD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2,4</w:t>
            </w:r>
          </w:p>
        </w:tc>
      </w:tr>
      <w:tr w:rsidR="001E3E7D" w:rsidRPr="0092013C" w14:paraId="5C9F80FF"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3E29440F"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Директна подршка великим приватним компанијама - подршка у износу од 50% нето минималне зараде (за време ванредног стања) запосленима који су добили решење о престанку рада (на основу чл. 116. и 117. Закона о раду).</w:t>
            </w:r>
          </w:p>
        </w:tc>
        <w:tc>
          <w:tcPr>
            <w:tcW w:w="889" w:type="dxa"/>
            <w:noWrap/>
            <w:vAlign w:val="center"/>
            <w:hideMark/>
          </w:tcPr>
          <w:p w14:paraId="5024C558"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4,5</w:t>
            </w:r>
          </w:p>
        </w:tc>
        <w:tc>
          <w:tcPr>
            <w:tcW w:w="889" w:type="dxa"/>
            <w:noWrap/>
            <w:vAlign w:val="center"/>
            <w:hideMark/>
          </w:tcPr>
          <w:p w14:paraId="2DB3AF44"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0,1</w:t>
            </w:r>
          </w:p>
        </w:tc>
        <w:tc>
          <w:tcPr>
            <w:tcW w:w="897" w:type="dxa"/>
            <w:noWrap/>
            <w:vAlign w:val="center"/>
            <w:hideMark/>
          </w:tcPr>
          <w:p w14:paraId="61578590"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1,6</w:t>
            </w:r>
          </w:p>
        </w:tc>
        <w:tc>
          <w:tcPr>
            <w:tcW w:w="897" w:type="dxa"/>
            <w:noWrap/>
            <w:vAlign w:val="center"/>
            <w:hideMark/>
          </w:tcPr>
          <w:p w14:paraId="75ABD88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r>
      <w:tr w:rsidR="001E3E7D" w:rsidRPr="0092013C" w14:paraId="01AC2473"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6E24A681"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Директна подршка хотелијерском сектору - 350€ по кревету, 150€ по соби, у динарској противвредности прерачунато по званичном средњем курсу НБС</w:t>
            </w:r>
          </w:p>
        </w:tc>
        <w:tc>
          <w:tcPr>
            <w:tcW w:w="889" w:type="dxa"/>
            <w:noWrap/>
            <w:vAlign w:val="center"/>
            <w:hideMark/>
          </w:tcPr>
          <w:p w14:paraId="0F1483F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2,0</w:t>
            </w:r>
          </w:p>
        </w:tc>
        <w:tc>
          <w:tcPr>
            <w:tcW w:w="889" w:type="dxa"/>
            <w:noWrap/>
            <w:vAlign w:val="center"/>
            <w:hideMark/>
          </w:tcPr>
          <w:p w14:paraId="2117AA85"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c>
          <w:tcPr>
            <w:tcW w:w="897" w:type="dxa"/>
            <w:noWrap/>
            <w:vAlign w:val="center"/>
            <w:hideMark/>
          </w:tcPr>
          <w:p w14:paraId="23F5799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1,2</w:t>
            </w:r>
          </w:p>
        </w:tc>
        <w:tc>
          <w:tcPr>
            <w:tcW w:w="897" w:type="dxa"/>
            <w:noWrap/>
            <w:vAlign w:val="center"/>
            <w:hideMark/>
          </w:tcPr>
          <w:p w14:paraId="1B46AEC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r>
      <w:tr w:rsidR="001E3E7D" w:rsidRPr="0092013C" w14:paraId="04423483"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tcPr>
          <w:p w14:paraId="43FEF192" w14:textId="77777777" w:rsidR="001E3E7D" w:rsidRPr="0092013C" w:rsidRDefault="001E3E7D" w:rsidP="008265F0">
            <w:pPr>
              <w:spacing w:line="276" w:lineRule="auto"/>
              <w:rPr>
                <w:rFonts w:eastAsia="MS PGothic" w:cstheme="minorHAnsi"/>
                <w:b w:val="0"/>
                <w:color w:val="002060"/>
                <w:sz w:val="18"/>
                <w:szCs w:val="18"/>
                <w:lang w:val="sr-Latn-RS" w:eastAsia="ja-JP"/>
              </w:rPr>
            </w:pPr>
            <w:r w:rsidRPr="0092013C">
              <w:rPr>
                <w:rFonts w:eastAsia="MS PGothic" w:cstheme="minorHAnsi"/>
                <w:b w:val="0"/>
                <w:color w:val="002060"/>
                <w:sz w:val="18"/>
                <w:szCs w:val="18"/>
                <w:lang w:val="sr-Cyrl-RS" w:eastAsia="ja-JP"/>
              </w:rPr>
              <w:t xml:space="preserve">Директна подршка угоститељима, туристичким агенцијама, хотелима и </w:t>
            </w:r>
            <w:r w:rsidRPr="0092013C">
              <w:rPr>
                <w:rFonts w:eastAsia="MS PGothic" w:cstheme="minorHAnsi"/>
                <w:b w:val="0"/>
                <w:i/>
                <w:color w:val="002060"/>
                <w:sz w:val="18"/>
                <w:szCs w:val="18"/>
                <w:lang w:val="sr-Latn-RS" w:eastAsia="ja-JP"/>
              </w:rPr>
              <w:t>rent a car</w:t>
            </w:r>
            <w:r w:rsidRPr="0092013C">
              <w:rPr>
                <w:rFonts w:eastAsia="MS PGothic" w:cstheme="minorHAnsi"/>
                <w:b w:val="0"/>
                <w:color w:val="002060"/>
                <w:sz w:val="18"/>
                <w:szCs w:val="18"/>
                <w:lang w:val="sr-Latn-RS" w:eastAsia="ja-JP"/>
              </w:rPr>
              <w:t xml:space="preserve"> </w:t>
            </w:r>
            <w:r w:rsidRPr="0092013C">
              <w:rPr>
                <w:rFonts w:eastAsia="MS PGothic" w:cstheme="minorHAnsi"/>
                <w:b w:val="0"/>
                <w:color w:val="002060"/>
                <w:sz w:val="18"/>
                <w:szCs w:val="18"/>
                <w:lang w:val="sr-Cyrl-RS" w:eastAsia="ja-JP"/>
              </w:rPr>
              <w:t>агенцијама (30.000 РСД)</w:t>
            </w:r>
          </w:p>
        </w:tc>
        <w:tc>
          <w:tcPr>
            <w:tcW w:w="889" w:type="dxa"/>
            <w:noWrap/>
            <w:vAlign w:val="center"/>
          </w:tcPr>
          <w:p w14:paraId="268644CF"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2,7</w:t>
            </w:r>
          </w:p>
        </w:tc>
        <w:tc>
          <w:tcPr>
            <w:tcW w:w="889" w:type="dxa"/>
            <w:noWrap/>
            <w:vAlign w:val="center"/>
          </w:tcPr>
          <w:p w14:paraId="080A90B8"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c>
          <w:tcPr>
            <w:tcW w:w="897" w:type="dxa"/>
            <w:noWrap/>
            <w:vAlign w:val="center"/>
          </w:tcPr>
          <w:p w14:paraId="185E9C51"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2,0</w:t>
            </w:r>
          </w:p>
        </w:tc>
        <w:tc>
          <w:tcPr>
            <w:tcW w:w="897" w:type="dxa"/>
            <w:noWrap/>
            <w:vAlign w:val="center"/>
          </w:tcPr>
          <w:p w14:paraId="009F8F1E"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r>
      <w:tr w:rsidR="001E3E7D" w:rsidRPr="0092013C" w14:paraId="3341A3C5"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tcPr>
          <w:p w14:paraId="7AE54B6C"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Директна подршка спортским клубовима</w:t>
            </w:r>
          </w:p>
        </w:tc>
        <w:tc>
          <w:tcPr>
            <w:tcW w:w="889" w:type="dxa"/>
            <w:noWrap/>
            <w:vAlign w:val="center"/>
          </w:tcPr>
          <w:p w14:paraId="498B5EA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1,1</w:t>
            </w:r>
          </w:p>
        </w:tc>
        <w:tc>
          <w:tcPr>
            <w:tcW w:w="889" w:type="dxa"/>
            <w:noWrap/>
            <w:vAlign w:val="center"/>
          </w:tcPr>
          <w:p w14:paraId="02BB4DB1"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c>
          <w:tcPr>
            <w:tcW w:w="897" w:type="dxa"/>
            <w:noWrap/>
            <w:vAlign w:val="center"/>
          </w:tcPr>
          <w:p w14:paraId="66A04009"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1,1</w:t>
            </w:r>
          </w:p>
        </w:tc>
        <w:tc>
          <w:tcPr>
            <w:tcW w:w="897" w:type="dxa"/>
            <w:noWrap/>
            <w:vAlign w:val="center"/>
          </w:tcPr>
          <w:p w14:paraId="2CC59714"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0,0</w:t>
            </w:r>
          </w:p>
        </w:tc>
      </w:tr>
      <w:tr w:rsidR="001E3E7D" w:rsidRPr="0092013C" w14:paraId="593B3D6A"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78349DAC"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Укупно</w:t>
            </w:r>
          </w:p>
        </w:tc>
        <w:tc>
          <w:tcPr>
            <w:tcW w:w="889" w:type="dxa"/>
            <w:noWrap/>
            <w:vAlign w:val="center"/>
            <w:hideMark/>
          </w:tcPr>
          <w:p w14:paraId="1591B8E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139,1</w:t>
            </w:r>
          </w:p>
        </w:tc>
        <w:tc>
          <w:tcPr>
            <w:tcW w:w="889" w:type="dxa"/>
            <w:noWrap/>
            <w:vAlign w:val="center"/>
            <w:hideMark/>
          </w:tcPr>
          <w:p w14:paraId="126F8C01"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2,5</w:t>
            </w:r>
          </w:p>
        </w:tc>
        <w:tc>
          <w:tcPr>
            <w:tcW w:w="897" w:type="dxa"/>
            <w:noWrap/>
            <w:vAlign w:val="center"/>
            <w:hideMark/>
          </w:tcPr>
          <w:p w14:paraId="5C5AAF2B"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136,0</w:t>
            </w:r>
          </w:p>
        </w:tc>
        <w:tc>
          <w:tcPr>
            <w:tcW w:w="897" w:type="dxa"/>
            <w:noWrap/>
            <w:vAlign w:val="center"/>
            <w:hideMark/>
          </w:tcPr>
          <w:p w14:paraId="1DFEF64A"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2,5</w:t>
            </w:r>
          </w:p>
        </w:tc>
      </w:tr>
      <w:tr w:rsidR="001E3E7D" w:rsidRPr="0092013C" w14:paraId="54F7A4A2"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50AFDEC1"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Мере за очување ликвидности приватног сектора</w:t>
            </w:r>
          </w:p>
        </w:tc>
        <w:tc>
          <w:tcPr>
            <w:tcW w:w="889" w:type="dxa"/>
            <w:noWrap/>
            <w:vAlign w:val="center"/>
            <w:hideMark/>
          </w:tcPr>
          <w:p w14:paraId="0601646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89" w:type="dxa"/>
            <w:noWrap/>
            <w:vAlign w:val="center"/>
            <w:hideMark/>
          </w:tcPr>
          <w:p w14:paraId="7E74EE5F"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66E9AC7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2D8B52E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r>
      <w:tr w:rsidR="001E3E7D" w:rsidRPr="0092013C" w14:paraId="3A4F104C"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3B73B058"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Програм финансијске подршке током кризе COVID-19 преко Фонда за развој Републике Србије</w:t>
            </w:r>
          </w:p>
        </w:tc>
        <w:tc>
          <w:tcPr>
            <w:tcW w:w="889" w:type="dxa"/>
            <w:noWrap/>
            <w:vAlign w:val="center"/>
            <w:hideMark/>
          </w:tcPr>
          <w:p w14:paraId="6041037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24,0</w:t>
            </w:r>
          </w:p>
        </w:tc>
        <w:tc>
          <w:tcPr>
            <w:tcW w:w="889" w:type="dxa"/>
            <w:noWrap/>
            <w:vAlign w:val="center"/>
            <w:hideMark/>
          </w:tcPr>
          <w:p w14:paraId="392F1B30"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0,4</w:t>
            </w:r>
          </w:p>
        </w:tc>
        <w:tc>
          <w:tcPr>
            <w:tcW w:w="897" w:type="dxa"/>
            <w:noWrap/>
            <w:vAlign w:val="center"/>
            <w:hideMark/>
          </w:tcPr>
          <w:p w14:paraId="5F32DF4C"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16,3</w:t>
            </w:r>
          </w:p>
        </w:tc>
        <w:tc>
          <w:tcPr>
            <w:tcW w:w="897" w:type="dxa"/>
            <w:noWrap/>
            <w:vAlign w:val="center"/>
            <w:hideMark/>
          </w:tcPr>
          <w:p w14:paraId="3DAD3EC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0,3</w:t>
            </w:r>
          </w:p>
        </w:tc>
      </w:tr>
      <w:tr w:rsidR="001E3E7D" w:rsidRPr="0092013C" w14:paraId="1131179C"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0630F493"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Гарантне шеме за подршку економији током кризе COVID-19</w:t>
            </w:r>
          </w:p>
        </w:tc>
        <w:tc>
          <w:tcPr>
            <w:tcW w:w="889" w:type="dxa"/>
            <w:noWrap/>
            <w:vAlign w:val="center"/>
            <w:hideMark/>
          </w:tcPr>
          <w:p w14:paraId="1F237163"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240,0</w:t>
            </w:r>
          </w:p>
        </w:tc>
        <w:tc>
          <w:tcPr>
            <w:tcW w:w="889" w:type="dxa"/>
            <w:noWrap/>
            <w:vAlign w:val="center"/>
            <w:hideMark/>
          </w:tcPr>
          <w:p w14:paraId="2DC1AF78"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4,4</w:t>
            </w:r>
          </w:p>
        </w:tc>
        <w:tc>
          <w:tcPr>
            <w:tcW w:w="897" w:type="dxa"/>
            <w:noWrap/>
            <w:vAlign w:val="center"/>
            <w:hideMark/>
          </w:tcPr>
          <w:p w14:paraId="7A755386"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174,5</w:t>
            </w:r>
          </w:p>
        </w:tc>
        <w:tc>
          <w:tcPr>
            <w:tcW w:w="897" w:type="dxa"/>
            <w:noWrap/>
            <w:vAlign w:val="center"/>
            <w:hideMark/>
          </w:tcPr>
          <w:p w14:paraId="02124015"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3,2</w:t>
            </w:r>
          </w:p>
        </w:tc>
      </w:tr>
      <w:tr w:rsidR="001E3E7D" w:rsidRPr="0092013C" w14:paraId="224EAF14"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23637512"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Укупно</w:t>
            </w:r>
          </w:p>
        </w:tc>
        <w:tc>
          <w:tcPr>
            <w:tcW w:w="889" w:type="dxa"/>
            <w:noWrap/>
            <w:vAlign w:val="center"/>
            <w:hideMark/>
          </w:tcPr>
          <w:p w14:paraId="398F0343"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264,0</w:t>
            </w:r>
          </w:p>
        </w:tc>
        <w:tc>
          <w:tcPr>
            <w:tcW w:w="889" w:type="dxa"/>
            <w:noWrap/>
            <w:vAlign w:val="center"/>
            <w:hideMark/>
          </w:tcPr>
          <w:p w14:paraId="3E7D055F"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4,8</w:t>
            </w:r>
          </w:p>
        </w:tc>
        <w:tc>
          <w:tcPr>
            <w:tcW w:w="897" w:type="dxa"/>
            <w:noWrap/>
            <w:vAlign w:val="center"/>
            <w:hideMark/>
          </w:tcPr>
          <w:p w14:paraId="5D43D3CB"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190,8</w:t>
            </w:r>
          </w:p>
        </w:tc>
        <w:tc>
          <w:tcPr>
            <w:tcW w:w="897" w:type="dxa"/>
            <w:noWrap/>
            <w:vAlign w:val="center"/>
            <w:hideMark/>
          </w:tcPr>
          <w:p w14:paraId="0E20FB20"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3,5</w:t>
            </w:r>
          </w:p>
        </w:tc>
      </w:tr>
      <w:tr w:rsidR="001E3E7D" w:rsidRPr="0092013C" w14:paraId="5E86EACB"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3F9F4B70"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Остале мере</w:t>
            </w:r>
          </w:p>
        </w:tc>
        <w:tc>
          <w:tcPr>
            <w:tcW w:w="889" w:type="dxa"/>
            <w:noWrap/>
            <w:vAlign w:val="center"/>
            <w:hideMark/>
          </w:tcPr>
          <w:p w14:paraId="5D1DD1DD"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89" w:type="dxa"/>
            <w:noWrap/>
            <w:vAlign w:val="center"/>
            <w:hideMark/>
          </w:tcPr>
          <w:p w14:paraId="5C0904B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6107D7B8"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c>
          <w:tcPr>
            <w:tcW w:w="897" w:type="dxa"/>
            <w:noWrap/>
            <w:vAlign w:val="center"/>
            <w:hideMark/>
          </w:tcPr>
          <w:p w14:paraId="04EBA0DD"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p>
        </w:tc>
      </w:tr>
      <w:tr w:rsidR="001E3E7D" w:rsidRPr="0092013C" w14:paraId="533445EC"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78EA4389"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 xml:space="preserve">Мораторијум на дивиденде до краја године, искључујући јавна предузећа и губитак прихода који произлази из дивиденди </w:t>
            </w:r>
          </w:p>
        </w:tc>
        <w:tc>
          <w:tcPr>
            <w:tcW w:w="889" w:type="dxa"/>
            <w:noWrap/>
            <w:vAlign w:val="center"/>
            <w:hideMark/>
          </w:tcPr>
          <w:p w14:paraId="4E2DDE26"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16,0</w:t>
            </w:r>
          </w:p>
        </w:tc>
        <w:tc>
          <w:tcPr>
            <w:tcW w:w="889" w:type="dxa"/>
            <w:noWrap/>
            <w:vAlign w:val="center"/>
            <w:hideMark/>
          </w:tcPr>
          <w:p w14:paraId="50B0298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0,3</w:t>
            </w:r>
          </w:p>
        </w:tc>
        <w:tc>
          <w:tcPr>
            <w:tcW w:w="897" w:type="dxa"/>
            <w:noWrap/>
            <w:vAlign w:val="center"/>
            <w:hideMark/>
          </w:tcPr>
          <w:p w14:paraId="1136E695"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6,0</w:t>
            </w:r>
          </w:p>
        </w:tc>
        <w:tc>
          <w:tcPr>
            <w:tcW w:w="897" w:type="dxa"/>
            <w:noWrap/>
            <w:vAlign w:val="center"/>
            <w:hideMark/>
          </w:tcPr>
          <w:p w14:paraId="0238AC3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0,1</w:t>
            </w:r>
          </w:p>
        </w:tc>
      </w:tr>
      <w:tr w:rsidR="001E3E7D" w:rsidRPr="0092013C" w14:paraId="1E9F8D2F"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hideMark/>
          </w:tcPr>
          <w:p w14:paraId="176B5D8F"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Мере повећања зарада и друга директна новчана помоћ (10% повећање плата здравствених радника, директна новчана помоћ свим пензионерима (2 исплате - 4.000 РСД и 5.000 РСД), подршка пољопривредним произвођачима, бонус здравственим радницима од 10.000 РСД)</w:t>
            </w:r>
          </w:p>
        </w:tc>
        <w:tc>
          <w:tcPr>
            <w:tcW w:w="889" w:type="dxa"/>
            <w:noWrap/>
            <w:vAlign w:val="center"/>
            <w:hideMark/>
          </w:tcPr>
          <w:p w14:paraId="0CF0F3DF"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26,3</w:t>
            </w:r>
          </w:p>
        </w:tc>
        <w:tc>
          <w:tcPr>
            <w:tcW w:w="889" w:type="dxa"/>
            <w:noWrap/>
            <w:vAlign w:val="center"/>
            <w:hideMark/>
          </w:tcPr>
          <w:p w14:paraId="12C858FA"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0,5</w:t>
            </w:r>
          </w:p>
        </w:tc>
        <w:tc>
          <w:tcPr>
            <w:tcW w:w="897" w:type="dxa"/>
            <w:noWrap/>
            <w:vAlign w:val="center"/>
            <w:hideMark/>
          </w:tcPr>
          <w:p w14:paraId="2B0A33A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26,0</w:t>
            </w:r>
          </w:p>
        </w:tc>
        <w:tc>
          <w:tcPr>
            <w:tcW w:w="897" w:type="dxa"/>
            <w:noWrap/>
            <w:vAlign w:val="center"/>
            <w:hideMark/>
          </w:tcPr>
          <w:p w14:paraId="416D7147"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0,5</w:t>
            </w:r>
          </w:p>
        </w:tc>
      </w:tr>
      <w:tr w:rsidR="001E3E7D" w:rsidRPr="0092013C" w14:paraId="40F6B751"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69F7F620"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Фискални подстицај - исплата 100</w:t>
            </w:r>
            <w:r w:rsidRPr="0092013C">
              <w:rPr>
                <w:rFonts w:eastAsia="MS PGothic" w:cstheme="minorHAnsi"/>
                <w:b w:val="0"/>
                <w:color w:val="002060"/>
                <w:sz w:val="18"/>
                <w:szCs w:val="18"/>
                <w:lang w:val="sr-Latn-RS" w:eastAsia="ja-JP"/>
              </w:rPr>
              <w:t>€</w:t>
            </w:r>
            <w:r w:rsidRPr="0092013C">
              <w:rPr>
                <w:rFonts w:eastAsia="MS PGothic" w:cstheme="minorHAnsi"/>
                <w:b w:val="0"/>
                <w:color w:val="002060"/>
                <w:sz w:val="18"/>
                <w:szCs w:val="18"/>
                <w:lang w:val="sr-Cyrl-RS" w:eastAsia="ja-JP"/>
              </w:rPr>
              <w:t xml:space="preserve"> свим пунолетним грађанима, у динарској противвредности прерачунато по званичном средњем курсу НБС</w:t>
            </w:r>
          </w:p>
        </w:tc>
        <w:tc>
          <w:tcPr>
            <w:tcW w:w="889" w:type="dxa"/>
            <w:noWrap/>
            <w:vAlign w:val="center"/>
            <w:hideMark/>
          </w:tcPr>
          <w:p w14:paraId="68AA105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70,0</w:t>
            </w:r>
          </w:p>
        </w:tc>
        <w:tc>
          <w:tcPr>
            <w:tcW w:w="889" w:type="dxa"/>
            <w:noWrap/>
            <w:vAlign w:val="center"/>
            <w:hideMark/>
          </w:tcPr>
          <w:p w14:paraId="5F4227A8"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1,3</w:t>
            </w:r>
          </w:p>
        </w:tc>
        <w:tc>
          <w:tcPr>
            <w:tcW w:w="897" w:type="dxa"/>
            <w:noWrap/>
            <w:vAlign w:val="center"/>
            <w:hideMark/>
          </w:tcPr>
          <w:p w14:paraId="07F84581"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72,0</w:t>
            </w:r>
          </w:p>
        </w:tc>
        <w:tc>
          <w:tcPr>
            <w:tcW w:w="897" w:type="dxa"/>
            <w:noWrap/>
            <w:vAlign w:val="center"/>
            <w:hideMark/>
          </w:tcPr>
          <w:p w14:paraId="5A8F27CD"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1,3</w:t>
            </w:r>
          </w:p>
        </w:tc>
      </w:tr>
      <w:tr w:rsidR="001E3E7D" w:rsidRPr="0092013C" w14:paraId="21D078B4"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53E38214"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Укупно</w:t>
            </w:r>
          </w:p>
        </w:tc>
        <w:tc>
          <w:tcPr>
            <w:tcW w:w="889" w:type="dxa"/>
            <w:noWrap/>
            <w:vAlign w:val="center"/>
            <w:hideMark/>
          </w:tcPr>
          <w:p w14:paraId="5A02296F"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112,3</w:t>
            </w:r>
          </w:p>
        </w:tc>
        <w:tc>
          <w:tcPr>
            <w:tcW w:w="889" w:type="dxa"/>
            <w:noWrap/>
            <w:vAlign w:val="center"/>
            <w:hideMark/>
          </w:tcPr>
          <w:p w14:paraId="1FFC5DF2"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2,1</w:t>
            </w:r>
          </w:p>
        </w:tc>
        <w:tc>
          <w:tcPr>
            <w:tcW w:w="897" w:type="dxa"/>
            <w:noWrap/>
            <w:vAlign w:val="center"/>
            <w:hideMark/>
          </w:tcPr>
          <w:p w14:paraId="2FACBF7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104,0</w:t>
            </w:r>
          </w:p>
        </w:tc>
        <w:tc>
          <w:tcPr>
            <w:tcW w:w="897" w:type="dxa"/>
            <w:noWrap/>
            <w:vAlign w:val="center"/>
            <w:hideMark/>
          </w:tcPr>
          <w:p w14:paraId="113B0F8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1,9</w:t>
            </w:r>
          </w:p>
        </w:tc>
      </w:tr>
      <w:tr w:rsidR="001E3E7D" w:rsidRPr="0092013C" w14:paraId="066D5DBF"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55B35B1E"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Процена утицаја фискалних мера</w:t>
            </w:r>
          </w:p>
        </w:tc>
        <w:tc>
          <w:tcPr>
            <w:tcW w:w="889" w:type="dxa"/>
            <w:noWrap/>
            <w:vAlign w:val="center"/>
            <w:hideMark/>
          </w:tcPr>
          <w:p w14:paraId="5CBB83E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464,4</w:t>
            </w:r>
          </w:p>
        </w:tc>
        <w:tc>
          <w:tcPr>
            <w:tcW w:w="889" w:type="dxa"/>
            <w:noWrap/>
            <w:vAlign w:val="center"/>
            <w:hideMark/>
          </w:tcPr>
          <w:p w14:paraId="20C05EB5"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8,5</w:t>
            </w:r>
          </w:p>
        </w:tc>
        <w:tc>
          <w:tcPr>
            <w:tcW w:w="897" w:type="dxa"/>
            <w:noWrap/>
            <w:vAlign w:val="center"/>
            <w:hideMark/>
          </w:tcPr>
          <w:p w14:paraId="0EFE102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389,6</w:t>
            </w:r>
          </w:p>
        </w:tc>
        <w:tc>
          <w:tcPr>
            <w:tcW w:w="897" w:type="dxa"/>
            <w:noWrap/>
            <w:vAlign w:val="center"/>
            <w:hideMark/>
          </w:tcPr>
          <w:p w14:paraId="43BEB688"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7,1</w:t>
            </w:r>
          </w:p>
        </w:tc>
      </w:tr>
      <w:tr w:rsidR="001E3E7D" w:rsidRPr="0092013C" w14:paraId="0F9BF8AB"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2CB20FCD" w14:textId="77777777" w:rsidR="001E3E7D" w:rsidRPr="0092013C" w:rsidRDefault="001E3E7D" w:rsidP="008265F0">
            <w:pPr>
              <w:spacing w:line="276" w:lineRule="auto"/>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Укупан пакет мера</w:t>
            </w:r>
          </w:p>
        </w:tc>
        <w:tc>
          <w:tcPr>
            <w:tcW w:w="889" w:type="dxa"/>
            <w:noWrap/>
            <w:vAlign w:val="center"/>
            <w:hideMark/>
          </w:tcPr>
          <w:p w14:paraId="4614F3C7"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704,4</w:t>
            </w:r>
          </w:p>
        </w:tc>
        <w:tc>
          <w:tcPr>
            <w:tcW w:w="889" w:type="dxa"/>
            <w:noWrap/>
            <w:vAlign w:val="center"/>
            <w:hideMark/>
          </w:tcPr>
          <w:p w14:paraId="2CD8FE00"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12,9</w:t>
            </w:r>
          </w:p>
        </w:tc>
        <w:tc>
          <w:tcPr>
            <w:tcW w:w="897" w:type="dxa"/>
            <w:noWrap/>
            <w:vAlign w:val="center"/>
            <w:hideMark/>
          </w:tcPr>
          <w:p w14:paraId="1B94FE46"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564,1</w:t>
            </w:r>
          </w:p>
        </w:tc>
        <w:tc>
          <w:tcPr>
            <w:tcW w:w="897" w:type="dxa"/>
            <w:noWrap/>
            <w:vAlign w:val="center"/>
            <w:hideMark/>
          </w:tcPr>
          <w:p w14:paraId="3DEB86B7"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
                <w:color w:val="002060"/>
                <w:sz w:val="18"/>
                <w:szCs w:val="18"/>
                <w:lang w:val="sr-Cyrl-RS" w:eastAsia="ja-JP"/>
              </w:rPr>
            </w:pPr>
            <w:r w:rsidRPr="0092013C">
              <w:rPr>
                <w:rFonts w:eastAsia="MS PGothic" w:cstheme="minorHAnsi"/>
                <w:b/>
                <w:color w:val="002060"/>
                <w:sz w:val="18"/>
                <w:szCs w:val="18"/>
                <w:lang w:val="sr-Cyrl-RS" w:eastAsia="ja-JP"/>
              </w:rPr>
              <w:t>10,3</w:t>
            </w:r>
          </w:p>
        </w:tc>
      </w:tr>
      <w:tr w:rsidR="001E3E7D" w:rsidRPr="0092013C" w14:paraId="15301D29" w14:textId="77777777" w:rsidTr="005E67C7">
        <w:trPr>
          <w:cnfStyle w:val="000000100000" w:firstRow="0" w:lastRow="0" w:firstColumn="0" w:lastColumn="0" w:oddVBand="0" w:evenVBand="0" w:oddHBand="1" w:evenHBand="0" w:firstRowFirstColumn="0" w:firstRowLastColumn="0" w:lastRowFirstColumn="0" w:lastRowLastColumn="0"/>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6D9F77F5" w14:textId="77777777" w:rsidR="001E3E7D" w:rsidRPr="0092013C" w:rsidRDefault="001E3E7D" w:rsidP="008265F0">
            <w:pPr>
              <w:spacing w:line="276" w:lineRule="auto"/>
              <w:rPr>
                <w:rFonts w:eastAsia="MS PGothic" w:cstheme="minorHAnsi"/>
                <w:b w:val="0"/>
                <w:color w:val="002060"/>
                <w:sz w:val="18"/>
                <w:szCs w:val="18"/>
                <w:lang w:val="sr-Cyrl-RS" w:eastAsia="ja-JP"/>
              </w:rPr>
            </w:pPr>
            <w:r w:rsidRPr="0092013C">
              <w:rPr>
                <w:rFonts w:eastAsia="MS PGothic" w:cstheme="minorHAnsi"/>
                <w:b w:val="0"/>
                <w:color w:val="002060"/>
                <w:sz w:val="18"/>
                <w:szCs w:val="18"/>
                <w:lang w:val="sr-Cyrl-RS" w:eastAsia="ja-JP"/>
              </w:rPr>
              <w:t>Остали трошкови везани за COVID-19 (медицинска опрема и лекови)</w:t>
            </w:r>
          </w:p>
        </w:tc>
        <w:tc>
          <w:tcPr>
            <w:tcW w:w="889" w:type="dxa"/>
            <w:noWrap/>
            <w:vAlign w:val="center"/>
            <w:hideMark/>
          </w:tcPr>
          <w:p w14:paraId="19C9E8EB"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c>
          <w:tcPr>
            <w:tcW w:w="889" w:type="dxa"/>
            <w:noWrap/>
            <w:vAlign w:val="center"/>
            <w:hideMark/>
          </w:tcPr>
          <w:p w14:paraId="71F93D0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w:t>
            </w:r>
          </w:p>
        </w:tc>
        <w:tc>
          <w:tcPr>
            <w:tcW w:w="897" w:type="dxa"/>
            <w:noWrap/>
            <w:vAlign w:val="center"/>
            <w:hideMark/>
          </w:tcPr>
          <w:p w14:paraId="01A76EEB"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72</w:t>
            </w:r>
          </w:p>
        </w:tc>
        <w:tc>
          <w:tcPr>
            <w:tcW w:w="897" w:type="dxa"/>
            <w:noWrap/>
            <w:vAlign w:val="center"/>
            <w:hideMark/>
          </w:tcPr>
          <w:p w14:paraId="0F56EF89" w14:textId="77777777" w:rsidR="001E3E7D" w:rsidRPr="0092013C" w:rsidRDefault="001E3E7D" w:rsidP="005E67C7">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color w:val="002060"/>
                <w:sz w:val="18"/>
                <w:szCs w:val="18"/>
                <w:lang w:val="sr-Cyrl-RS" w:eastAsia="ja-JP"/>
              </w:rPr>
            </w:pPr>
            <w:r w:rsidRPr="0092013C">
              <w:rPr>
                <w:rFonts w:eastAsia="MS PGothic" w:cstheme="minorHAnsi"/>
                <w:color w:val="002060"/>
                <w:sz w:val="18"/>
                <w:szCs w:val="18"/>
                <w:lang w:val="sr-Cyrl-RS" w:eastAsia="ja-JP"/>
              </w:rPr>
              <w:t>1,3</w:t>
            </w:r>
          </w:p>
        </w:tc>
      </w:tr>
      <w:tr w:rsidR="001E3E7D" w:rsidRPr="0092013C" w14:paraId="3BEB4173" w14:textId="77777777" w:rsidTr="005E67C7">
        <w:trPr>
          <w:trHeight w:val="22"/>
        </w:trPr>
        <w:tc>
          <w:tcPr>
            <w:cnfStyle w:val="001000000000" w:firstRow="0" w:lastRow="0" w:firstColumn="1" w:lastColumn="0" w:oddVBand="0" w:evenVBand="0" w:oddHBand="0" w:evenHBand="0" w:firstRowFirstColumn="0" w:firstRowLastColumn="0" w:lastRowFirstColumn="0" w:lastRowLastColumn="0"/>
            <w:tcW w:w="7230" w:type="dxa"/>
            <w:noWrap/>
            <w:hideMark/>
          </w:tcPr>
          <w:p w14:paraId="71DB6A52" w14:textId="77777777" w:rsidR="001E3E7D" w:rsidRPr="0092013C" w:rsidRDefault="001E3E7D" w:rsidP="008265F0">
            <w:pPr>
              <w:spacing w:line="276" w:lineRule="auto"/>
              <w:rPr>
                <w:rFonts w:eastAsia="MS PGothic" w:cstheme="minorHAnsi"/>
                <w:color w:val="002060"/>
                <w:sz w:val="18"/>
                <w:szCs w:val="18"/>
                <w:lang w:val="sr-Latn-RS" w:eastAsia="ja-JP"/>
              </w:rPr>
            </w:pPr>
            <w:r w:rsidRPr="0092013C">
              <w:rPr>
                <w:rFonts w:eastAsia="MS PGothic" w:cstheme="minorHAnsi"/>
                <w:color w:val="002060"/>
                <w:sz w:val="18"/>
                <w:szCs w:val="18"/>
                <w:lang w:val="sr-Cyrl-RS" w:eastAsia="ja-JP"/>
              </w:rPr>
              <w:t xml:space="preserve">Укупни трошкови везани за COVID-19 </w:t>
            </w:r>
          </w:p>
        </w:tc>
        <w:tc>
          <w:tcPr>
            <w:tcW w:w="889" w:type="dxa"/>
            <w:noWrap/>
            <w:vAlign w:val="center"/>
            <w:hideMark/>
          </w:tcPr>
          <w:p w14:paraId="098ACBBC"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RS" w:eastAsia="ja-JP"/>
              </w:rPr>
            </w:pPr>
            <w:r w:rsidRPr="0092013C">
              <w:rPr>
                <w:rFonts w:eastAsia="MS PGothic" w:cstheme="minorHAnsi"/>
                <w:b/>
                <w:bCs/>
                <w:color w:val="002060"/>
                <w:sz w:val="18"/>
                <w:szCs w:val="18"/>
                <w:lang w:val="sr-Cyrl-RS" w:eastAsia="ja-JP"/>
              </w:rPr>
              <w:t>704,4</w:t>
            </w:r>
          </w:p>
        </w:tc>
        <w:tc>
          <w:tcPr>
            <w:tcW w:w="889" w:type="dxa"/>
            <w:noWrap/>
            <w:vAlign w:val="center"/>
            <w:hideMark/>
          </w:tcPr>
          <w:p w14:paraId="2CB69170"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RS" w:eastAsia="ja-JP"/>
              </w:rPr>
            </w:pPr>
            <w:r w:rsidRPr="0092013C">
              <w:rPr>
                <w:rFonts w:eastAsia="MS PGothic" w:cstheme="minorHAnsi"/>
                <w:b/>
                <w:bCs/>
                <w:color w:val="002060"/>
                <w:sz w:val="18"/>
                <w:szCs w:val="18"/>
                <w:lang w:val="sr-Cyrl-RS" w:eastAsia="ja-JP"/>
              </w:rPr>
              <w:t>12,9</w:t>
            </w:r>
          </w:p>
        </w:tc>
        <w:tc>
          <w:tcPr>
            <w:tcW w:w="897" w:type="dxa"/>
            <w:noWrap/>
            <w:vAlign w:val="center"/>
            <w:hideMark/>
          </w:tcPr>
          <w:p w14:paraId="72F63A9E"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RS" w:eastAsia="ja-JP"/>
              </w:rPr>
            </w:pPr>
            <w:r w:rsidRPr="0092013C">
              <w:rPr>
                <w:rFonts w:eastAsia="MS PGothic" w:cstheme="minorHAnsi"/>
                <w:b/>
                <w:bCs/>
                <w:color w:val="002060"/>
                <w:sz w:val="18"/>
                <w:szCs w:val="18"/>
                <w:lang w:val="sr-Cyrl-RS" w:eastAsia="ja-JP"/>
              </w:rPr>
              <w:t>636,1</w:t>
            </w:r>
          </w:p>
        </w:tc>
        <w:tc>
          <w:tcPr>
            <w:tcW w:w="897" w:type="dxa"/>
            <w:noWrap/>
            <w:vAlign w:val="center"/>
            <w:hideMark/>
          </w:tcPr>
          <w:p w14:paraId="6B33C3CB" w14:textId="77777777" w:rsidR="001E3E7D" w:rsidRPr="0092013C" w:rsidRDefault="001E3E7D" w:rsidP="005E67C7">
            <w:pPr>
              <w:spacing w:line="276" w:lineRule="auto"/>
              <w:jc w:val="center"/>
              <w:cnfStyle w:val="000000000000" w:firstRow="0" w:lastRow="0" w:firstColumn="0" w:lastColumn="0" w:oddVBand="0" w:evenVBand="0" w:oddHBand="0" w:evenHBand="0" w:firstRowFirstColumn="0" w:firstRowLastColumn="0" w:lastRowFirstColumn="0" w:lastRowLastColumn="0"/>
              <w:rPr>
                <w:rFonts w:eastAsia="MS PGothic" w:cstheme="minorHAnsi"/>
                <w:bCs/>
                <w:color w:val="002060"/>
                <w:sz w:val="18"/>
                <w:szCs w:val="18"/>
                <w:lang w:val="sr-Cyrl-RS" w:eastAsia="ja-JP"/>
              </w:rPr>
            </w:pPr>
            <w:r w:rsidRPr="0092013C">
              <w:rPr>
                <w:rFonts w:eastAsia="MS PGothic" w:cstheme="minorHAnsi"/>
                <w:b/>
                <w:bCs/>
                <w:color w:val="002060"/>
                <w:sz w:val="18"/>
                <w:szCs w:val="18"/>
                <w:lang w:val="sr-Cyrl-RS" w:eastAsia="ja-JP"/>
              </w:rPr>
              <w:t>11,6</w:t>
            </w:r>
          </w:p>
        </w:tc>
      </w:tr>
      <w:tr w:rsidR="001E3E7D" w:rsidRPr="0092013C" w14:paraId="433841CB" w14:textId="77777777" w:rsidTr="005E67C7">
        <w:trPr>
          <w:cnfStyle w:val="000000100000" w:firstRow="0" w:lastRow="0" w:firstColumn="0" w:lastColumn="0" w:oddVBand="0" w:evenVBand="0" w:oddHBand="1" w:evenHBand="0" w:firstRowFirstColumn="0" w:firstRowLastColumn="0" w:lastRowFirstColumn="0" w:lastRowLastColumn="0"/>
          <w:trHeight w:val="80"/>
        </w:trPr>
        <w:tc>
          <w:tcPr>
            <w:cnfStyle w:val="001000000000" w:firstRow="0" w:lastRow="0" w:firstColumn="1" w:lastColumn="0" w:oddVBand="0" w:evenVBand="0" w:oddHBand="0" w:evenHBand="0" w:firstRowFirstColumn="0" w:firstRowLastColumn="0" w:lastRowFirstColumn="0" w:lastRowLastColumn="0"/>
            <w:tcW w:w="7230" w:type="dxa"/>
            <w:noWrap/>
          </w:tcPr>
          <w:p w14:paraId="4B3AB89C" w14:textId="77777777" w:rsidR="001E3E7D" w:rsidRPr="0092013C" w:rsidRDefault="001E3E7D" w:rsidP="008265F0">
            <w:pPr>
              <w:spacing w:line="276" w:lineRule="auto"/>
              <w:rPr>
                <w:rFonts w:eastAsia="MS PGothic" w:cstheme="minorHAnsi"/>
                <w:color w:val="002060"/>
                <w:sz w:val="18"/>
                <w:szCs w:val="18"/>
                <w:lang w:val="sr-Cyrl-RS" w:eastAsia="ja-JP"/>
              </w:rPr>
            </w:pPr>
          </w:p>
        </w:tc>
        <w:tc>
          <w:tcPr>
            <w:tcW w:w="889" w:type="dxa"/>
            <w:noWrap/>
            <w:vAlign w:val="bottom"/>
          </w:tcPr>
          <w:p w14:paraId="26C91EBA" w14:textId="77777777" w:rsidR="001E3E7D" w:rsidRPr="0092013C" w:rsidRDefault="001E3E7D" w:rsidP="008265F0">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 w:val="18"/>
                <w:szCs w:val="18"/>
                <w:lang w:val="sr-Cyrl-RS" w:eastAsia="ja-JP"/>
              </w:rPr>
            </w:pPr>
          </w:p>
        </w:tc>
        <w:tc>
          <w:tcPr>
            <w:tcW w:w="889" w:type="dxa"/>
            <w:noWrap/>
            <w:vAlign w:val="bottom"/>
          </w:tcPr>
          <w:p w14:paraId="0CAC882F" w14:textId="77777777" w:rsidR="001E3E7D" w:rsidRPr="0092013C" w:rsidRDefault="001E3E7D" w:rsidP="008265F0">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 w:val="18"/>
                <w:szCs w:val="18"/>
                <w:lang w:val="sr-Cyrl-RS" w:eastAsia="ja-JP"/>
              </w:rPr>
            </w:pPr>
          </w:p>
        </w:tc>
        <w:tc>
          <w:tcPr>
            <w:tcW w:w="897" w:type="dxa"/>
            <w:noWrap/>
            <w:vAlign w:val="bottom"/>
          </w:tcPr>
          <w:p w14:paraId="51F138E8" w14:textId="77777777" w:rsidR="001E3E7D" w:rsidRPr="0092013C" w:rsidRDefault="001E3E7D" w:rsidP="008265F0">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 w:val="18"/>
                <w:szCs w:val="18"/>
                <w:lang w:val="sr-Cyrl-RS" w:eastAsia="ja-JP"/>
              </w:rPr>
            </w:pPr>
          </w:p>
        </w:tc>
        <w:tc>
          <w:tcPr>
            <w:tcW w:w="897" w:type="dxa"/>
            <w:noWrap/>
            <w:vAlign w:val="bottom"/>
          </w:tcPr>
          <w:p w14:paraId="2E210136" w14:textId="77777777" w:rsidR="001E3E7D" w:rsidRPr="0092013C" w:rsidRDefault="001E3E7D" w:rsidP="008265F0">
            <w:pPr>
              <w:spacing w:line="276" w:lineRule="auto"/>
              <w:jc w:val="center"/>
              <w:cnfStyle w:val="000000100000" w:firstRow="0" w:lastRow="0" w:firstColumn="0" w:lastColumn="0" w:oddVBand="0" w:evenVBand="0" w:oddHBand="1" w:evenHBand="0" w:firstRowFirstColumn="0" w:firstRowLastColumn="0" w:lastRowFirstColumn="0" w:lastRowLastColumn="0"/>
              <w:rPr>
                <w:rFonts w:eastAsia="MS PGothic" w:cstheme="minorHAnsi"/>
                <w:b/>
                <w:bCs/>
                <w:color w:val="002060"/>
                <w:sz w:val="18"/>
                <w:szCs w:val="18"/>
                <w:lang w:val="sr-Cyrl-RS" w:eastAsia="ja-JP"/>
              </w:rPr>
            </w:pPr>
          </w:p>
        </w:tc>
      </w:tr>
    </w:tbl>
    <w:p w14:paraId="6040E608" w14:textId="77777777" w:rsidR="008265F0" w:rsidRDefault="008265F0" w:rsidP="008265F0">
      <w:pPr>
        <w:rPr>
          <w:lang w:val="sr-Cyrl-RS" w:eastAsia="ja-JP"/>
        </w:rPr>
      </w:pPr>
      <w:bookmarkStart w:id="22" w:name="_Toc11155992"/>
      <w:bookmarkStart w:id="23" w:name="_Toc56667077"/>
      <w:bookmarkStart w:id="24" w:name="_Toc11155993"/>
      <w:bookmarkEnd w:id="21"/>
    </w:p>
    <w:p w14:paraId="34C5A037" w14:textId="77777777" w:rsidR="008265F0" w:rsidRDefault="008265F0" w:rsidP="008265F0">
      <w:pPr>
        <w:jc w:val="left"/>
        <w:rPr>
          <w:lang w:val="sr-Cyrl-RS" w:eastAsia="ja-JP"/>
        </w:rPr>
      </w:pPr>
      <w:r>
        <w:rPr>
          <w:lang w:val="sr-Cyrl-RS" w:eastAsia="ja-JP"/>
        </w:rPr>
        <w:br w:type="page"/>
      </w:r>
    </w:p>
    <w:p w14:paraId="1CA0399F" w14:textId="77777777" w:rsidR="008265F0" w:rsidRDefault="008265F0" w:rsidP="008265F0">
      <w:pPr>
        <w:keepNext/>
        <w:keepLines/>
        <w:spacing w:after="120"/>
        <w:jc w:val="center"/>
        <w:outlineLvl w:val="1"/>
        <w:rPr>
          <w:rFonts w:eastAsia="MS PGothic" w:cstheme="minorHAnsi"/>
          <w:b/>
          <w:color w:val="2F5496" w:themeColor="accent1" w:themeShade="BF"/>
          <w:sz w:val="24"/>
          <w:szCs w:val="26"/>
          <w:lang w:val="sr-Cyrl-RS" w:eastAsia="ja-JP"/>
        </w:rPr>
        <w:sectPr w:rsidR="008265F0" w:rsidSect="00AE40EB">
          <w:type w:val="continuous"/>
          <w:pgSz w:w="12240" w:h="15840" w:code="1"/>
          <w:pgMar w:top="1440" w:right="1440" w:bottom="1440" w:left="1440" w:header="720" w:footer="720" w:gutter="0"/>
          <w:cols w:num="2" w:space="720"/>
          <w:docGrid w:linePitch="360"/>
        </w:sectPr>
      </w:pPr>
    </w:p>
    <w:p w14:paraId="49CF41DB" w14:textId="77777777" w:rsidR="001E3E7D" w:rsidRPr="008265F0" w:rsidRDefault="001E3E7D" w:rsidP="008265F0">
      <w:pPr>
        <w:keepNext/>
        <w:keepLines/>
        <w:spacing w:after="120"/>
        <w:jc w:val="center"/>
        <w:outlineLvl w:val="1"/>
        <w:rPr>
          <w:rFonts w:eastAsia="MS PGothic" w:cstheme="minorHAnsi"/>
          <w:b/>
          <w:color w:val="2F5496" w:themeColor="accent1" w:themeShade="BF"/>
          <w:sz w:val="24"/>
          <w:szCs w:val="26"/>
          <w:lang w:val="sr-Cyrl-RS" w:eastAsia="ja-JP"/>
        </w:rPr>
      </w:pPr>
      <w:bookmarkStart w:id="25" w:name="_Toc73364969"/>
      <w:r w:rsidRPr="00EA3D8C">
        <w:rPr>
          <w:rFonts w:eastAsia="MS PGothic" w:cstheme="minorHAnsi"/>
          <w:b/>
          <w:color w:val="2F5496" w:themeColor="accent1" w:themeShade="BF"/>
          <w:sz w:val="24"/>
          <w:szCs w:val="26"/>
          <w:lang w:val="sr-Cyrl-RS" w:eastAsia="ja-JP"/>
        </w:rPr>
        <w:lastRenderedPageBreak/>
        <w:t>3. Текућа фи</w:t>
      </w:r>
      <w:r>
        <w:rPr>
          <w:rFonts w:eastAsia="MS PGothic" w:cstheme="minorHAnsi"/>
          <w:b/>
          <w:color w:val="2F5496" w:themeColor="accent1" w:themeShade="BF"/>
          <w:sz w:val="24"/>
          <w:szCs w:val="26"/>
          <w:lang w:val="sr-Cyrl-RS" w:eastAsia="ja-JP"/>
        </w:rPr>
        <w:t>скална кретања и изгледи за 2021</w:t>
      </w:r>
      <w:r w:rsidRPr="00EA3D8C">
        <w:rPr>
          <w:rFonts w:eastAsia="MS PGothic" w:cstheme="minorHAnsi"/>
          <w:b/>
          <w:color w:val="2F5496" w:themeColor="accent1" w:themeShade="BF"/>
          <w:sz w:val="24"/>
          <w:szCs w:val="26"/>
          <w:lang w:val="sr-Cyrl-RS" w:eastAsia="ja-JP"/>
        </w:rPr>
        <w:t>. годину</w:t>
      </w:r>
      <w:bookmarkEnd w:id="22"/>
      <w:bookmarkEnd w:id="23"/>
      <w:bookmarkEnd w:id="25"/>
    </w:p>
    <w:p w14:paraId="2F1E5822" w14:textId="77777777" w:rsidR="008265F0" w:rsidRDefault="008265F0" w:rsidP="008265F0">
      <w:pPr>
        <w:rPr>
          <w:rFonts w:eastAsia="MS PGothic" w:cstheme="minorHAnsi"/>
          <w:szCs w:val="20"/>
          <w:lang w:val="sr-Cyrl-RS" w:eastAsia="ja-JP"/>
        </w:rPr>
        <w:sectPr w:rsidR="008265F0" w:rsidSect="008265F0">
          <w:type w:val="continuous"/>
          <w:pgSz w:w="12240" w:h="15840" w:code="1"/>
          <w:pgMar w:top="1440" w:right="1440" w:bottom="1440" w:left="1440" w:header="720" w:footer="720" w:gutter="0"/>
          <w:cols w:space="720"/>
          <w:docGrid w:linePitch="360"/>
        </w:sectPr>
      </w:pPr>
    </w:p>
    <w:p w14:paraId="3A27E792" w14:textId="77777777" w:rsidR="001E3E7D" w:rsidRPr="004A2E36" w:rsidRDefault="001E3E7D" w:rsidP="008265F0">
      <w:pPr>
        <w:spacing w:after="60"/>
        <w:rPr>
          <w:rFonts w:eastAsia="MS PGothic" w:cstheme="minorHAnsi"/>
          <w:szCs w:val="20"/>
          <w:lang w:val="sr-Cyrl-RS" w:eastAsia="ja-JP"/>
        </w:rPr>
      </w:pPr>
      <w:r w:rsidRPr="004A2E36">
        <w:rPr>
          <w:rFonts w:eastAsia="MS PGothic" w:cstheme="minorHAnsi"/>
          <w:szCs w:val="20"/>
          <w:lang w:val="sr-Cyrl-RS" w:eastAsia="ja-JP"/>
        </w:rPr>
        <w:t>Фискални дефицит опште државе у 2021. години, према последњим проценама, износиће 6,9% БДП. У односу на резултат предвиђен оригиналним буџетом за 2021. годину дефицит је већи за 3,9 п.п. (планирани дефицит износио је 3% БДП). Следећи фактори довели су до ревизије фискалног резултата</w:t>
      </w:r>
      <w:r w:rsidR="008265F0">
        <w:rPr>
          <w:rFonts w:eastAsia="MS PGothic" w:cstheme="minorHAnsi"/>
          <w:szCs w:val="20"/>
          <w:lang w:val="sr-Cyrl-RS" w:eastAsia="ja-JP"/>
        </w:rPr>
        <w:t xml:space="preserve"> опште државе у текућој години:</w:t>
      </w:r>
    </w:p>
    <w:p w14:paraId="27EB9000" w14:textId="77777777" w:rsidR="001E3E7D" w:rsidRPr="004A2E36" w:rsidRDefault="001E3E7D" w:rsidP="008265F0">
      <w:pPr>
        <w:numPr>
          <w:ilvl w:val="0"/>
          <w:numId w:val="49"/>
        </w:numPr>
        <w:ind w:left="567"/>
        <w:contextualSpacing/>
        <w:rPr>
          <w:rFonts w:eastAsia="MS PGothic" w:cstheme="minorHAnsi"/>
          <w:szCs w:val="20"/>
          <w:lang w:val="sr-Cyrl-RS" w:eastAsia="ja-JP"/>
        </w:rPr>
      </w:pPr>
      <w:r w:rsidRPr="004A2E36">
        <w:rPr>
          <w:rFonts w:eastAsia="MS PGothic" w:cstheme="minorHAnsi"/>
          <w:szCs w:val="20"/>
          <w:lang w:val="sr-Cyrl-RS" w:eastAsia="ja-JP"/>
        </w:rPr>
        <w:t>операционализација трећег пакета економске подршке привреди услед продуженог трајања пандемије КОВИД-19;</w:t>
      </w:r>
    </w:p>
    <w:p w14:paraId="1300202D" w14:textId="77777777" w:rsidR="001E3E7D" w:rsidRPr="004A2E36" w:rsidRDefault="001E3E7D" w:rsidP="008265F0">
      <w:pPr>
        <w:numPr>
          <w:ilvl w:val="0"/>
          <w:numId w:val="47"/>
        </w:numPr>
        <w:ind w:left="567"/>
        <w:contextualSpacing/>
        <w:rPr>
          <w:rFonts w:eastAsia="MS PGothic" w:cstheme="minorHAnsi"/>
          <w:szCs w:val="20"/>
          <w:lang w:val="sr-Cyrl-RS" w:eastAsia="ja-JP"/>
        </w:rPr>
      </w:pPr>
      <w:r w:rsidRPr="004A2E36">
        <w:rPr>
          <w:rFonts w:eastAsia="MS PGothic" w:cstheme="minorHAnsi"/>
          <w:szCs w:val="20"/>
          <w:lang w:val="sr-Cyrl-RS" w:eastAsia="ja-JP"/>
        </w:rPr>
        <w:t>обезбеђивање додатних средстава за здравствену заштиту становништва;</w:t>
      </w:r>
    </w:p>
    <w:p w14:paraId="06DF1F77" w14:textId="77777777" w:rsidR="001E3E7D" w:rsidRPr="004A2E36" w:rsidRDefault="001E3E7D" w:rsidP="008265F0">
      <w:pPr>
        <w:numPr>
          <w:ilvl w:val="0"/>
          <w:numId w:val="47"/>
        </w:numPr>
        <w:ind w:left="567"/>
        <w:contextualSpacing/>
        <w:rPr>
          <w:rFonts w:eastAsia="MS PGothic" w:cstheme="minorHAnsi"/>
          <w:szCs w:val="20"/>
          <w:lang w:val="sr-Cyrl-RS" w:eastAsia="ja-JP"/>
        </w:rPr>
      </w:pPr>
      <w:r w:rsidRPr="004A2E36">
        <w:rPr>
          <w:rFonts w:eastAsia="MS PGothic" w:cstheme="minorHAnsi"/>
          <w:szCs w:val="20"/>
          <w:lang w:val="sr-Cyrl-RS" w:eastAsia="ja-JP"/>
        </w:rPr>
        <w:t>повећано улагање у инфраструктурне пројекте у циљу опоравка привредног раста;</w:t>
      </w:r>
    </w:p>
    <w:p w14:paraId="38C6C5CA" w14:textId="77777777" w:rsidR="001E3E7D" w:rsidRPr="004A2E36" w:rsidRDefault="001E3E7D" w:rsidP="008265F0">
      <w:pPr>
        <w:numPr>
          <w:ilvl w:val="0"/>
          <w:numId w:val="47"/>
        </w:numPr>
        <w:ind w:left="567" w:hanging="357"/>
        <w:rPr>
          <w:rFonts w:eastAsia="MS PGothic" w:cstheme="minorHAnsi"/>
          <w:szCs w:val="20"/>
          <w:lang w:val="sr-Cyrl-RS" w:eastAsia="ja-JP"/>
        </w:rPr>
      </w:pPr>
      <w:r w:rsidRPr="004A2E36">
        <w:rPr>
          <w:rFonts w:eastAsia="MS PGothic" w:cstheme="minorHAnsi"/>
          <w:szCs w:val="20"/>
          <w:lang w:val="sr-Cyrl-RS" w:eastAsia="ja-JP"/>
        </w:rPr>
        <w:t>ревизија пројекције прихода опште државе.</w:t>
      </w:r>
    </w:p>
    <w:p w14:paraId="3C9E9AA5" w14:textId="77777777" w:rsidR="001E3E7D" w:rsidRPr="004A2E36" w:rsidRDefault="001E3E7D" w:rsidP="008265F0">
      <w:pPr>
        <w:rPr>
          <w:rFonts w:eastAsia="MS PGothic" w:cstheme="minorHAnsi"/>
          <w:szCs w:val="20"/>
          <w:lang w:val="sr-Cyrl-RS" w:eastAsia="ja-JP"/>
        </w:rPr>
      </w:pPr>
      <w:r w:rsidRPr="004A2E36">
        <w:rPr>
          <w:rFonts w:eastAsia="MS PGothic" w:cstheme="minorHAnsi"/>
          <w:szCs w:val="20"/>
          <w:lang w:val="sr-Cyrl-RS" w:eastAsia="ja-JP"/>
        </w:rPr>
        <w:t xml:space="preserve">Промене на приходној и расходној страни условиле су усвајање ребаланса буџета за 2021. годину, који је Народна скупштина усвојила током априла ове године. </w:t>
      </w:r>
    </w:p>
    <w:p w14:paraId="2B9F71A0" w14:textId="77777777" w:rsidR="001E3E7D" w:rsidRPr="004A2E36" w:rsidRDefault="001E3E7D" w:rsidP="008265F0">
      <w:pPr>
        <w:rPr>
          <w:rFonts w:eastAsia="MS PGothic" w:cstheme="minorHAnsi"/>
          <w:szCs w:val="20"/>
          <w:lang w:val="sr-Cyrl-RS" w:eastAsia="ja-JP"/>
        </w:rPr>
      </w:pPr>
      <w:r w:rsidRPr="004A2E36">
        <w:rPr>
          <w:rFonts w:eastAsia="MS PGothic" w:cstheme="minorHAnsi"/>
          <w:szCs w:val="20"/>
          <w:lang w:val="sr-Cyrl-RS" w:eastAsia="ja-JP"/>
        </w:rPr>
        <w:t>Тренд пада учешћа јавног дуга у БД</w:t>
      </w:r>
      <w:r w:rsidR="005E67C7">
        <w:rPr>
          <w:rFonts w:eastAsia="MS PGothic" w:cstheme="minorHAnsi"/>
          <w:szCs w:val="20"/>
          <w:lang w:val="sr-Cyrl-RS" w:eastAsia="ja-JP"/>
        </w:rPr>
        <w:t>П, присутан од 2016. године, ус</w:t>
      </w:r>
      <w:r w:rsidRPr="004A2E36">
        <w:rPr>
          <w:rFonts w:eastAsia="MS PGothic" w:cstheme="minorHAnsi"/>
          <w:szCs w:val="20"/>
          <w:lang w:val="sr-Cyrl-RS" w:eastAsia="ja-JP"/>
        </w:rPr>
        <w:t>лед кризе изазване пандемијом КОВИД-19 током 2020. и 2021. године привремено је прекинут. У наредном периоду се очекује да ће услед стабилизације економских кретања, убрзаног привредног опоравка и планираног кретања фискалног резултата у средњем року, путања јавног дуга поново бити опадајућа.</w:t>
      </w:r>
    </w:p>
    <w:p w14:paraId="1ED6DE1E" w14:textId="77777777" w:rsidR="001E3E7D" w:rsidRPr="00D44A90" w:rsidRDefault="001E3E7D" w:rsidP="008265F0">
      <w:pPr>
        <w:keepNext/>
        <w:keepLines/>
        <w:jc w:val="center"/>
        <w:rPr>
          <w:rFonts w:cstheme="minorHAnsi"/>
          <w:b/>
          <w:color w:val="002060"/>
          <w:lang w:val="sr-Cyrl-RS"/>
        </w:rPr>
      </w:pPr>
      <w:r w:rsidRPr="00D44A90">
        <w:rPr>
          <w:rFonts w:cstheme="minorHAnsi"/>
          <w:b/>
          <w:color w:val="002060"/>
          <w:lang w:val="sr-Cyrl-RS"/>
        </w:rPr>
        <w:t>Фискални резултат опште државе у периоду од 2015. до 2021. године, % БДП</w:t>
      </w:r>
    </w:p>
    <w:p w14:paraId="3413FA51" w14:textId="77777777" w:rsidR="001E3E7D" w:rsidRPr="00D44A90" w:rsidRDefault="001E3E7D" w:rsidP="008265F0">
      <w:pPr>
        <w:spacing w:after="120" w:line="276" w:lineRule="auto"/>
        <w:jc w:val="center"/>
        <w:rPr>
          <w:lang w:val="sr-Cyrl-RS"/>
        </w:rPr>
      </w:pPr>
      <w:r w:rsidRPr="00CD7EDF">
        <w:rPr>
          <w:noProof/>
          <w:sz w:val="15"/>
          <w:szCs w:val="15"/>
        </w:rPr>
        <w:drawing>
          <wp:inline distT="0" distB="0" distL="0" distR="0" wp14:anchorId="1FEC6EDC" wp14:editId="4C65B87A">
            <wp:extent cx="2743200" cy="1743075"/>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D76D1F5" w14:textId="77777777" w:rsidR="001E3E7D" w:rsidRPr="00D44A90" w:rsidRDefault="001E3E7D" w:rsidP="008265F0">
      <w:pPr>
        <w:spacing w:after="120" w:line="276" w:lineRule="auto"/>
        <w:rPr>
          <w:rFonts w:cstheme="minorHAnsi"/>
          <w:bCs/>
          <w:sz w:val="16"/>
          <w:szCs w:val="72"/>
          <w:lang w:val="sr-Cyrl-RS"/>
        </w:rPr>
      </w:pPr>
      <w:r w:rsidRPr="00D44A90">
        <w:rPr>
          <w:rFonts w:cstheme="minorHAnsi"/>
          <w:bCs/>
          <w:sz w:val="16"/>
          <w:szCs w:val="72"/>
          <w:lang w:val="sr-Cyrl-RS"/>
        </w:rPr>
        <w:t>Извор: Министарство финансија</w:t>
      </w:r>
    </w:p>
    <w:p w14:paraId="5261B0B8" w14:textId="77777777" w:rsidR="001E3E7D" w:rsidRPr="004A2E36" w:rsidRDefault="001E3E7D" w:rsidP="008265F0">
      <w:pPr>
        <w:rPr>
          <w:rFonts w:eastAsia="MS PGothic" w:cstheme="minorHAnsi"/>
          <w:szCs w:val="20"/>
          <w:lang w:val="sr-Cyrl-RS" w:eastAsia="ja-JP"/>
        </w:rPr>
      </w:pPr>
      <w:r w:rsidRPr="004A2E36">
        <w:rPr>
          <w:rFonts w:eastAsia="MS PGothic" w:cstheme="minorHAnsi"/>
          <w:szCs w:val="20"/>
          <w:lang w:val="sr-Cyrl-RS" w:eastAsia="ja-JP"/>
        </w:rPr>
        <w:t>Пандемија изазвана коронавирусом током читаве 2020. године имала је изразито негативне здравствене, економске и шире друштвене последице, како у читавом свету, тако и у Републици Србији. Од марта 2020. године, када је регистрован први случај обољевања у Републици Србији, на снази су епидемиолошке мере различитог интензитета у циљу очувања здравља грађана и умањења притиска на јавно здравство. Криза изазвана пандемијом коронавируса настављена је и у 2021. години. Епидемиолошке мере различитог степена ограничења присутне су и даље широм света. Република Србија обезбедила је, и поред свих тешкоћа у набавци вакцина, довољне количине за ма</w:t>
      </w:r>
      <w:r w:rsidR="008265F0">
        <w:rPr>
          <w:rFonts w:eastAsia="MS PGothic" w:cstheme="minorHAnsi"/>
          <w:szCs w:val="20"/>
          <w:lang w:val="sr-Cyrl-RS" w:eastAsia="ja-JP"/>
        </w:rPr>
        <w:t>совну вакцинацију становништва.</w:t>
      </w:r>
    </w:p>
    <w:p w14:paraId="08C5617B" w14:textId="77777777" w:rsidR="001E3E7D" w:rsidRPr="004A2E36" w:rsidRDefault="001E3E7D" w:rsidP="008265F0">
      <w:pPr>
        <w:rPr>
          <w:rFonts w:eastAsia="MS PGothic" w:cstheme="minorHAnsi"/>
          <w:szCs w:val="20"/>
          <w:lang w:val="sr-Cyrl-RS" w:eastAsia="ja-JP"/>
        </w:rPr>
      </w:pPr>
      <w:r w:rsidRPr="004A2E36">
        <w:rPr>
          <w:rFonts w:eastAsia="MS PGothic" w:cstheme="minorHAnsi"/>
          <w:szCs w:val="20"/>
          <w:lang w:val="sr-Cyrl-RS" w:eastAsia="ja-JP"/>
        </w:rPr>
        <w:t>Током 2020. године реализовани су први и други пакет мера економске подршке привреди и становништву за превазилажење кризе изазване пандемијом. Процењени обим ова два пакета износио је 12,9% БДП, док су, према прелиминарним подацима, реализоване мере у вредности од 11,6% БДП. Економски пакет подршке привреди и становништву значајно је допринео ублажавању негативних ефеката кризе и резултирао је мањим падом привреде, посебно у поређењу са другим европским економијама, а избегнуте су и турбуленције на тржишту радне снаге.</w:t>
      </w:r>
    </w:p>
    <w:p w14:paraId="17396EF9" w14:textId="77777777" w:rsidR="001E3E7D" w:rsidRPr="008265F0" w:rsidRDefault="001E3E7D" w:rsidP="008265F0">
      <w:pPr>
        <w:rPr>
          <w:rFonts w:eastAsia="MS PGothic" w:cstheme="minorHAnsi"/>
          <w:szCs w:val="20"/>
          <w:lang w:val="sr-Latn-RS" w:eastAsia="ja-JP"/>
        </w:rPr>
      </w:pPr>
      <w:r w:rsidRPr="004A2E36">
        <w:rPr>
          <w:rFonts w:eastAsia="MS PGothic" w:cstheme="minorHAnsi"/>
          <w:szCs w:val="20"/>
          <w:lang w:val="sr-Cyrl-RS" w:eastAsia="ja-JP"/>
        </w:rPr>
        <w:t xml:space="preserve">Борба са пандемијом настављена и током 2021. године. Примена епидемиолошких мера је на снази уз истовремену масовну вакцинацију становништва. Позитивни ефекти претходног програма економске подршке пренели су се и на почетак 2021. године, али продужено деловање пандемије, са неизвесним временским трајањем, условило је потребу за новим пакетом подршке привреди и становништву. Сагледавањем економских кретања током четвртог квартала претходне године и првог квартала 2021. године, стања на тржишту рада, ефеката спроведеног сета мера, a у условима пролонгираног трајања сложене епидемиолошке ситуације, Влада Републике Србије одлучила је да донесе додатни пакет мера подршке привреди и становништву. Како би се очували постигнути резултати и </w:t>
      </w:r>
      <w:r w:rsidRPr="004A2E36">
        <w:rPr>
          <w:rFonts w:eastAsia="MS PGothic" w:cstheme="minorHAnsi"/>
          <w:szCs w:val="20"/>
          <w:lang w:val="sr-Cyrl-RS" w:eastAsia="ja-JP"/>
        </w:rPr>
        <w:lastRenderedPageBreak/>
        <w:t>достигли пројектовани циљеви опоравка економске активности у 2021. години, неопходно је било издвојити додатна средства подршке, са већим акцентом на оне делатности које су диспропорционално погођене применом продужених епидемиолошких мера. Већа издвајања предвиђена су и у виду помоћи најугроженијим категоријама становништва</w:t>
      </w:r>
      <w:r w:rsidR="008265F0">
        <w:rPr>
          <w:rFonts w:eastAsia="MS PGothic" w:cstheme="minorHAnsi"/>
          <w:szCs w:val="20"/>
          <w:lang w:val="sr-Latn-RS" w:eastAsia="ja-JP"/>
        </w:rPr>
        <w:t>.</w:t>
      </w:r>
    </w:p>
    <w:p w14:paraId="1162FE48" w14:textId="77777777" w:rsidR="001E3E7D" w:rsidRDefault="001E3E7D" w:rsidP="008265F0">
      <w:pPr>
        <w:rPr>
          <w:rFonts w:eastAsia="MS PGothic" w:cstheme="minorHAnsi"/>
          <w:szCs w:val="20"/>
          <w:lang w:val="sr-Cyrl-RS" w:eastAsia="ja-JP"/>
        </w:rPr>
      </w:pPr>
      <w:r w:rsidRPr="004A2E36">
        <w:rPr>
          <w:rFonts w:eastAsia="MS PGothic" w:cstheme="minorHAnsi"/>
          <w:szCs w:val="20"/>
          <w:lang w:val="sr-Cyrl-RS" w:eastAsia="ja-JP"/>
        </w:rPr>
        <w:t>Додатни пакет мера у 2021.</w:t>
      </w:r>
      <w:r>
        <w:rPr>
          <w:rFonts w:eastAsia="MS PGothic" w:cstheme="minorHAnsi"/>
          <w:szCs w:val="20"/>
          <w:lang w:val="sr-Cyrl-RS" w:eastAsia="ja-JP"/>
        </w:rPr>
        <w:t xml:space="preserve"> години предвиђен </w:t>
      </w:r>
      <w:r w:rsidR="00B906B9">
        <w:rPr>
          <w:rFonts w:eastAsia="MS PGothic" w:cstheme="minorHAnsi"/>
          <w:szCs w:val="20"/>
          <w:lang w:val="sr-Cyrl-RS" w:eastAsia="ja-JP"/>
        </w:rPr>
        <w:t xml:space="preserve">је </w:t>
      </w:r>
      <w:r>
        <w:rPr>
          <w:rFonts w:eastAsia="MS PGothic" w:cstheme="minorHAnsi"/>
          <w:szCs w:val="20"/>
          <w:lang w:val="sr-Cyrl-RS" w:eastAsia="ja-JP"/>
        </w:rPr>
        <w:t>у обиму од 4,5</w:t>
      </w:r>
      <w:r w:rsidRPr="004A2E36">
        <w:rPr>
          <w:rFonts w:eastAsia="MS PGothic" w:cstheme="minorHAnsi"/>
          <w:szCs w:val="20"/>
          <w:lang w:val="sr-Cyrl-RS" w:eastAsia="ja-JP"/>
        </w:rPr>
        <w:t>% БДП. Ефекат пакета мера на фискални резултат у</w:t>
      </w:r>
      <w:r>
        <w:rPr>
          <w:rFonts w:eastAsia="MS PGothic" w:cstheme="minorHAnsi"/>
          <w:szCs w:val="20"/>
          <w:lang w:val="sr-Cyrl-RS" w:eastAsia="ja-JP"/>
        </w:rPr>
        <w:t xml:space="preserve"> 2021. години процењен је на 2,5</w:t>
      </w:r>
      <w:r w:rsidRPr="004A2E36">
        <w:rPr>
          <w:rFonts w:eastAsia="MS PGothic" w:cstheme="minorHAnsi"/>
          <w:szCs w:val="20"/>
          <w:lang w:val="sr-Cyrl-RS" w:eastAsia="ja-JP"/>
        </w:rPr>
        <w:t xml:space="preserve">% БДП. Директна помоћ привреди у циљу очувања радних места, у висини половине минималне зараде, у трајању од три месеца, обезбеђена је свим предузећима која су исказала интересовање, уз услов да не смање број </w:t>
      </w:r>
      <w:r w:rsidRPr="004A2E36">
        <w:rPr>
          <w:rFonts w:eastAsia="MS PGothic" w:cstheme="minorHAnsi"/>
          <w:szCs w:val="20"/>
          <w:lang w:val="sr-Cyrl-RS" w:eastAsia="ja-JP"/>
        </w:rPr>
        <w:t xml:space="preserve">запослених за више од 10% три месеца након истека примања помоћи. Поред опште помоћи привреди предвиђена је и додатна помоћ посебно угроженим секторима (угоститељство, транспорт – аутобуски превоз, одређени сегмент хотелијерства, туристички сектор). Поред директне помоћи обезбеђена су и средства за додатну ликвидност привреди у износу </w:t>
      </w:r>
      <w:r w:rsidR="00B906B9">
        <w:rPr>
          <w:rFonts w:eastAsia="MS PGothic" w:cstheme="minorHAnsi"/>
          <w:szCs w:val="20"/>
          <w:lang w:val="sr-Cyrl-RS" w:eastAsia="ja-JP"/>
        </w:rPr>
        <w:t xml:space="preserve">од </w:t>
      </w:r>
      <w:r w:rsidRPr="004A2E36">
        <w:rPr>
          <w:rFonts w:eastAsia="MS PGothic" w:cstheme="minorHAnsi"/>
          <w:szCs w:val="20"/>
          <w:lang w:val="sr-Cyrl-RS" w:eastAsia="ja-JP"/>
        </w:rPr>
        <w:t>500 милиона евра, те дужи рок за коришћење овог облика помоћи. У циљу стимулисања агрегатне тражње и убрзања опоравка производних, али и услужних делатности, након попуштања епидемиолошких мера, као и претходне године, предвиђена је исплата новчане помоћи свим пунолетним грађанима.</w:t>
      </w:r>
      <w:r w:rsidR="00103068">
        <w:rPr>
          <w:rFonts w:eastAsia="MS PGothic" w:cstheme="minorHAnsi"/>
          <w:szCs w:val="20"/>
          <w:lang w:val="sr-Cyrl-RS" w:eastAsia="ja-JP"/>
        </w:rPr>
        <w:t xml:space="preserve"> Додатни подстицај у односу на општу помоћ </w:t>
      </w:r>
      <w:r>
        <w:rPr>
          <w:rFonts w:eastAsia="MS PGothic" w:cstheme="minorHAnsi"/>
          <w:szCs w:val="20"/>
          <w:lang w:val="sr-Cyrl-RS" w:eastAsia="ja-JP"/>
        </w:rPr>
        <w:t xml:space="preserve">добијају и </w:t>
      </w:r>
      <w:r w:rsidR="00103068">
        <w:rPr>
          <w:rFonts w:eastAsia="MS PGothic" w:cstheme="minorHAnsi"/>
          <w:szCs w:val="20"/>
          <w:lang w:val="sr-Cyrl-RS" w:eastAsia="ja-JP"/>
        </w:rPr>
        <w:t xml:space="preserve">вакцинисани грађани старији од </w:t>
      </w:r>
      <w:r>
        <w:rPr>
          <w:rFonts w:eastAsia="MS PGothic" w:cstheme="minorHAnsi"/>
          <w:szCs w:val="20"/>
          <w:lang w:val="sr-Cyrl-RS" w:eastAsia="ja-JP"/>
        </w:rPr>
        <w:t>16 година.</w:t>
      </w:r>
    </w:p>
    <w:p w14:paraId="1DC1CFFF" w14:textId="77777777" w:rsidR="008265F0" w:rsidRPr="00557A14" w:rsidRDefault="008265F0" w:rsidP="008265F0">
      <w:pPr>
        <w:rPr>
          <w:rFonts w:eastAsia="MS PGothic" w:cstheme="minorHAnsi"/>
          <w:szCs w:val="20"/>
          <w:lang w:val="sr-Cyrl-RS" w:eastAsia="ja-JP"/>
        </w:rPr>
        <w:sectPr w:rsidR="008265F0" w:rsidRPr="00557A14" w:rsidSect="00AE40EB">
          <w:type w:val="continuous"/>
          <w:pgSz w:w="12240" w:h="15840" w:code="1"/>
          <w:pgMar w:top="1440" w:right="1440" w:bottom="1440" w:left="1440" w:header="720" w:footer="720" w:gutter="0"/>
          <w:cols w:num="2" w:space="720"/>
          <w:docGrid w:linePitch="360"/>
        </w:sectPr>
      </w:pPr>
    </w:p>
    <w:p w14:paraId="2F553A30" w14:textId="77777777" w:rsidR="001E3E7D" w:rsidRPr="00B97B32" w:rsidRDefault="001E3E7D" w:rsidP="001F0E72">
      <w:pPr>
        <w:spacing w:after="0" w:line="240" w:lineRule="auto"/>
        <w:rPr>
          <w:rFonts w:ascii="Times New Roman" w:hAnsi="Times New Roman" w:cs="Times New Roman"/>
          <w:b/>
          <w:sz w:val="18"/>
          <w:szCs w:val="24"/>
          <w:lang w:val="sr-Cyrl-RS"/>
        </w:rPr>
        <w:sectPr w:rsidR="001E3E7D" w:rsidRPr="00B97B32" w:rsidSect="00AE40EB">
          <w:type w:val="continuous"/>
          <w:pgSz w:w="12240" w:h="15840" w:code="1"/>
          <w:pgMar w:top="1440" w:right="1440" w:bottom="1440" w:left="1440" w:header="720" w:footer="720" w:gutter="0"/>
          <w:cols w:space="720"/>
          <w:docGrid w:linePitch="360"/>
        </w:sectPr>
      </w:pPr>
    </w:p>
    <w:p w14:paraId="73A60107" w14:textId="77777777" w:rsidR="001E3E7D" w:rsidRDefault="001E3E7D" w:rsidP="00E2698E">
      <w:pPr>
        <w:spacing w:after="0"/>
        <w:jc w:val="center"/>
        <w:rPr>
          <w:rFonts w:cstheme="minorHAnsi"/>
          <w:b/>
          <w:color w:val="002060"/>
          <w:lang w:val="sr-Cyrl-RS"/>
        </w:rPr>
      </w:pPr>
      <w:r>
        <w:rPr>
          <w:rFonts w:cstheme="minorHAnsi"/>
          <w:b/>
          <w:color w:val="002060"/>
          <w:lang w:val="sr-Cyrl-RS"/>
        </w:rPr>
        <w:t xml:space="preserve">Табела 6. </w:t>
      </w:r>
      <w:r w:rsidRPr="00557A14">
        <w:rPr>
          <w:rFonts w:ascii="Times New Roman" w:hAnsi="Times New Roman" w:cs="Times New Roman"/>
          <w:b/>
          <w:sz w:val="24"/>
          <w:szCs w:val="24"/>
          <w:lang w:val="sr-Cyrl-RS"/>
        </w:rPr>
        <w:fldChar w:fldCharType="begin"/>
      </w:r>
      <w:r w:rsidRPr="00557A14">
        <w:rPr>
          <w:rFonts w:ascii="Times New Roman" w:hAnsi="Times New Roman" w:cs="Times New Roman"/>
          <w:b/>
          <w:sz w:val="24"/>
          <w:szCs w:val="24"/>
          <w:lang w:val="sr-Cyrl-RS"/>
        </w:rPr>
        <w:instrText xml:space="preserve"> LINK Excel.Sheet.12 "C:\\Users\\ljubica.matic\\AppData\\Local\\Microsoft\\Windows\\Temporary Internet Files\\Content.Outlook\\65ACNDVM\\COVID-19 mere srp eng.xlsx" "srp!R1C3:R25C7" \a \f 4 \h  \* MERGEFORMAT </w:instrText>
      </w:r>
      <w:r w:rsidRPr="00557A14">
        <w:rPr>
          <w:rFonts w:ascii="Times New Roman" w:hAnsi="Times New Roman" w:cs="Times New Roman"/>
          <w:b/>
          <w:sz w:val="24"/>
          <w:szCs w:val="24"/>
          <w:lang w:val="sr-Cyrl-RS"/>
        </w:rPr>
        <w:fldChar w:fldCharType="separate"/>
      </w:r>
      <w:r w:rsidRPr="00557A14">
        <w:rPr>
          <w:rFonts w:cstheme="minorHAnsi"/>
          <w:b/>
          <w:color w:val="002060"/>
          <w:lang w:val="sr-Cyrl-RS"/>
        </w:rPr>
        <w:t>Преглед пакета мера за подршку привреди и становништву</w:t>
      </w:r>
      <w:r w:rsidR="008217C6">
        <w:rPr>
          <w:rFonts w:cstheme="minorHAnsi"/>
          <w:b/>
          <w:color w:val="002060"/>
        </w:rPr>
        <w:t xml:space="preserve"> </w:t>
      </w:r>
      <w:r w:rsidRPr="00557A14">
        <w:rPr>
          <w:rFonts w:cstheme="minorHAnsi"/>
          <w:b/>
          <w:color w:val="002060"/>
          <w:lang w:val="sr-Cyrl-RS"/>
        </w:rPr>
        <w:t>у 2021. години</w:t>
      </w:r>
    </w:p>
    <w:tbl>
      <w:tblPr>
        <w:tblStyle w:val="GridTable6Colorful-Accent1"/>
        <w:tblpPr w:leftFromText="180" w:rightFromText="180" w:vertAnchor="text" w:horzAnchor="margin" w:tblpY="253"/>
        <w:tblW w:w="9501" w:type="dxa"/>
        <w:tblBorders>
          <w:top w:val="single" w:sz="4" w:space="0" w:color="002060"/>
          <w:left w:val="none" w:sz="0" w:space="0" w:color="auto"/>
          <w:bottom w:val="single" w:sz="4" w:space="0" w:color="002060"/>
          <w:right w:val="none" w:sz="0" w:space="0" w:color="auto"/>
          <w:insideH w:val="none" w:sz="0" w:space="0" w:color="auto"/>
          <w:insideV w:val="none" w:sz="0" w:space="0" w:color="auto"/>
        </w:tblBorders>
        <w:tblLayout w:type="fixed"/>
        <w:tblLook w:val="04A0" w:firstRow="1" w:lastRow="0" w:firstColumn="1" w:lastColumn="0" w:noHBand="0" w:noVBand="1"/>
      </w:tblPr>
      <w:tblGrid>
        <w:gridCol w:w="7804"/>
        <w:gridCol w:w="848"/>
        <w:gridCol w:w="849"/>
      </w:tblGrid>
      <w:tr w:rsidR="001E3E7D" w:rsidRPr="008217C6" w14:paraId="79710969" w14:textId="77777777" w:rsidTr="00B97B32">
        <w:trPr>
          <w:cnfStyle w:val="100000000000" w:firstRow="1" w:lastRow="0" w:firstColumn="0" w:lastColumn="0" w:oddVBand="0" w:evenVBand="0" w:oddHBand="0"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vMerge w:val="restart"/>
            <w:tcBorders>
              <w:top w:val="single" w:sz="4" w:space="0" w:color="002060"/>
              <w:bottom w:val="single" w:sz="4" w:space="0" w:color="002060"/>
            </w:tcBorders>
            <w:noWrap/>
            <w:vAlign w:val="center"/>
            <w:hideMark/>
          </w:tcPr>
          <w:p w14:paraId="42824F39" w14:textId="77777777" w:rsidR="00E2698E" w:rsidRPr="001F0E72" w:rsidRDefault="001E3E7D" w:rsidP="00B97B32">
            <w:pPr>
              <w:keepNext/>
              <w:tabs>
                <w:tab w:val="center" w:pos="3794"/>
                <w:tab w:val="left" w:pos="4425"/>
                <w:tab w:val="right" w:pos="7588"/>
              </w:tabs>
              <w:spacing w:line="259" w:lineRule="auto"/>
              <w:jc w:val="center"/>
              <w:rPr>
                <w:rFonts w:eastAsiaTheme="minorEastAsia"/>
                <w:b w:val="0"/>
                <w:bCs w:val="0"/>
                <w:color w:val="002060"/>
                <w:sz w:val="18"/>
                <w:szCs w:val="18"/>
                <w:lang w:val="sr-Cyrl-RS"/>
              </w:rPr>
            </w:pPr>
            <w:r w:rsidRPr="00E2698E">
              <w:rPr>
                <w:rFonts w:eastAsiaTheme="minorEastAsia"/>
                <w:b w:val="0"/>
                <w:bCs w:val="0"/>
                <w:color w:val="002060"/>
                <w:sz w:val="18"/>
                <w:szCs w:val="18"/>
                <w:lang w:val="sr-Cyrl-RS"/>
              </w:rPr>
              <w:t>2021</w:t>
            </w:r>
          </w:p>
        </w:tc>
        <w:tc>
          <w:tcPr>
            <w:tcW w:w="1697" w:type="dxa"/>
            <w:gridSpan w:val="2"/>
            <w:tcBorders>
              <w:top w:val="single" w:sz="4" w:space="0" w:color="002060"/>
              <w:bottom w:val="single" w:sz="4" w:space="0" w:color="002060"/>
            </w:tcBorders>
            <w:hideMark/>
          </w:tcPr>
          <w:p w14:paraId="1C2603EB" w14:textId="77777777" w:rsidR="001E3E7D" w:rsidRPr="00E2698E" w:rsidRDefault="001E3E7D" w:rsidP="00B97B32">
            <w:pPr>
              <w:keepNext/>
              <w:spacing w:after="160" w:line="259" w:lineRule="auto"/>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002060"/>
                <w:sz w:val="18"/>
                <w:szCs w:val="18"/>
                <w:lang w:val="sr-Cyrl-RS"/>
              </w:rPr>
            </w:pPr>
            <w:r w:rsidRPr="00E2698E">
              <w:rPr>
                <w:rFonts w:eastAsiaTheme="minorEastAsia"/>
                <w:b w:val="0"/>
                <w:bCs w:val="0"/>
                <w:color w:val="002060"/>
                <w:sz w:val="18"/>
                <w:szCs w:val="18"/>
                <w:lang w:val="sr-Cyrl-RS"/>
              </w:rPr>
              <w:t>План</w:t>
            </w:r>
          </w:p>
        </w:tc>
      </w:tr>
      <w:tr w:rsidR="001E3E7D" w:rsidRPr="008217C6" w14:paraId="48B08D7B"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vMerge/>
            <w:tcBorders>
              <w:top w:val="single" w:sz="4" w:space="0" w:color="002060"/>
              <w:bottom w:val="single" w:sz="4" w:space="0" w:color="002060"/>
            </w:tcBorders>
            <w:noWrap/>
            <w:hideMark/>
          </w:tcPr>
          <w:p w14:paraId="00830672" w14:textId="77777777" w:rsidR="001E3E7D" w:rsidRPr="00E2698E" w:rsidRDefault="001E3E7D" w:rsidP="00B97B32">
            <w:pPr>
              <w:keepNext/>
              <w:spacing w:after="160" w:line="259" w:lineRule="auto"/>
              <w:rPr>
                <w:rFonts w:eastAsiaTheme="minorEastAsia"/>
                <w:bCs w:val="0"/>
                <w:color w:val="002060"/>
                <w:sz w:val="18"/>
                <w:szCs w:val="18"/>
                <w:lang w:val="sr-Cyrl-RS"/>
              </w:rPr>
            </w:pPr>
          </w:p>
        </w:tc>
        <w:tc>
          <w:tcPr>
            <w:tcW w:w="848" w:type="dxa"/>
            <w:tcBorders>
              <w:top w:val="single" w:sz="4" w:space="0" w:color="002060"/>
              <w:bottom w:val="single" w:sz="4" w:space="0" w:color="002060"/>
            </w:tcBorders>
            <w:shd w:val="clear" w:color="auto" w:fill="auto"/>
            <w:noWrap/>
            <w:hideMark/>
          </w:tcPr>
          <w:p w14:paraId="3D9AFC49" w14:textId="77777777" w:rsidR="001E3E7D" w:rsidRPr="00E2698E" w:rsidRDefault="001E3E7D" w:rsidP="00B97B32">
            <w:pPr>
              <w:keepNext/>
              <w:spacing w:after="160" w:line="259" w:lineRule="auto"/>
              <w:jc w:val="center"/>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у млрд дин.</w:t>
            </w:r>
          </w:p>
        </w:tc>
        <w:tc>
          <w:tcPr>
            <w:tcW w:w="849" w:type="dxa"/>
            <w:tcBorders>
              <w:top w:val="single" w:sz="4" w:space="0" w:color="002060"/>
              <w:bottom w:val="single" w:sz="4" w:space="0" w:color="002060"/>
            </w:tcBorders>
            <w:shd w:val="clear" w:color="auto" w:fill="auto"/>
            <w:noWrap/>
            <w:hideMark/>
          </w:tcPr>
          <w:p w14:paraId="7DCD5130" w14:textId="77777777" w:rsidR="001E3E7D" w:rsidRPr="00E2698E" w:rsidRDefault="001E3E7D" w:rsidP="00B97B32">
            <w:pPr>
              <w:keepNext/>
              <w:spacing w:after="160" w:line="259" w:lineRule="auto"/>
              <w:jc w:val="center"/>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у % БДП</w:t>
            </w:r>
          </w:p>
        </w:tc>
      </w:tr>
      <w:tr w:rsidR="001E3E7D" w:rsidRPr="008217C6" w14:paraId="2791C77F"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single" w:sz="4" w:space="0" w:color="002060"/>
              <w:bottom w:val="nil"/>
            </w:tcBorders>
            <w:shd w:val="clear" w:color="auto" w:fill="auto"/>
            <w:noWrap/>
            <w:hideMark/>
          </w:tcPr>
          <w:p w14:paraId="38308904"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Директна подршка приватном сектору</w:t>
            </w:r>
          </w:p>
        </w:tc>
        <w:tc>
          <w:tcPr>
            <w:tcW w:w="848" w:type="dxa"/>
            <w:tcBorders>
              <w:top w:val="single" w:sz="4" w:space="0" w:color="002060"/>
              <w:bottom w:val="nil"/>
            </w:tcBorders>
            <w:shd w:val="clear" w:color="auto" w:fill="auto"/>
            <w:noWrap/>
            <w:hideMark/>
          </w:tcPr>
          <w:p w14:paraId="3905366B"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c>
          <w:tcPr>
            <w:tcW w:w="849" w:type="dxa"/>
            <w:tcBorders>
              <w:top w:val="single" w:sz="4" w:space="0" w:color="002060"/>
              <w:bottom w:val="nil"/>
            </w:tcBorders>
            <w:shd w:val="clear" w:color="auto" w:fill="auto"/>
            <w:noWrap/>
            <w:hideMark/>
          </w:tcPr>
          <w:p w14:paraId="18058A27"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r>
      <w:tr w:rsidR="001E3E7D" w:rsidRPr="008217C6" w14:paraId="7902B3B5" w14:textId="77777777" w:rsidTr="00B97B32">
        <w:trPr>
          <w:cnfStyle w:val="000000100000" w:firstRow="0" w:lastRow="0" w:firstColumn="0" w:lastColumn="0" w:oddVBand="0" w:evenVBand="0" w:oddHBand="1"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1E9F1800"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Директна подршка приватном сектору - 3 месеца 50% минималне зараде свим предузетницима, микро, малим, средњим и великим предузећима</w:t>
            </w:r>
          </w:p>
        </w:tc>
        <w:tc>
          <w:tcPr>
            <w:tcW w:w="848" w:type="dxa"/>
            <w:tcBorders>
              <w:top w:val="nil"/>
              <w:bottom w:val="nil"/>
            </w:tcBorders>
            <w:shd w:val="clear" w:color="auto" w:fill="auto"/>
            <w:noWrap/>
            <w:hideMark/>
          </w:tcPr>
          <w:p w14:paraId="586868B4"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69,8</w:t>
            </w:r>
          </w:p>
        </w:tc>
        <w:tc>
          <w:tcPr>
            <w:tcW w:w="849" w:type="dxa"/>
            <w:tcBorders>
              <w:top w:val="nil"/>
              <w:bottom w:val="nil"/>
            </w:tcBorders>
            <w:shd w:val="clear" w:color="auto" w:fill="auto"/>
            <w:noWrap/>
            <w:hideMark/>
          </w:tcPr>
          <w:p w14:paraId="38859DC7"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1,2</w:t>
            </w:r>
          </w:p>
        </w:tc>
      </w:tr>
      <w:tr w:rsidR="001E3E7D" w:rsidRPr="008217C6" w14:paraId="58042B48"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77B50D7A"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Директна помоћ хотелима у градским срединама</w:t>
            </w:r>
          </w:p>
        </w:tc>
        <w:tc>
          <w:tcPr>
            <w:tcW w:w="848" w:type="dxa"/>
            <w:tcBorders>
              <w:top w:val="nil"/>
              <w:bottom w:val="nil"/>
            </w:tcBorders>
            <w:shd w:val="clear" w:color="auto" w:fill="auto"/>
            <w:noWrap/>
            <w:hideMark/>
          </w:tcPr>
          <w:p w14:paraId="77D302B8"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1,3</w:t>
            </w:r>
          </w:p>
        </w:tc>
        <w:tc>
          <w:tcPr>
            <w:tcW w:w="849" w:type="dxa"/>
            <w:tcBorders>
              <w:top w:val="nil"/>
              <w:bottom w:val="nil"/>
            </w:tcBorders>
            <w:shd w:val="clear" w:color="auto" w:fill="auto"/>
            <w:noWrap/>
            <w:hideMark/>
          </w:tcPr>
          <w:p w14:paraId="751C415B"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0,0</w:t>
            </w:r>
          </w:p>
        </w:tc>
      </w:tr>
      <w:tr w:rsidR="001E3E7D" w:rsidRPr="008217C6" w14:paraId="66E87B47"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32FD404D"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Директна секторска подршка - угоститељство, туристичке агенције, хотели и rent a car агенције</w:t>
            </w:r>
          </w:p>
        </w:tc>
        <w:tc>
          <w:tcPr>
            <w:tcW w:w="848" w:type="dxa"/>
            <w:tcBorders>
              <w:top w:val="nil"/>
              <w:bottom w:val="nil"/>
            </w:tcBorders>
            <w:shd w:val="clear" w:color="auto" w:fill="auto"/>
            <w:noWrap/>
            <w:hideMark/>
          </w:tcPr>
          <w:p w14:paraId="389886F7"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4,2</w:t>
            </w:r>
          </w:p>
        </w:tc>
        <w:tc>
          <w:tcPr>
            <w:tcW w:w="849" w:type="dxa"/>
            <w:tcBorders>
              <w:top w:val="nil"/>
              <w:bottom w:val="nil"/>
            </w:tcBorders>
            <w:shd w:val="clear" w:color="auto" w:fill="auto"/>
            <w:noWrap/>
            <w:hideMark/>
          </w:tcPr>
          <w:p w14:paraId="4E7E8606"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0,1</w:t>
            </w:r>
          </w:p>
        </w:tc>
      </w:tr>
      <w:tr w:rsidR="001E3E7D" w:rsidRPr="008217C6" w14:paraId="78B4CBD5"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7FCE5098"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Самостални уметници</w:t>
            </w:r>
          </w:p>
        </w:tc>
        <w:tc>
          <w:tcPr>
            <w:tcW w:w="848" w:type="dxa"/>
            <w:tcBorders>
              <w:top w:val="nil"/>
              <w:bottom w:val="nil"/>
            </w:tcBorders>
            <w:shd w:val="clear" w:color="auto" w:fill="auto"/>
            <w:noWrap/>
            <w:hideMark/>
          </w:tcPr>
          <w:p w14:paraId="28F6D673"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0,2</w:t>
            </w:r>
          </w:p>
        </w:tc>
        <w:tc>
          <w:tcPr>
            <w:tcW w:w="849" w:type="dxa"/>
            <w:tcBorders>
              <w:top w:val="nil"/>
              <w:bottom w:val="nil"/>
            </w:tcBorders>
            <w:shd w:val="clear" w:color="auto" w:fill="auto"/>
            <w:noWrap/>
            <w:hideMark/>
          </w:tcPr>
          <w:p w14:paraId="208DBDBD"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0,0</w:t>
            </w:r>
          </w:p>
        </w:tc>
      </w:tr>
      <w:tr w:rsidR="001E3E7D" w:rsidRPr="008217C6" w14:paraId="7516FF7C" w14:textId="77777777" w:rsidTr="00B97B32">
        <w:trPr>
          <w:cnfStyle w:val="000000100000" w:firstRow="0" w:lastRow="0" w:firstColumn="0" w:lastColumn="0" w:oddVBand="0" w:evenVBand="0" w:oddHBand="1"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4AFC91DB"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Директна секторска подршка - сектор превозника путника у друмском саобраћају и аутобуских станица - 600 € по аутобусу</w:t>
            </w:r>
          </w:p>
        </w:tc>
        <w:tc>
          <w:tcPr>
            <w:tcW w:w="848" w:type="dxa"/>
            <w:tcBorders>
              <w:top w:val="nil"/>
              <w:bottom w:val="nil"/>
            </w:tcBorders>
            <w:shd w:val="clear" w:color="auto" w:fill="auto"/>
            <w:noWrap/>
            <w:hideMark/>
          </w:tcPr>
          <w:p w14:paraId="5674528D"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2,6</w:t>
            </w:r>
          </w:p>
        </w:tc>
        <w:tc>
          <w:tcPr>
            <w:tcW w:w="849" w:type="dxa"/>
            <w:tcBorders>
              <w:top w:val="nil"/>
              <w:bottom w:val="nil"/>
            </w:tcBorders>
            <w:shd w:val="clear" w:color="auto" w:fill="auto"/>
            <w:noWrap/>
            <w:hideMark/>
          </w:tcPr>
          <w:p w14:paraId="478FDCD0"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0,0</w:t>
            </w:r>
          </w:p>
        </w:tc>
      </w:tr>
      <w:tr w:rsidR="001E3E7D" w:rsidRPr="008217C6" w14:paraId="363AD1F1"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0E5435C8"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Укупно</w:t>
            </w:r>
          </w:p>
        </w:tc>
        <w:tc>
          <w:tcPr>
            <w:tcW w:w="848" w:type="dxa"/>
            <w:tcBorders>
              <w:top w:val="nil"/>
              <w:bottom w:val="nil"/>
            </w:tcBorders>
            <w:shd w:val="clear" w:color="auto" w:fill="E7E6E6" w:themeFill="background2"/>
            <w:noWrap/>
            <w:hideMark/>
          </w:tcPr>
          <w:p w14:paraId="4F9FE557"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78,1</w:t>
            </w:r>
          </w:p>
        </w:tc>
        <w:tc>
          <w:tcPr>
            <w:tcW w:w="849" w:type="dxa"/>
            <w:tcBorders>
              <w:top w:val="nil"/>
              <w:bottom w:val="nil"/>
            </w:tcBorders>
            <w:shd w:val="clear" w:color="auto" w:fill="E7E6E6" w:themeFill="background2"/>
            <w:noWrap/>
            <w:hideMark/>
          </w:tcPr>
          <w:p w14:paraId="442E1079"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1,3</w:t>
            </w:r>
          </w:p>
        </w:tc>
      </w:tr>
      <w:tr w:rsidR="001E3E7D" w:rsidRPr="008217C6" w14:paraId="2D58C081"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0994D82E"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Мере за очување ликвидности приватног сектора</w:t>
            </w:r>
          </w:p>
        </w:tc>
        <w:tc>
          <w:tcPr>
            <w:tcW w:w="848" w:type="dxa"/>
            <w:tcBorders>
              <w:top w:val="nil"/>
              <w:bottom w:val="nil"/>
            </w:tcBorders>
            <w:shd w:val="clear" w:color="auto" w:fill="auto"/>
            <w:noWrap/>
            <w:hideMark/>
          </w:tcPr>
          <w:p w14:paraId="2E361715"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c>
          <w:tcPr>
            <w:tcW w:w="849" w:type="dxa"/>
            <w:tcBorders>
              <w:top w:val="nil"/>
              <w:bottom w:val="nil"/>
            </w:tcBorders>
            <w:shd w:val="clear" w:color="auto" w:fill="auto"/>
            <w:noWrap/>
            <w:hideMark/>
          </w:tcPr>
          <w:p w14:paraId="6C204736"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r>
      <w:tr w:rsidR="001E3E7D" w:rsidRPr="008217C6" w14:paraId="03F2FB5A"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hideMark/>
          </w:tcPr>
          <w:p w14:paraId="40DDDF44"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Продужење постојеће гарантне шеме за подршку економији током кризе COVID-19</w:t>
            </w:r>
          </w:p>
        </w:tc>
        <w:tc>
          <w:tcPr>
            <w:tcW w:w="848" w:type="dxa"/>
            <w:tcBorders>
              <w:top w:val="nil"/>
              <w:bottom w:val="nil"/>
            </w:tcBorders>
            <w:shd w:val="clear" w:color="auto" w:fill="auto"/>
            <w:noWrap/>
            <w:hideMark/>
          </w:tcPr>
          <w:p w14:paraId="1ACB1BB5"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60,0</w:t>
            </w:r>
          </w:p>
        </w:tc>
        <w:tc>
          <w:tcPr>
            <w:tcW w:w="849" w:type="dxa"/>
            <w:tcBorders>
              <w:top w:val="nil"/>
              <w:bottom w:val="nil"/>
            </w:tcBorders>
            <w:shd w:val="clear" w:color="auto" w:fill="auto"/>
            <w:noWrap/>
            <w:hideMark/>
          </w:tcPr>
          <w:p w14:paraId="7CF2A6B9"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1,0</w:t>
            </w:r>
          </w:p>
        </w:tc>
      </w:tr>
      <w:tr w:rsidR="001E3E7D" w:rsidRPr="008217C6" w14:paraId="76C9C86A"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1BA14DCA"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Успостављање нове гарантне шеме за подршку најугроженијим секторима/предузећима</w:t>
            </w:r>
          </w:p>
        </w:tc>
        <w:tc>
          <w:tcPr>
            <w:tcW w:w="848" w:type="dxa"/>
            <w:tcBorders>
              <w:top w:val="nil"/>
              <w:bottom w:val="nil"/>
            </w:tcBorders>
            <w:shd w:val="clear" w:color="auto" w:fill="auto"/>
            <w:noWrap/>
            <w:hideMark/>
          </w:tcPr>
          <w:p w14:paraId="16320AAA"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60,0</w:t>
            </w:r>
          </w:p>
        </w:tc>
        <w:tc>
          <w:tcPr>
            <w:tcW w:w="849" w:type="dxa"/>
            <w:tcBorders>
              <w:top w:val="nil"/>
              <w:bottom w:val="nil"/>
            </w:tcBorders>
            <w:shd w:val="clear" w:color="auto" w:fill="auto"/>
            <w:noWrap/>
            <w:hideMark/>
          </w:tcPr>
          <w:p w14:paraId="18CFCBCA"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1,0</w:t>
            </w:r>
          </w:p>
        </w:tc>
      </w:tr>
      <w:tr w:rsidR="001E3E7D" w:rsidRPr="008217C6" w14:paraId="749D43BE"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361A8803"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Укупно</w:t>
            </w:r>
          </w:p>
        </w:tc>
        <w:tc>
          <w:tcPr>
            <w:tcW w:w="848" w:type="dxa"/>
            <w:tcBorders>
              <w:top w:val="nil"/>
              <w:bottom w:val="nil"/>
            </w:tcBorders>
            <w:shd w:val="clear" w:color="auto" w:fill="E7E6E6" w:themeFill="background2"/>
            <w:noWrap/>
            <w:hideMark/>
          </w:tcPr>
          <w:p w14:paraId="32E0BE85"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120,0</w:t>
            </w:r>
          </w:p>
        </w:tc>
        <w:tc>
          <w:tcPr>
            <w:tcW w:w="849" w:type="dxa"/>
            <w:tcBorders>
              <w:top w:val="nil"/>
              <w:bottom w:val="nil"/>
            </w:tcBorders>
            <w:shd w:val="clear" w:color="auto" w:fill="E7E6E6" w:themeFill="background2"/>
            <w:noWrap/>
            <w:hideMark/>
          </w:tcPr>
          <w:p w14:paraId="72F9CF94"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2,0</w:t>
            </w:r>
          </w:p>
        </w:tc>
      </w:tr>
      <w:tr w:rsidR="001E3E7D" w:rsidRPr="008217C6" w14:paraId="5A5EE15A"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503CCE47"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Остале мере</w:t>
            </w:r>
          </w:p>
        </w:tc>
        <w:tc>
          <w:tcPr>
            <w:tcW w:w="848" w:type="dxa"/>
            <w:tcBorders>
              <w:top w:val="nil"/>
              <w:bottom w:val="nil"/>
            </w:tcBorders>
            <w:shd w:val="clear" w:color="auto" w:fill="auto"/>
            <w:noWrap/>
            <w:hideMark/>
          </w:tcPr>
          <w:p w14:paraId="47C2562E"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c>
          <w:tcPr>
            <w:tcW w:w="849" w:type="dxa"/>
            <w:tcBorders>
              <w:top w:val="nil"/>
              <w:bottom w:val="nil"/>
            </w:tcBorders>
            <w:shd w:val="clear" w:color="auto" w:fill="auto"/>
            <w:noWrap/>
            <w:hideMark/>
          </w:tcPr>
          <w:p w14:paraId="0570FB21"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 </w:t>
            </w:r>
          </w:p>
        </w:tc>
      </w:tr>
      <w:tr w:rsidR="001E3E7D" w:rsidRPr="008217C6" w14:paraId="75AC5851"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04F814AA"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Фискални подстицај - подстицање домаће тражње</w:t>
            </w:r>
          </w:p>
        </w:tc>
        <w:tc>
          <w:tcPr>
            <w:tcW w:w="848" w:type="dxa"/>
            <w:tcBorders>
              <w:top w:val="nil"/>
              <w:bottom w:val="nil"/>
            </w:tcBorders>
            <w:shd w:val="clear" w:color="auto" w:fill="auto"/>
            <w:noWrap/>
            <w:hideMark/>
          </w:tcPr>
          <w:p w14:paraId="3C3D5E81"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rPr>
              <w:t>68</w:t>
            </w:r>
            <w:r w:rsidRPr="00E2698E">
              <w:rPr>
                <w:rFonts w:eastAsiaTheme="minorEastAsia"/>
                <w:bCs/>
                <w:color w:val="002060"/>
                <w:sz w:val="18"/>
                <w:szCs w:val="18"/>
                <w:lang w:val="sr-Cyrl-RS"/>
              </w:rPr>
              <w:t>,0</w:t>
            </w:r>
          </w:p>
        </w:tc>
        <w:tc>
          <w:tcPr>
            <w:tcW w:w="849" w:type="dxa"/>
            <w:tcBorders>
              <w:top w:val="nil"/>
              <w:bottom w:val="nil"/>
            </w:tcBorders>
            <w:shd w:val="clear" w:color="auto" w:fill="auto"/>
            <w:noWrap/>
            <w:hideMark/>
          </w:tcPr>
          <w:p w14:paraId="195F3CCE"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Cs/>
                <w:color w:val="002060"/>
                <w:sz w:val="18"/>
                <w:szCs w:val="18"/>
              </w:rPr>
            </w:pPr>
            <w:r w:rsidRPr="00E2698E">
              <w:rPr>
                <w:rFonts w:eastAsiaTheme="minorEastAsia"/>
                <w:bCs/>
                <w:color w:val="002060"/>
                <w:sz w:val="18"/>
                <w:szCs w:val="18"/>
                <w:lang w:val="sr-Cyrl-RS"/>
              </w:rPr>
              <w:t>1,</w:t>
            </w:r>
            <w:r w:rsidRPr="00E2698E">
              <w:rPr>
                <w:rFonts w:eastAsiaTheme="minorEastAsia"/>
                <w:bCs/>
                <w:color w:val="002060"/>
                <w:sz w:val="18"/>
                <w:szCs w:val="18"/>
              </w:rPr>
              <w:t>2</w:t>
            </w:r>
          </w:p>
        </w:tc>
      </w:tr>
      <w:tr w:rsidR="001E3E7D" w:rsidRPr="008217C6" w14:paraId="484BE438"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E7E6E6" w:themeFill="background2"/>
            <w:noWrap/>
            <w:hideMark/>
          </w:tcPr>
          <w:p w14:paraId="6FC4FF14" w14:textId="77777777" w:rsidR="001E3E7D" w:rsidRPr="00E2698E" w:rsidRDefault="001E3E7D" w:rsidP="00B97B32">
            <w:pPr>
              <w:keepNext/>
              <w:spacing w:after="160" w:line="259" w:lineRule="auto"/>
              <w:rPr>
                <w:rFonts w:eastAsiaTheme="minorEastAsia"/>
                <w:bCs w:val="0"/>
                <w:color w:val="002060"/>
                <w:sz w:val="18"/>
                <w:szCs w:val="18"/>
                <w:lang w:val="sr-Cyrl-RS"/>
              </w:rPr>
            </w:pPr>
            <w:r w:rsidRPr="00E2698E">
              <w:rPr>
                <w:rFonts w:eastAsiaTheme="minorEastAsia"/>
                <w:b w:val="0"/>
                <w:bCs w:val="0"/>
                <w:color w:val="002060"/>
                <w:sz w:val="18"/>
                <w:szCs w:val="18"/>
                <w:lang w:val="sr-Cyrl-RS"/>
              </w:rPr>
              <w:t>Укупно</w:t>
            </w:r>
          </w:p>
        </w:tc>
        <w:tc>
          <w:tcPr>
            <w:tcW w:w="848" w:type="dxa"/>
            <w:tcBorders>
              <w:top w:val="nil"/>
              <w:bottom w:val="nil"/>
            </w:tcBorders>
            <w:shd w:val="clear" w:color="auto" w:fill="E7E6E6" w:themeFill="background2"/>
            <w:noWrap/>
            <w:hideMark/>
          </w:tcPr>
          <w:p w14:paraId="737A9295"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rPr>
              <w:t>68</w:t>
            </w:r>
            <w:r w:rsidRPr="00E2698E">
              <w:rPr>
                <w:rFonts w:eastAsiaTheme="minorEastAsia"/>
                <w:bCs/>
                <w:color w:val="002060"/>
                <w:sz w:val="18"/>
                <w:szCs w:val="18"/>
                <w:lang w:val="sr-Cyrl-RS"/>
              </w:rPr>
              <w:t>,0</w:t>
            </w:r>
          </w:p>
        </w:tc>
        <w:tc>
          <w:tcPr>
            <w:tcW w:w="849" w:type="dxa"/>
            <w:tcBorders>
              <w:top w:val="nil"/>
              <w:bottom w:val="nil"/>
            </w:tcBorders>
            <w:shd w:val="clear" w:color="auto" w:fill="E7E6E6" w:themeFill="background2"/>
            <w:noWrap/>
            <w:hideMark/>
          </w:tcPr>
          <w:p w14:paraId="405642C2"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Cs/>
                <w:color w:val="002060"/>
                <w:sz w:val="18"/>
                <w:szCs w:val="18"/>
                <w:lang w:val="sr-Cyrl-RS"/>
              </w:rPr>
            </w:pPr>
            <w:r w:rsidRPr="00E2698E">
              <w:rPr>
                <w:rFonts w:eastAsiaTheme="minorEastAsia"/>
                <w:bCs/>
                <w:color w:val="002060"/>
                <w:sz w:val="18"/>
                <w:szCs w:val="18"/>
                <w:lang w:val="sr-Cyrl-RS"/>
              </w:rPr>
              <w:t>1,2</w:t>
            </w:r>
          </w:p>
        </w:tc>
      </w:tr>
      <w:tr w:rsidR="001E3E7D" w:rsidRPr="008217C6" w14:paraId="00FE5F80" w14:textId="77777777" w:rsidTr="00B97B32">
        <w:trPr>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nil"/>
            </w:tcBorders>
            <w:shd w:val="clear" w:color="auto" w:fill="auto"/>
            <w:noWrap/>
            <w:hideMark/>
          </w:tcPr>
          <w:p w14:paraId="227F06B9" w14:textId="77777777" w:rsidR="001E3E7D" w:rsidRPr="00E2698E" w:rsidRDefault="001E3E7D" w:rsidP="00B97B32">
            <w:pPr>
              <w:keepNext/>
              <w:spacing w:after="160" w:line="259" w:lineRule="auto"/>
              <w:rPr>
                <w:rFonts w:eastAsiaTheme="minorEastAsia"/>
                <w:b w:val="0"/>
                <w:bCs w:val="0"/>
                <w:color w:val="002060"/>
                <w:sz w:val="18"/>
                <w:szCs w:val="18"/>
                <w:lang w:val="sr-Cyrl-RS"/>
              </w:rPr>
            </w:pPr>
            <w:r w:rsidRPr="00E2698E">
              <w:rPr>
                <w:rFonts w:eastAsiaTheme="minorEastAsia"/>
                <w:b w:val="0"/>
                <w:bCs w:val="0"/>
                <w:color w:val="002060"/>
                <w:sz w:val="18"/>
                <w:szCs w:val="18"/>
                <w:lang w:val="sr-Cyrl-RS"/>
              </w:rPr>
              <w:t>Процена утицаја фискалних мера</w:t>
            </w:r>
          </w:p>
        </w:tc>
        <w:tc>
          <w:tcPr>
            <w:tcW w:w="848" w:type="dxa"/>
            <w:tcBorders>
              <w:top w:val="nil"/>
              <w:bottom w:val="nil"/>
            </w:tcBorders>
            <w:shd w:val="clear" w:color="auto" w:fill="auto"/>
            <w:noWrap/>
            <w:hideMark/>
          </w:tcPr>
          <w:p w14:paraId="7E319A88"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
                <w:bCs/>
                <w:color w:val="002060"/>
                <w:sz w:val="18"/>
                <w:szCs w:val="18"/>
                <w:lang w:val="sr-Cyrl-RS"/>
              </w:rPr>
            </w:pPr>
            <w:r w:rsidRPr="00E2698E">
              <w:rPr>
                <w:rFonts w:eastAsiaTheme="minorEastAsia"/>
                <w:b/>
                <w:bCs/>
                <w:color w:val="002060"/>
                <w:sz w:val="18"/>
                <w:szCs w:val="18"/>
              </w:rPr>
              <w:t>14</w:t>
            </w:r>
            <w:r w:rsidR="00E42A3B">
              <w:rPr>
                <w:rFonts w:eastAsiaTheme="minorEastAsia"/>
                <w:b/>
                <w:bCs/>
                <w:color w:val="002060"/>
                <w:sz w:val="18"/>
                <w:szCs w:val="18"/>
              </w:rPr>
              <w:t>6</w:t>
            </w:r>
            <w:r w:rsidRPr="00E2698E">
              <w:rPr>
                <w:rFonts w:eastAsiaTheme="minorEastAsia"/>
                <w:b/>
                <w:bCs/>
                <w:color w:val="002060"/>
                <w:sz w:val="18"/>
                <w:szCs w:val="18"/>
                <w:lang w:val="sr-Cyrl-RS"/>
              </w:rPr>
              <w:t>,1</w:t>
            </w:r>
          </w:p>
        </w:tc>
        <w:tc>
          <w:tcPr>
            <w:tcW w:w="849" w:type="dxa"/>
            <w:tcBorders>
              <w:top w:val="nil"/>
              <w:bottom w:val="nil"/>
            </w:tcBorders>
            <w:shd w:val="clear" w:color="auto" w:fill="auto"/>
            <w:noWrap/>
            <w:hideMark/>
          </w:tcPr>
          <w:p w14:paraId="50023D81" w14:textId="77777777" w:rsidR="001E3E7D" w:rsidRPr="00E2698E" w:rsidRDefault="001E3E7D" w:rsidP="00B97B32">
            <w:pPr>
              <w:keepNext/>
              <w:spacing w:after="160" w:line="259" w:lineRule="auto"/>
              <w:jc w:val="right"/>
              <w:cnfStyle w:val="000000000000" w:firstRow="0" w:lastRow="0" w:firstColumn="0" w:lastColumn="0" w:oddVBand="0" w:evenVBand="0" w:oddHBand="0" w:evenHBand="0" w:firstRowFirstColumn="0" w:firstRowLastColumn="0" w:lastRowFirstColumn="0" w:lastRowLastColumn="0"/>
              <w:rPr>
                <w:rFonts w:eastAsiaTheme="minorEastAsia"/>
                <w:b/>
                <w:bCs/>
                <w:color w:val="002060"/>
                <w:sz w:val="18"/>
                <w:szCs w:val="18"/>
                <w:lang w:val="sr-Cyrl-RS"/>
              </w:rPr>
            </w:pPr>
            <w:r w:rsidRPr="00E2698E">
              <w:rPr>
                <w:rFonts w:eastAsiaTheme="minorEastAsia"/>
                <w:b/>
                <w:bCs/>
                <w:color w:val="002060"/>
                <w:sz w:val="18"/>
                <w:szCs w:val="18"/>
                <w:lang w:val="sr-Cyrl-RS"/>
              </w:rPr>
              <w:t>2,5</w:t>
            </w:r>
          </w:p>
        </w:tc>
      </w:tr>
      <w:tr w:rsidR="001E3E7D" w:rsidRPr="008217C6" w14:paraId="28D29F3E" w14:textId="77777777" w:rsidTr="00B97B32">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7804" w:type="dxa"/>
            <w:tcBorders>
              <w:top w:val="nil"/>
              <w:bottom w:val="single" w:sz="4" w:space="0" w:color="002060"/>
            </w:tcBorders>
            <w:shd w:val="clear" w:color="auto" w:fill="E7E6E6" w:themeFill="background2"/>
            <w:noWrap/>
            <w:hideMark/>
          </w:tcPr>
          <w:p w14:paraId="39A2589D" w14:textId="77777777" w:rsidR="001E3E7D" w:rsidRPr="00E2698E" w:rsidRDefault="001E3E7D" w:rsidP="00B97B32">
            <w:pPr>
              <w:keepNext/>
              <w:spacing w:after="160" w:line="259" w:lineRule="auto"/>
              <w:rPr>
                <w:rFonts w:eastAsiaTheme="minorEastAsia"/>
                <w:b w:val="0"/>
                <w:bCs w:val="0"/>
                <w:color w:val="002060"/>
                <w:sz w:val="18"/>
                <w:szCs w:val="18"/>
                <w:lang w:val="sr-Cyrl-RS"/>
              </w:rPr>
            </w:pPr>
            <w:r w:rsidRPr="00E2698E">
              <w:rPr>
                <w:rFonts w:eastAsiaTheme="minorEastAsia"/>
                <w:b w:val="0"/>
                <w:bCs w:val="0"/>
                <w:color w:val="002060"/>
                <w:sz w:val="18"/>
                <w:szCs w:val="18"/>
                <w:lang w:val="sr-Cyrl-RS"/>
              </w:rPr>
              <w:t>Укупан пакет мера</w:t>
            </w:r>
          </w:p>
        </w:tc>
        <w:tc>
          <w:tcPr>
            <w:tcW w:w="848" w:type="dxa"/>
            <w:tcBorders>
              <w:top w:val="nil"/>
              <w:bottom w:val="single" w:sz="4" w:space="0" w:color="002060"/>
            </w:tcBorders>
            <w:shd w:val="clear" w:color="auto" w:fill="E7E6E6" w:themeFill="background2"/>
            <w:noWrap/>
            <w:hideMark/>
          </w:tcPr>
          <w:p w14:paraId="242E51D6"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002060"/>
                <w:sz w:val="18"/>
                <w:szCs w:val="18"/>
                <w:lang w:val="sr-Cyrl-RS"/>
              </w:rPr>
            </w:pPr>
            <w:r w:rsidRPr="00E2698E">
              <w:rPr>
                <w:rFonts w:eastAsiaTheme="minorEastAsia"/>
                <w:b/>
                <w:bCs/>
                <w:color w:val="002060"/>
                <w:sz w:val="18"/>
                <w:szCs w:val="18"/>
              </w:rPr>
              <w:t>266</w:t>
            </w:r>
            <w:r w:rsidRPr="00E2698E">
              <w:rPr>
                <w:rFonts w:eastAsiaTheme="minorEastAsia"/>
                <w:b/>
                <w:bCs/>
                <w:color w:val="002060"/>
                <w:sz w:val="18"/>
                <w:szCs w:val="18"/>
                <w:lang w:val="sr-Cyrl-RS"/>
              </w:rPr>
              <w:t>,1</w:t>
            </w:r>
          </w:p>
        </w:tc>
        <w:tc>
          <w:tcPr>
            <w:tcW w:w="849" w:type="dxa"/>
            <w:tcBorders>
              <w:top w:val="nil"/>
              <w:bottom w:val="single" w:sz="4" w:space="0" w:color="002060"/>
            </w:tcBorders>
            <w:shd w:val="clear" w:color="auto" w:fill="E7E6E6" w:themeFill="background2"/>
            <w:noWrap/>
            <w:hideMark/>
          </w:tcPr>
          <w:p w14:paraId="200632AB" w14:textId="77777777" w:rsidR="001E3E7D" w:rsidRPr="00E2698E" w:rsidRDefault="001E3E7D" w:rsidP="00B97B32">
            <w:pPr>
              <w:keepNext/>
              <w:spacing w:after="160" w:line="259" w:lineRule="auto"/>
              <w:jc w:val="right"/>
              <w:cnfStyle w:val="000000100000" w:firstRow="0" w:lastRow="0" w:firstColumn="0" w:lastColumn="0" w:oddVBand="0" w:evenVBand="0" w:oddHBand="1" w:evenHBand="0" w:firstRowFirstColumn="0" w:firstRowLastColumn="0" w:lastRowFirstColumn="0" w:lastRowLastColumn="0"/>
              <w:rPr>
                <w:rFonts w:eastAsiaTheme="minorEastAsia"/>
                <w:b/>
                <w:bCs/>
                <w:color w:val="002060"/>
                <w:sz w:val="18"/>
                <w:szCs w:val="18"/>
                <w:lang w:val="sr-Cyrl-RS"/>
              </w:rPr>
            </w:pPr>
            <w:r w:rsidRPr="00E2698E">
              <w:rPr>
                <w:rFonts w:eastAsiaTheme="minorEastAsia"/>
                <w:b/>
                <w:bCs/>
                <w:color w:val="002060"/>
                <w:sz w:val="18"/>
                <w:szCs w:val="18"/>
                <w:lang w:val="sr-Cyrl-RS"/>
              </w:rPr>
              <w:t>4,5</w:t>
            </w:r>
          </w:p>
        </w:tc>
      </w:tr>
    </w:tbl>
    <w:p w14:paraId="3333CE30" w14:textId="77777777" w:rsidR="001E3E7D" w:rsidRPr="00B97B32" w:rsidRDefault="001E3E7D" w:rsidP="00E2698E">
      <w:pPr>
        <w:spacing w:after="0" w:line="276" w:lineRule="auto"/>
        <w:rPr>
          <w:rFonts w:cstheme="minorHAnsi"/>
          <w:szCs w:val="24"/>
          <w:lang w:val="sr-Cyrl-RS"/>
        </w:rPr>
      </w:pPr>
      <w:r w:rsidRPr="00557A14">
        <w:rPr>
          <w:rFonts w:ascii="Times New Roman" w:hAnsi="Times New Roman" w:cs="Times New Roman"/>
          <w:sz w:val="24"/>
          <w:szCs w:val="24"/>
          <w:lang w:val="sr-Cyrl-RS"/>
        </w:rPr>
        <w:fldChar w:fldCharType="end"/>
      </w:r>
    </w:p>
    <w:p w14:paraId="6579D7E9" w14:textId="77777777" w:rsidR="00B97B32" w:rsidRPr="00B97B32" w:rsidRDefault="00B97B32" w:rsidP="00E2698E">
      <w:pPr>
        <w:spacing w:after="0" w:line="276" w:lineRule="auto"/>
        <w:rPr>
          <w:rFonts w:ascii="Times New Roman" w:hAnsi="Times New Roman" w:cs="Times New Roman"/>
          <w:szCs w:val="24"/>
          <w:lang w:val="sr-Cyrl-RS"/>
        </w:rPr>
        <w:sectPr w:rsidR="00B97B32" w:rsidRPr="00B97B32" w:rsidSect="00AE40EB">
          <w:type w:val="continuous"/>
          <w:pgSz w:w="12240" w:h="15840" w:code="1"/>
          <w:pgMar w:top="1440" w:right="1440" w:bottom="1440" w:left="1440" w:header="720" w:footer="720" w:gutter="0"/>
          <w:cols w:space="720"/>
          <w:docGrid w:linePitch="360"/>
        </w:sectPr>
      </w:pPr>
    </w:p>
    <w:p w14:paraId="0E5CE2A2" w14:textId="77777777" w:rsidR="001E3E7D" w:rsidRPr="00557A14" w:rsidRDefault="001E3E7D" w:rsidP="00B97B32">
      <w:pPr>
        <w:spacing w:after="60"/>
        <w:rPr>
          <w:rFonts w:eastAsia="MS PGothic" w:cstheme="minorHAnsi"/>
          <w:szCs w:val="20"/>
          <w:lang w:val="sr-Cyrl-RS" w:eastAsia="ja-JP"/>
        </w:rPr>
        <w:sectPr w:rsidR="001E3E7D" w:rsidRPr="00557A14" w:rsidSect="008265F0">
          <w:type w:val="continuous"/>
          <w:pgSz w:w="12240" w:h="15840" w:code="1"/>
          <w:pgMar w:top="1440" w:right="1440" w:bottom="1440" w:left="1440" w:header="720" w:footer="720" w:gutter="0"/>
          <w:cols w:space="720"/>
          <w:docGrid w:linePitch="360"/>
        </w:sectPr>
      </w:pPr>
    </w:p>
    <w:p w14:paraId="1C6F244A" w14:textId="77777777" w:rsidR="001E3E7D" w:rsidRPr="004A2E36" w:rsidRDefault="001E3E7D" w:rsidP="008265F0">
      <w:pPr>
        <w:rPr>
          <w:rFonts w:eastAsia="MS PGothic" w:cstheme="minorHAnsi"/>
          <w:szCs w:val="20"/>
          <w:lang w:val="sr-Cyrl-RS" w:eastAsia="ja-JP"/>
        </w:rPr>
      </w:pPr>
      <w:r w:rsidRPr="004A2E36">
        <w:rPr>
          <w:rFonts w:eastAsia="MS PGothic" w:cstheme="minorHAnsi"/>
          <w:szCs w:val="20"/>
          <w:lang w:val="sr-Cyrl-RS" w:eastAsia="ja-JP"/>
        </w:rPr>
        <w:t xml:space="preserve">Упоредо са ревизијом приходне и расходне стране и усвајањем ребаланса буџета Републике, ревидиран је и целокупни фискални оквир опште државе </w:t>
      </w:r>
      <w:r w:rsidR="00103068">
        <w:rPr>
          <w:rFonts w:eastAsia="MS PGothic" w:cstheme="minorHAnsi"/>
          <w:szCs w:val="20"/>
          <w:lang w:val="sr-Cyrl-RS" w:eastAsia="ja-JP"/>
        </w:rPr>
        <w:t xml:space="preserve">за 2021. и наредне три године. </w:t>
      </w:r>
      <w:r w:rsidRPr="004A2E36">
        <w:rPr>
          <w:rFonts w:eastAsia="MS PGothic" w:cstheme="minorHAnsi"/>
          <w:szCs w:val="20"/>
          <w:lang w:val="sr-Cyrl-RS" w:eastAsia="ja-JP"/>
        </w:rPr>
        <w:t xml:space="preserve">Иновирани фискални оквир за 2021. годину предвиђа фискални дефицит од 6,9% БДП. У односу на </w:t>
      </w:r>
      <w:r w:rsidRPr="004A2E36">
        <w:rPr>
          <w:rFonts w:eastAsia="MS PGothic" w:cstheme="minorHAnsi"/>
          <w:szCs w:val="20"/>
          <w:lang w:val="sr-Cyrl-RS" w:eastAsia="ja-JP"/>
        </w:rPr>
        <w:t>оригинално планирани фискални оквир</w:t>
      </w:r>
      <w:r>
        <w:rPr>
          <w:rFonts w:eastAsia="MS PGothic" w:cstheme="minorHAnsi"/>
          <w:szCs w:val="20"/>
          <w:lang w:val="sr-Cyrl-RS" w:eastAsia="ja-JP"/>
        </w:rPr>
        <w:t>,</w:t>
      </w:r>
      <w:r w:rsidRPr="004A2E36">
        <w:rPr>
          <w:rFonts w:eastAsia="MS PGothic" w:cstheme="minorHAnsi"/>
          <w:szCs w:val="20"/>
          <w:lang w:val="sr-Cyrl-RS" w:eastAsia="ja-JP"/>
        </w:rPr>
        <w:t xml:space="preserve"> процена прихода повећана је за 56,1 млрд динара. На страни расхода дошло је до повећања за 288,9 млрд динара, уз значај</w:t>
      </w:r>
      <w:r w:rsidR="008265F0">
        <w:rPr>
          <w:rFonts w:eastAsia="MS PGothic" w:cstheme="minorHAnsi"/>
          <w:szCs w:val="20"/>
          <w:lang w:val="sr-Cyrl-RS" w:eastAsia="ja-JP"/>
        </w:rPr>
        <w:t>не промене у њиховој структури.</w:t>
      </w:r>
    </w:p>
    <w:p w14:paraId="6ECFF0A3" w14:textId="77777777" w:rsidR="001E3E7D" w:rsidRPr="00557A14" w:rsidRDefault="001E3E7D" w:rsidP="008265F0">
      <w:pPr>
        <w:rPr>
          <w:rFonts w:eastAsia="MS PGothic" w:cstheme="minorHAnsi"/>
          <w:szCs w:val="20"/>
          <w:lang w:val="sr-Cyrl-RS" w:eastAsia="ja-JP"/>
        </w:rPr>
      </w:pPr>
      <w:r w:rsidRPr="004A2E36">
        <w:rPr>
          <w:rFonts w:eastAsia="MS PGothic" w:cstheme="minorHAnsi"/>
          <w:szCs w:val="20"/>
          <w:lang w:val="sr-Cyrl-RS" w:eastAsia="ja-JP"/>
        </w:rPr>
        <w:lastRenderedPageBreak/>
        <w:t xml:space="preserve">Иако пројекција стопе реалног раста БДП за 2021. годину у овом тренутку није ревидирана, оригинална пројекција прихода опште државе је била конзервативна, услед опрезности и неизвесности у погледу укупних макроекономских кретања, нарочито на тржишту рада. Тренутни ефекти пандемије, као и епидемиолошких мера, на економска и кретања прихода буџета, нешто су мањи него што се првобитно очекивало. Бржи је </w:t>
      </w:r>
      <w:r w:rsidRPr="004A2E36">
        <w:rPr>
          <w:rFonts w:eastAsia="MS PGothic" w:cstheme="minorHAnsi"/>
          <w:szCs w:val="20"/>
          <w:lang w:val="sr-Cyrl-RS" w:eastAsia="ja-JP"/>
        </w:rPr>
        <w:t>опоравак производних делатности на глобалном нивоу и успешно је спроведен програм мера економске подршке у земљи. Са друге стране, неизвесност у погледу продуженог трајања пандемије, тока имунизације стан</w:t>
      </w:r>
      <w:r>
        <w:rPr>
          <w:rFonts w:eastAsia="MS PGothic" w:cstheme="minorHAnsi"/>
          <w:szCs w:val="20"/>
          <w:lang w:val="sr-Cyrl-RS" w:eastAsia="ja-JP"/>
        </w:rPr>
        <w:t>овништва, примене епидемиолошких</w:t>
      </w:r>
      <w:r w:rsidRPr="004A2E36">
        <w:rPr>
          <w:rFonts w:eastAsia="MS PGothic" w:cstheme="minorHAnsi"/>
          <w:szCs w:val="20"/>
          <w:lang w:val="sr-Cyrl-RS" w:eastAsia="ja-JP"/>
        </w:rPr>
        <w:t xml:space="preserve"> мера и глобалног е</w:t>
      </w:r>
      <w:r>
        <w:rPr>
          <w:rFonts w:eastAsia="MS PGothic" w:cstheme="minorHAnsi"/>
          <w:szCs w:val="20"/>
          <w:lang w:val="sr-Cyrl-RS" w:eastAsia="ja-JP"/>
        </w:rPr>
        <w:t>кономског опоравка и даље налажу</w:t>
      </w:r>
      <w:r w:rsidRPr="004A2E36">
        <w:rPr>
          <w:rFonts w:eastAsia="MS PGothic" w:cstheme="minorHAnsi"/>
          <w:szCs w:val="20"/>
          <w:lang w:val="sr-Cyrl-RS" w:eastAsia="ja-JP"/>
        </w:rPr>
        <w:t xml:space="preserve"> опрезност при ревизији прој</w:t>
      </w:r>
      <w:r w:rsidR="008265F0">
        <w:rPr>
          <w:rFonts w:eastAsia="MS PGothic" w:cstheme="minorHAnsi"/>
          <w:szCs w:val="20"/>
          <w:lang w:val="sr-Cyrl-RS" w:eastAsia="ja-JP"/>
        </w:rPr>
        <w:t>екције прихода за 2021. годину.</w:t>
      </w:r>
    </w:p>
    <w:p w14:paraId="3A4FA18A" w14:textId="77777777" w:rsidR="001E3E7D" w:rsidRPr="00557A14" w:rsidRDefault="001E3E7D" w:rsidP="008265F0">
      <w:pPr>
        <w:spacing w:after="120" w:line="276" w:lineRule="auto"/>
        <w:rPr>
          <w:rFonts w:eastAsia="MS PGothic" w:cstheme="minorHAnsi"/>
          <w:szCs w:val="20"/>
          <w:highlight w:val="yellow"/>
          <w:lang w:val="sr-Cyrl-RS" w:eastAsia="ja-JP"/>
        </w:rPr>
        <w:sectPr w:rsidR="001E3E7D" w:rsidRPr="00557A14" w:rsidSect="00AE40EB">
          <w:type w:val="continuous"/>
          <w:pgSz w:w="12240" w:h="15840" w:code="1"/>
          <w:pgMar w:top="1440" w:right="1440" w:bottom="1440" w:left="1440" w:header="720" w:footer="720" w:gutter="0"/>
          <w:cols w:num="2" w:space="720"/>
          <w:docGrid w:linePitch="360"/>
        </w:sectPr>
      </w:pPr>
    </w:p>
    <w:p w14:paraId="1BF4FC95" w14:textId="77777777" w:rsidR="001E3E7D" w:rsidRPr="00B97B32" w:rsidRDefault="001E3E7D" w:rsidP="008265F0">
      <w:pPr>
        <w:spacing w:after="0"/>
        <w:rPr>
          <w:sz w:val="14"/>
          <w:highlight w:val="yellow"/>
          <w:lang w:val="sr-Cyrl-RS" w:eastAsia="ja-JP"/>
        </w:rPr>
      </w:pPr>
    </w:p>
    <w:p w14:paraId="208AA49E" w14:textId="77777777" w:rsidR="001E3E7D" w:rsidRPr="00557A14" w:rsidRDefault="001E3E7D" w:rsidP="008265F0">
      <w:pPr>
        <w:jc w:val="center"/>
        <w:rPr>
          <w:rFonts w:eastAsia="MS PGothic" w:cstheme="minorHAnsi"/>
          <w:b/>
          <w:color w:val="002060"/>
          <w:szCs w:val="20"/>
          <w:lang w:val="sr-Cyrl-RS" w:eastAsia="ja-JP"/>
        </w:rPr>
      </w:pPr>
      <w:r>
        <w:rPr>
          <w:rFonts w:eastAsia="MS PGothic" w:cstheme="minorHAnsi"/>
          <w:b/>
          <w:color w:val="002060"/>
          <w:szCs w:val="20"/>
          <w:lang w:val="sr-Cyrl-RS" w:eastAsia="ja-JP"/>
        </w:rPr>
        <w:t>Табела 7</w:t>
      </w:r>
      <w:r w:rsidRPr="00D44A90">
        <w:rPr>
          <w:rFonts w:eastAsia="MS PGothic" w:cstheme="minorHAnsi"/>
          <w:b/>
          <w:color w:val="002060"/>
          <w:szCs w:val="20"/>
          <w:lang w:val="sr-Cyrl-RS" w:eastAsia="ja-JP"/>
        </w:rPr>
        <w:t>. Приходи, расходи и резултат сектора државе у 2021</w:t>
      </w:r>
      <w:r w:rsidR="00B906B9">
        <w:rPr>
          <w:rFonts w:eastAsia="MS PGothic" w:cstheme="minorHAnsi"/>
          <w:b/>
          <w:color w:val="002060"/>
          <w:szCs w:val="20"/>
          <w:lang w:val="sr-Cyrl-RS" w:eastAsia="ja-JP"/>
        </w:rPr>
        <w:t>.</w:t>
      </w:r>
      <w:r w:rsidRPr="00D44A90">
        <w:rPr>
          <w:rFonts w:eastAsia="MS PGothic" w:cstheme="minorHAnsi"/>
          <w:b/>
          <w:color w:val="002060"/>
          <w:szCs w:val="20"/>
          <w:lang w:val="sr-Cyrl-RS" w:eastAsia="ja-JP"/>
        </w:rPr>
        <w:t xml:space="preserve"> години, у млрд динара</w:t>
      </w:r>
    </w:p>
    <w:tbl>
      <w:tblPr>
        <w:tblW w:w="4920" w:type="pct"/>
        <w:jc w:val="center"/>
        <w:tblLook w:val="04A0" w:firstRow="1" w:lastRow="0" w:firstColumn="1" w:lastColumn="0" w:noHBand="0" w:noVBand="1"/>
      </w:tblPr>
      <w:tblGrid>
        <w:gridCol w:w="2670"/>
        <w:gridCol w:w="1308"/>
        <w:gridCol w:w="1310"/>
        <w:gridCol w:w="1310"/>
        <w:gridCol w:w="1310"/>
        <w:gridCol w:w="1302"/>
      </w:tblGrid>
      <w:tr w:rsidR="008265F0" w:rsidRPr="00CD7EDF" w14:paraId="6CC5A1E9" w14:textId="77777777" w:rsidTr="008265F0">
        <w:trPr>
          <w:trHeight w:val="482"/>
          <w:tblHeader/>
          <w:jc w:val="center"/>
        </w:trPr>
        <w:tc>
          <w:tcPr>
            <w:tcW w:w="1450" w:type="pct"/>
            <w:tcBorders>
              <w:top w:val="single" w:sz="4" w:space="0" w:color="002060"/>
            </w:tcBorders>
            <w:shd w:val="clear" w:color="auto" w:fill="auto"/>
            <w:noWrap/>
            <w:vAlign w:val="center"/>
            <w:hideMark/>
          </w:tcPr>
          <w:p w14:paraId="01D9F5A1" w14:textId="77777777" w:rsidR="001E3E7D" w:rsidRPr="008265F0" w:rsidRDefault="001E3E7D" w:rsidP="008265F0">
            <w:pPr>
              <w:spacing w:after="0" w:line="240" w:lineRule="auto"/>
              <w:jc w:val="center"/>
              <w:rPr>
                <w:rFonts w:eastAsia="Times New Roman" w:cstheme="minorHAnsi"/>
                <w:bCs/>
                <w:color w:val="002060"/>
                <w:sz w:val="16"/>
                <w:szCs w:val="16"/>
                <w:lang w:val="sr-Cyrl-RS" w:eastAsia="sr-Cyrl-RS"/>
              </w:rPr>
            </w:pPr>
            <w:r w:rsidRPr="008265F0">
              <w:rPr>
                <w:rFonts w:eastAsia="Times New Roman" w:cstheme="minorHAnsi"/>
                <w:bCs/>
                <w:color w:val="002060"/>
                <w:sz w:val="16"/>
                <w:szCs w:val="16"/>
                <w:lang w:val="sr-Cyrl-RS" w:eastAsia="sr-Cyrl-RS"/>
              </w:rPr>
              <w:t> </w:t>
            </w:r>
          </w:p>
        </w:tc>
        <w:tc>
          <w:tcPr>
            <w:tcW w:w="710" w:type="pct"/>
            <w:tcBorders>
              <w:top w:val="single" w:sz="4" w:space="0" w:color="002060"/>
              <w:bottom w:val="single" w:sz="4" w:space="0" w:color="002060"/>
            </w:tcBorders>
            <w:shd w:val="clear" w:color="auto" w:fill="auto"/>
            <w:vAlign w:val="center"/>
            <w:hideMark/>
          </w:tcPr>
          <w:p w14:paraId="21B0C5C1"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буџет 2021</w:t>
            </w:r>
          </w:p>
        </w:tc>
        <w:tc>
          <w:tcPr>
            <w:tcW w:w="711" w:type="pct"/>
            <w:tcBorders>
              <w:top w:val="single" w:sz="4" w:space="0" w:color="002060"/>
              <w:bottom w:val="single" w:sz="4" w:space="0" w:color="002060"/>
            </w:tcBorders>
            <w:shd w:val="clear" w:color="auto" w:fill="auto"/>
            <w:vAlign w:val="center"/>
            <w:hideMark/>
          </w:tcPr>
          <w:p w14:paraId="159F53A9"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нова процена 2021</w:t>
            </w:r>
          </w:p>
        </w:tc>
        <w:tc>
          <w:tcPr>
            <w:tcW w:w="711" w:type="pct"/>
            <w:tcBorders>
              <w:top w:val="single" w:sz="4" w:space="0" w:color="002060"/>
              <w:bottom w:val="single" w:sz="4" w:space="0" w:color="002060"/>
            </w:tcBorders>
            <w:shd w:val="clear" w:color="auto" w:fill="auto"/>
            <w:vAlign w:val="center"/>
            <w:hideMark/>
          </w:tcPr>
          <w:p w14:paraId="1C593D02"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Разлика новa/буџет</w:t>
            </w:r>
          </w:p>
        </w:tc>
        <w:tc>
          <w:tcPr>
            <w:tcW w:w="711" w:type="pct"/>
            <w:tcBorders>
              <w:top w:val="single" w:sz="4" w:space="0" w:color="002060"/>
              <w:bottom w:val="single" w:sz="4" w:space="0" w:color="002060"/>
            </w:tcBorders>
            <w:shd w:val="clear" w:color="auto" w:fill="auto"/>
            <w:vAlign w:val="center"/>
            <w:hideMark/>
          </w:tcPr>
          <w:p w14:paraId="26863B90"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 промена</w:t>
            </w:r>
          </w:p>
        </w:tc>
        <w:tc>
          <w:tcPr>
            <w:tcW w:w="707" w:type="pct"/>
            <w:tcBorders>
              <w:top w:val="single" w:sz="4" w:space="0" w:color="002060"/>
              <w:bottom w:val="single" w:sz="4" w:space="0" w:color="002060"/>
            </w:tcBorders>
            <w:shd w:val="clear" w:color="auto" w:fill="auto"/>
            <w:vAlign w:val="center"/>
            <w:hideMark/>
          </w:tcPr>
          <w:p w14:paraId="06A7C1E2"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2021 нова пр. % БДП</w:t>
            </w:r>
          </w:p>
        </w:tc>
      </w:tr>
      <w:tr w:rsidR="008265F0" w:rsidRPr="00CD7EDF" w14:paraId="06B52953" w14:textId="77777777" w:rsidTr="008265F0">
        <w:trPr>
          <w:trHeight w:val="239"/>
          <w:jc w:val="center"/>
        </w:trPr>
        <w:tc>
          <w:tcPr>
            <w:tcW w:w="1450" w:type="pct"/>
            <w:shd w:val="clear" w:color="auto" w:fill="E7E6E6" w:themeFill="background2"/>
            <w:noWrap/>
            <w:vAlign w:val="center"/>
            <w:hideMark/>
          </w:tcPr>
          <w:p w14:paraId="74E16B4A"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ЈАВНИ ПРИХОДИ</w:t>
            </w:r>
          </w:p>
        </w:tc>
        <w:tc>
          <w:tcPr>
            <w:tcW w:w="710" w:type="pct"/>
            <w:tcBorders>
              <w:top w:val="single" w:sz="4" w:space="0" w:color="002060"/>
            </w:tcBorders>
            <w:shd w:val="clear" w:color="auto" w:fill="E7E6E6" w:themeFill="background2"/>
            <w:hideMark/>
          </w:tcPr>
          <w:p w14:paraId="06DDFBA2"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2.423,9</w:t>
            </w:r>
          </w:p>
        </w:tc>
        <w:tc>
          <w:tcPr>
            <w:tcW w:w="711" w:type="pct"/>
            <w:tcBorders>
              <w:top w:val="single" w:sz="4" w:space="0" w:color="002060"/>
            </w:tcBorders>
            <w:shd w:val="clear" w:color="auto" w:fill="E7E6E6" w:themeFill="background2"/>
            <w:noWrap/>
            <w:hideMark/>
          </w:tcPr>
          <w:p w14:paraId="0D0B322C"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2.480,0</w:t>
            </w:r>
          </w:p>
        </w:tc>
        <w:tc>
          <w:tcPr>
            <w:tcW w:w="711" w:type="pct"/>
            <w:tcBorders>
              <w:top w:val="single" w:sz="4" w:space="0" w:color="002060"/>
            </w:tcBorders>
            <w:shd w:val="clear" w:color="auto" w:fill="E7E6E6" w:themeFill="background2"/>
            <w:hideMark/>
          </w:tcPr>
          <w:p w14:paraId="01907DEE"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56,1</w:t>
            </w:r>
          </w:p>
        </w:tc>
        <w:tc>
          <w:tcPr>
            <w:tcW w:w="711" w:type="pct"/>
            <w:tcBorders>
              <w:top w:val="single" w:sz="4" w:space="0" w:color="002060"/>
            </w:tcBorders>
            <w:shd w:val="clear" w:color="auto" w:fill="E7E6E6" w:themeFill="background2"/>
            <w:hideMark/>
          </w:tcPr>
          <w:p w14:paraId="1F3BD2E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2,3</w:t>
            </w:r>
          </w:p>
        </w:tc>
        <w:tc>
          <w:tcPr>
            <w:tcW w:w="707" w:type="pct"/>
            <w:tcBorders>
              <w:top w:val="single" w:sz="4" w:space="0" w:color="002060"/>
            </w:tcBorders>
            <w:shd w:val="clear" w:color="auto" w:fill="E7E6E6" w:themeFill="background2"/>
            <w:noWrap/>
            <w:hideMark/>
          </w:tcPr>
          <w:p w14:paraId="5517A22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41,8</w:t>
            </w:r>
          </w:p>
        </w:tc>
      </w:tr>
      <w:tr w:rsidR="008265F0" w:rsidRPr="00CD7EDF" w14:paraId="0C2E2B13" w14:textId="77777777" w:rsidTr="008265F0">
        <w:trPr>
          <w:trHeight w:val="229"/>
          <w:jc w:val="center"/>
        </w:trPr>
        <w:tc>
          <w:tcPr>
            <w:tcW w:w="1450" w:type="pct"/>
            <w:shd w:val="clear" w:color="auto" w:fill="auto"/>
            <w:noWrap/>
            <w:vAlign w:val="center"/>
            <w:hideMark/>
          </w:tcPr>
          <w:p w14:paraId="6EFEFAEA"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Текући приходи</w:t>
            </w:r>
          </w:p>
        </w:tc>
        <w:tc>
          <w:tcPr>
            <w:tcW w:w="710" w:type="pct"/>
            <w:shd w:val="clear" w:color="auto" w:fill="auto"/>
            <w:hideMark/>
          </w:tcPr>
          <w:p w14:paraId="46ECD1D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2.404,4</w:t>
            </w:r>
          </w:p>
        </w:tc>
        <w:tc>
          <w:tcPr>
            <w:tcW w:w="711" w:type="pct"/>
            <w:shd w:val="clear" w:color="auto" w:fill="auto"/>
            <w:noWrap/>
            <w:hideMark/>
          </w:tcPr>
          <w:p w14:paraId="063A7E5F"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2.460,4</w:t>
            </w:r>
          </w:p>
        </w:tc>
        <w:tc>
          <w:tcPr>
            <w:tcW w:w="711" w:type="pct"/>
            <w:shd w:val="clear" w:color="auto" w:fill="auto"/>
            <w:hideMark/>
          </w:tcPr>
          <w:p w14:paraId="0D0EB983"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55,9</w:t>
            </w:r>
          </w:p>
        </w:tc>
        <w:tc>
          <w:tcPr>
            <w:tcW w:w="711" w:type="pct"/>
            <w:shd w:val="clear" w:color="auto" w:fill="auto"/>
            <w:hideMark/>
          </w:tcPr>
          <w:p w14:paraId="08EF968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2,3</w:t>
            </w:r>
          </w:p>
        </w:tc>
        <w:tc>
          <w:tcPr>
            <w:tcW w:w="707" w:type="pct"/>
            <w:shd w:val="clear" w:color="auto" w:fill="auto"/>
            <w:noWrap/>
            <w:hideMark/>
          </w:tcPr>
          <w:p w14:paraId="6A6DAA6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41,4</w:t>
            </w:r>
          </w:p>
        </w:tc>
      </w:tr>
      <w:tr w:rsidR="008265F0" w:rsidRPr="00CD7EDF" w14:paraId="4A106DF8" w14:textId="77777777" w:rsidTr="008265F0">
        <w:trPr>
          <w:trHeight w:val="229"/>
          <w:jc w:val="center"/>
        </w:trPr>
        <w:tc>
          <w:tcPr>
            <w:tcW w:w="1450" w:type="pct"/>
            <w:shd w:val="clear" w:color="auto" w:fill="auto"/>
            <w:noWrap/>
            <w:vAlign w:val="center"/>
            <w:hideMark/>
          </w:tcPr>
          <w:p w14:paraId="6237379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Порески приходи</w:t>
            </w:r>
          </w:p>
        </w:tc>
        <w:tc>
          <w:tcPr>
            <w:tcW w:w="710" w:type="pct"/>
            <w:shd w:val="clear" w:color="auto" w:fill="auto"/>
            <w:hideMark/>
          </w:tcPr>
          <w:p w14:paraId="7B5C84D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2.171,1</w:t>
            </w:r>
          </w:p>
        </w:tc>
        <w:tc>
          <w:tcPr>
            <w:tcW w:w="711" w:type="pct"/>
            <w:shd w:val="clear" w:color="auto" w:fill="auto"/>
            <w:hideMark/>
          </w:tcPr>
          <w:p w14:paraId="2760A537"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2.225,4</w:t>
            </w:r>
          </w:p>
        </w:tc>
        <w:tc>
          <w:tcPr>
            <w:tcW w:w="711" w:type="pct"/>
            <w:shd w:val="clear" w:color="auto" w:fill="auto"/>
            <w:hideMark/>
          </w:tcPr>
          <w:p w14:paraId="41AEED8C"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54,3</w:t>
            </w:r>
          </w:p>
        </w:tc>
        <w:tc>
          <w:tcPr>
            <w:tcW w:w="711" w:type="pct"/>
            <w:shd w:val="clear" w:color="auto" w:fill="auto"/>
            <w:hideMark/>
          </w:tcPr>
          <w:p w14:paraId="6EDBE10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2,5</w:t>
            </w:r>
          </w:p>
        </w:tc>
        <w:tc>
          <w:tcPr>
            <w:tcW w:w="707" w:type="pct"/>
            <w:shd w:val="clear" w:color="auto" w:fill="auto"/>
            <w:noWrap/>
            <w:hideMark/>
          </w:tcPr>
          <w:p w14:paraId="0454F38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37,5</w:t>
            </w:r>
          </w:p>
        </w:tc>
      </w:tr>
      <w:tr w:rsidR="008265F0" w:rsidRPr="00CD7EDF" w14:paraId="622B3506" w14:textId="77777777" w:rsidTr="008265F0">
        <w:trPr>
          <w:trHeight w:val="229"/>
          <w:jc w:val="center"/>
        </w:trPr>
        <w:tc>
          <w:tcPr>
            <w:tcW w:w="1450" w:type="pct"/>
            <w:shd w:val="clear" w:color="auto" w:fill="auto"/>
            <w:noWrap/>
            <w:vAlign w:val="center"/>
            <w:hideMark/>
          </w:tcPr>
          <w:p w14:paraId="7357A5B2"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Порез на доходак грађана</w:t>
            </w:r>
          </w:p>
        </w:tc>
        <w:tc>
          <w:tcPr>
            <w:tcW w:w="710" w:type="pct"/>
            <w:shd w:val="clear" w:color="auto" w:fill="auto"/>
            <w:hideMark/>
          </w:tcPr>
          <w:p w14:paraId="047C9F5E"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225,4</w:t>
            </w:r>
          </w:p>
        </w:tc>
        <w:tc>
          <w:tcPr>
            <w:tcW w:w="711" w:type="pct"/>
            <w:shd w:val="clear" w:color="auto" w:fill="auto"/>
            <w:noWrap/>
            <w:hideMark/>
          </w:tcPr>
          <w:p w14:paraId="3BFA9CCF"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236,3</w:t>
            </w:r>
          </w:p>
        </w:tc>
        <w:tc>
          <w:tcPr>
            <w:tcW w:w="711" w:type="pct"/>
            <w:shd w:val="clear" w:color="auto" w:fill="auto"/>
            <w:hideMark/>
          </w:tcPr>
          <w:p w14:paraId="185E8BDD"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10,8</w:t>
            </w:r>
          </w:p>
        </w:tc>
        <w:tc>
          <w:tcPr>
            <w:tcW w:w="711" w:type="pct"/>
            <w:shd w:val="clear" w:color="auto" w:fill="auto"/>
            <w:hideMark/>
          </w:tcPr>
          <w:p w14:paraId="7E286EE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4,8</w:t>
            </w:r>
          </w:p>
        </w:tc>
        <w:tc>
          <w:tcPr>
            <w:tcW w:w="707" w:type="pct"/>
            <w:shd w:val="clear" w:color="auto" w:fill="auto"/>
            <w:noWrap/>
            <w:hideMark/>
          </w:tcPr>
          <w:p w14:paraId="7032A685"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4,0</w:t>
            </w:r>
          </w:p>
        </w:tc>
      </w:tr>
      <w:tr w:rsidR="008265F0" w:rsidRPr="00CD7EDF" w14:paraId="360F5F98" w14:textId="77777777" w:rsidTr="008265F0">
        <w:trPr>
          <w:trHeight w:val="229"/>
          <w:jc w:val="center"/>
        </w:trPr>
        <w:tc>
          <w:tcPr>
            <w:tcW w:w="1450" w:type="pct"/>
            <w:shd w:val="clear" w:color="auto" w:fill="auto"/>
            <w:noWrap/>
            <w:vAlign w:val="center"/>
            <w:hideMark/>
          </w:tcPr>
          <w:p w14:paraId="2E9E18FF"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Порез на добит правних лица</w:t>
            </w:r>
          </w:p>
        </w:tc>
        <w:tc>
          <w:tcPr>
            <w:tcW w:w="710" w:type="pct"/>
            <w:shd w:val="clear" w:color="auto" w:fill="auto"/>
            <w:hideMark/>
          </w:tcPr>
          <w:p w14:paraId="0231C51C"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107,1</w:t>
            </w:r>
          </w:p>
        </w:tc>
        <w:tc>
          <w:tcPr>
            <w:tcW w:w="711" w:type="pct"/>
            <w:shd w:val="clear" w:color="auto" w:fill="auto"/>
            <w:noWrap/>
            <w:hideMark/>
          </w:tcPr>
          <w:p w14:paraId="4A6367D0"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107,1</w:t>
            </w:r>
          </w:p>
        </w:tc>
        <w:tc>
          <w:tcPr>
            <w:tcW w:w="711" w:type="pct"/>
            <w:shd w:val="clear" w:color="auto" w:fill="auto"/>
            <w:hideMark/>
          </w:tcPr>
          <w:p w14:paraId="62926995"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0,0</w:t>
            </w:r>
          </w:p>
        </w:tc>
        <w:tc>
          <w:tcPr>
            <w:tcW w:w="711" w:type="pct"/>
            <w:shd w:val="clear" w:color="auto" w:fill="auto"/>
            <w:hideMark/>
          </w:tcPr>
          <w:p w14:paraId="25E973D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0,0</w:t>
            </w:r>
          </w:p>
        </w:tc>
        <w:tc>
          <w:tcPr>
            <w:tcW w:w="707" w:type="pct"/>
            <w:shd w:val="clear" w:color="auto" w:fill="auto"/>
            <w:noWrap/>
            <w:hideMark/>
          </w:tcPr>
          <w:p w14:paraId="080EACF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1,8</w:t>
            </w:r>
          </w:p>
        </w:tc>
      </w:tr>
      <w:tr w:rsidR="008265F0" w:rsidRPr="00CD7EDF" w14:paraId="3E2F0CAE" w14:textId="77777777" w:rsidTr="008265F0">
        <w:trPr>
          <w:trHeight w:val="229"/>
          <w:jc w:val="center"/>
        </w:trPr>
        <w:tc>
          <w:tcPr>
            <w:tcW w:w="1450" w:type="pct"/>
            <w:shd w:val="clear" w:color="auto" w:fill="auto"/>
            <w:noWrap/>
            <w:vAlign w:val="center"/>
            <w:hideMark/>
          </w:tcPr>
          <w:p w14:paraId="06D32376"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ПДВ</w:t>
            </w:r>
          </w:p>
        </w:tc>
        <w:tc>
          <w:tcPr>
            <w:tcW w:w="710" w:type="pct"/>
            <w:shd w:val="clear" w:color="auto" w:fill="auto"/>
            <w:hideMark/>
          </w:tcPr>
          <w:p w14:paraId="6D042627"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600,3</w:t>
            </w:r>
          </w:p>
        </w:tc>
        <w:tc>
          <w:tcPr>
            <w:tcW w:w="711" w:type="pct"/>
            <w:shd w:val="clear" w:color="auto" w:fill="auto"/>
            <w:noWrap/>
            <w:hideMark/>
          </w:tcPr>
          <w:p w14:paraId="5338A086"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600,3</w:t>
            </w:r>
          </w:p>
        </w:tc>
        <w:tc>
          <w:tcPr>
            <w:tcW w:w="711" w:type="pct"/>
            <w:shd w:val="clear" w:color="auto" w:fill="auto"/>
            <w:hideMark/>
          </w:tcPr>
          <w:p w14:paraId="3E732659"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0,0</w:t>
            </w:r>
          </w:p>
        </w:tc>
        <w:tc>
          <w:tcPr>
            <w:tcW w:w="711" w:type="pct"/>
            <w:shd w:val="clear" w:color="auto" w:fill="auto"/>
            <w:hideMark/>
          </w:tcPr>
          <w:p w14:paraId="6292ECDC"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0,0</w:t>
            </w:r>
          </w:p>
        </w:tc>
        <w:tc>
          <w:tcPr>
            <w:tcW w:w="707" w:type="pct"/>
            <w:shd w:val="clear" w:color="auto" w:fill="auto"/>
            <w:noWrap/>
            <w:hideMark/>
          </w:tcPr>
          <w:p w14:paraId="3995AD8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10,1</w:t>
            </w:r>
          </w:p>
        </w:tc>
      </w:tr>
      <w:tr w:rsidR="008265F0" w:rsidRPr="00CD7EDF" w14:paraId="145D0E58" w14:textId="77777777" w:rsidTr="008265F0">
        <w:trPr>
          <w:trHeight w:val="229"/>
          <w:jc w:val="center"/>
        </w:trPr>
        <w:tc>
          <w:tcPr>
            <w:tcW w:w="1450" w:type="pct"/>
            <w:shd w:val="clear" w:color="auto" w:fill="auto"/>
            <w:noWrap/>
            <w:vAlign w:val="center"/>
            <w:hideMark/>
          </w:tcPr>
          <w:p w14:paraId="2E06339F"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Акцизе</w:t>
            </w:r>
          </w:p>
        </w:tc>
        <w:tc>
          <w:tcPr>
            <w:tcW w:w="710" w:type="pct"/>
            <w:shd w:val="clear" w:color="auto" w:fill="auto"/>
            <w:hideMark/>
          </w:tcPr>
          <w:p w14:paraId="3EF72E62"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315,8</w:t>
            </w:r>
          </w:p>
        </w:tc>
        <w:tc>
          <w:tcPr>
            <w:tcW w:w="711" w:type="pct"/>
            <w:shd w:val="clear" w:color="auto" w:fill="auto"/>
            <w:noWrap/>
            <w:hideMark/>
          </w:tcPr>
          <w:p w14:paraId="2BBB345A"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322,7</w:t>
            </w:r>
          </w:p>
        </w:tc>
        <w:tc>
          <w:tcPr>
            <w:tcW w:w="711" w:type="pct"/>
            <w:shd w:val="clear" w:color="auto" w:fill="auto"/>
            <w:hideMark/>
          </w:tcPr>
          <w:p w14:paraId="47D436DD"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6,9</w:t>
            </w:r>
          </w:p>
        </w:tc>
        <w:tc>
          <w:tcPr>
            <w:tcW w:w="711" w:type="pct"/>
            <w:shd w:val="clear" w:color="auto" w:fill="auto"/>
            <w:hideMark/>
          </w:tcPr>
          <w:p w14:paraId="334991C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2,2</w:t>
            </w:r>
          </w:p>
        </w:tc>
        <w:tc>
          <w:tcPr>
            <w:tcW w:w="707" w:type="pct"/>
            <w:shd w:val="clear" w:color="auto" w:fill="auto"/>
            <w:noWrap/>
            <w:hideMark/>
          </w:tcPr>
          <w:p w14:paraId="286A62C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5,4</w:t>
            </w:r>
          </w:p>
        </w:tc>
      </w:tr>
      <w:tr w:rsidR="008265F0" w:rsidRPr="00CD7EDF" w14:paraId="75C34ECD" w14:textId="77777777" w:rsidTr="008265F0">
        <w:trPr>
          <w:trHeight w:val="229"/>
          <w:jc w:val="center"/>
        </w:trPr>
        <w:tc>
          <w:tcPr>
            <w:tcW w:w="1450" w:type="pct"/>
            <w:shd w:val="clear" w:color="auto" w:fill="auto"/>
            <w:noWrap/>
            <w:vAlign w:val="center"/>
            <w:hideMark/>
          </w:tcPr>
          <w:p w14:paraId="50FBFE7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Царине</w:t>
            </w:r>
          </w:p>
        </w:tc>
        <w:tc>
          <w:tcPr>
            <w:tcW w:w="710" w:type="pct"/>
            <w:shd w:val="clear" w:color="auto" w:fill="auto"/>
            <w:hideMark/>
          </w:tcPr>
          <w:p w14:paraId="6E5DF36B"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53,1</w:t>
            </w:r>
          </w:p>
        </w:tc>
        <w:tc>
          <w:tcPr>
            <w:tcW w:w="711" w:type="pct"/>
            <w:shd w:val="clear" w:color="auto" w:fill="auto"/>
            <w:noWrap/>
            <w:hideMark/>
          </w:tcPr>
          <w:p w14:paraId="2550480F"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56,6</w:t>
            </w:r>
          </w:p>
        </w:tc>
        <w:tc>
          <w:tcPr>
            <w:tcW w:w="711" w:type="pct"/>
            <w:shd w:val="clear" w:color="auto" w:fill="auto"/>
            <w:hideMark/>
          </w:tcPr>
          <w:p w14:paraId="13E9286A"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3,5</w:t>
            </w:r>
          </w:p>
        </w:tc>
        <w:tc>
          <w:tcPr>
            <w:tcW w:w="711" w:type="pct"/>
            <w:shd w:val="clear" w:color="auto" w:fill="auto"/>
            <w:hideMark/>
          </w:tcPr>
          <w:p w14:paraId="72C0307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6,6</w:t>
            </w:r>
          </w:p>
        </w:tc>
        <w:tc>
          <w:tcPr>
            <w:tcW w:w="707" w:type="pct"/>
            <w:shd w:val="clear" w:color="auto" w:fill="auto"/>
            <w:noWrap/>
            <w:hideMark/>
          </w:tcPr>
          <w:p w14:paraId="52111E4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1,0</w:t>
            </w:r>
          </w:p>
        </w:tc>
      </w:tr>
      <w:tr w:rsidR="008265F0" w:rsidRPr="00CD7EDF" w14:paraId="0EB08F13" w14:textId="77777777" w:rsidTr="008265F0">
        <w:trPr>
          <w:trHeight w:val="229"/>
          <w:jc w:val="center"/>
        </w:trPr>
        <w:tc>
          <w:tcPr>
            <w:tcW w:w="1450" w:type="pct"/>
            <w:shd w:val="clear" w:color="auto" w:fill="auto"/>
            <w:noWrap/>
            <w:vAlign w:val="center"/>
            <w:hideMark/>
          </w:tcPr>
          <w:p w14:paraId="60B2F379"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Остали порески приходи</w:t>
            </w:r>
          </w:p>
        </w:tc>
        <w:tc>
          <w:tcPr>
            <w:tcW w:w="710" w:type="pct"/>
            <w:shd w:val="clear" w:color="auto" w:fill="auto"/>
            <w:hideMark/>
          </w:tcPr>
          <w:p w14:paraId="4C336377"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84,9</w:t>
            </w:r>
          </w:p>
        </w:tc>
        <w:tc>
          <w:tcPr>
            <w:tcW w:w="711" w:type="pct"/>
            <w:shd w:val="clear" w:color="auto" w:fill="auto"/>
            <w:noWrap/>
            <w:hideMark/>
          </w:tcPr>
          <w:p w14:paraId="6A7BA565"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86,3</w:t>
            </w:r>
          </w:p>
        </w:tc>
        <w:tc>
          <w:tcPr>
            <w:tcW w:w="711" w:type="pct"/>
            <w:shd w:val="clear" w:color="auto" w:fill="auto"/>
            <w:hideMark/>
          </w:tcPr>
          <w:p w14:paraId="2484F360"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1,4</w:t>
            </w:r>
          </w:p>
        </w:tc>
        <w:tc>
          <w:tcPr>
            <w:tcW w:w="711" w:type="pct"/>
            <w:shd w:val="clear" w:color="auto" w:fill="auto"/>
            <w:hideMark/>
          </w:tcPr>
          <w:p w14:paraId="1B7981F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1,7</w:t>
            </w:r>
          </w:p>
        </w:tc>
        <w:tc>
          <w:tcPr>
            <w:tcW w:w="707" w:type="pct"/>
            <w:shd w:val="clear" w:color="auto" w:fill="auto"/>
            <w:noWrap/>
            <w:hideMark/>
          </w:tcPr>
          <w:p w14:paraId="1F7CB82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1,5</w:t>
            </w:r>
          </w:p>
        </w:tc>
      </w:tr>
      <w:tr w:rsidR="008265F0" w:rsidRPr="00CD7EDF" w14:paraId="3705EE19" w14:textId="77777777" w:rsidTr="008265F0">
        <w:trPr>
          <w:trHeight w:val="229"/>
          <w:jc w:val="center"/>
        </w:trPr>
        <w:tc>
          <w:tcPr>
            <w:tcW w:w="1450" w:type="pct"/>
            <w:shd w:val="clear" w:color="auto" w:fill="auto"/>
            <w:noWrap/>
            <w:vAlign w:val="center"/>
            <w:hideMark/>
          </w:tcPr>
          <w:p w14:paraId="266D918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Доприноси</w:t>
            </w:r>
          </w:p>
        </w:tc>
        <w:tc>
          <w:tcPr>
            <w:tcW w:w="710" w:type="pct"/>
            <w:shd w:val="clear" w:color="auto" w:fill="auto"/>
            <w:hideMark/>
          </w:tcPr>
          <w:p w14:paraId="54741E9D"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784,5</w:t>
            </w:r>
          </w:p>
        </w:tc>
        <w:tc>
          <w:tcPr>
            <w:tcW w:w="711" w:type="pct"/>
            <w:shd w:val="clear" w:color="auto" w:fill="auto"/>
            <w:noWrap/>
            <w:hideMark/>
          </w:tcPr>
          <w:p w14:paraId="05C7469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816,1</w:t>
            </w:r>
          </w:p>
        </w:tc>
        <w:tc>
          <w:tcPr>
            <w:tcW w:w="711" w:type="pct"/>
            <w:shd w:val="clear" w:color="auto" w:fill="auto"/>
            <w:hideMark/>
          </w:tcPr>
          <w:p w14:paraId="48EB5190"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31,6</w:t>
            </w:r>
          </w:p>
        </w:tc>
        <w:tc>
          <w:tcPr>
            <w:tcW w:w="711" w:type="pct"/>
            <w:shd w:val="clear" w:color="auto" w:fill="auto"/>
            <w:hideMark/>
          </w:tcPr>
          <w:p w14:paraId="06A4EB3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4,0</w:t>
            </w:r>
          </w:p>
        </w:tc>
        <w:tc>
          <w:tcPr>
            <w:tcW w:w="707" w:type="pct"/>
            <w:shd w:val="clear" w:color="auto" w:fill="auto"/>
            <w:noWrap/>
            <w:hideMark/>
          </w:tcPr>
          <w:p w14:paraId="7FDF5D29"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13,7</w:t>
            </w:r>
          </w:p>
        </w:tc>
      </w:tr>
      <w:tr w:rsidR="008265F0" w:rsidRPr="00CD7EDF" w14:paraId="47BCDB59" w14:textId="77777777" w:rsidTr="008265F0">
        <w:trPr>
          <w:trHeight w:val="229"/>
          <w:jc w:val="center"/>
        </w:trPr>
        <w:tc>
          <w:tcPr>
            <w:tcW w:w="1450" w:type="pct"/>
            <w:shd w:val="clear" w:color="auto" w:fill="auto"/>
            <w:noWrap/>
            <w:vAlign w:val="center"/>
            <w:hideMark/>
          </w:tcPr>
          <w:p w14:paraId="798C06D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Непорески приходи</w:t>
            </w:r>
          </w:p>
        </w:tc>
        <w:tc>
          <w:tcPr>
            <w:tcW w:w="710" w:type="pct"/>
            <w:shd w:val="clear" w:color="auto" w:fill="auto"/>
            <w:hideMark/>
          </w:tcPr>
          <w:p w14:paraId="0BEED360"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233,3</w:t>
            </w:r>
          </w:p>
        </w:tc>
        <w:tc>
          <w:tcPr>
            <w:tcW w:w="711" w:type="pct"/>
            <w:shd w:val="clear" w:color="auto" w:fill="auto"/>
            <w:noWrap/>
            <w:hideMark/>
          </w:tcPr>
          <w:p w14:paraId="642FD421"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235,0</w:t>
            </w:r>
          </w:p>
        </w:tc>
        <w:tc>
          <w:tcPr>
            <w:tcW w:w="711" w:type="pct"/>
            <w:shd w:val="clear" w:color="auto" w:fill="auto"/>
            <w:hideMark/>
          </w:tcPr>
          <w:p w14:paraId="19E9D00E"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1,6</w:t>
            </w:r>
          </w:p>
        </w:tc>
        <w:tc>
          <w:tcPr>
            <w:tcW w:w="711" w:type="pct"/>
            <w:shd w:val="clear" w:color="auto" w:fill="auto"/>
            <w:hideMark/>
          </w:tcPr>
          <w:p w14:paraId="39DF694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0,7</w:t>
            </w:r>
          </w:p>
        </w:tc>
        <w:tc>
          <w:tcPr>
            <w:tcW w:w="707" w:type="pct"/>
            <w:shd w:val="clear" w:color="auto" w:fill="auto"/>
            <w:noWrap/>
            <w:hideMark/>
          </w:tcPr>
          <w:p w14:paraId="4AD77C0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4,0</w:t>
            </w:r>
          </w:p>
        </w:tc>
      </w:tr>
      <w:tr w:rsidR="008265F0" w:rsidRPr="00CD7EDF" w14:paraId="5549CFCF" w14:textId="77777777" w:rsidTr="008265F0">
        <w:trPr>
          <w:trHeight w:val="229"/>
          <w:jc w:val="center"/>
        </w:trPr>
        <w:tc>
          <w:tcPr>
            <w:tcW w:w="1450" w:type="pct"/>
            <w:shd w:val="clear" w:color="auto" w:fill="auto"/>
            <w:noWrap/>
            <w:vAlign w:val="center"/>
            <w:hideMark/>
          </w:tcPr>
          <w:p w14:paraId="3337CCE2"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Донације</w:t>
            </w:r>
          </w:p>
        </w:tc>
        <w:tc>
          <w:tcPr>
            <w:tcW w:w="710" w:type="pct"/>
            <w:shd w:val="clear" w:color="auto" w:fill="auto"/>
            <w:hideMark/>
          </w:tcPr>
          <w:p w14:paraId="7EBBD4FC"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19,5</w:t>
            </w:r>
          </w:p>
        </w:tc>
        <w:tc>
          <w:tcPr>
            <w:tcW w:w="711" w:type="pct"/>
            <w:shd w:val="clear" w:color="auto" w:fill="auto"/>
            <w:noWrap/>
            <w:hideMark/>
          </w:tcPr>
          <w:p w14:paraId="06E6D46A"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19,6</w:t>
            </w:r>
          </w:p>
        </w:tc>
        <w:tc>
          <w:tcPr>
            <w:tcW w:w="711" w:type="pct"/>
            <w:shd w:val="clear" w:color="auto" w:fill="auto"/>
            <w:hideMark/>
          </w:tcPr>
          <w:p w14:paraId="606FAC90"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0,1</w:t>
            </w:r>
          </w:p>
        </w:tc>
        <w:tc>
          <w:tcPr>
            <w:tcW w:w="711" w:type="pct"/>
            <w:shd w:val="clear" w:color="auto" w:fill="auto"/>
            <w:hideMark/>
          </w:tcPr>
          <w:p w14:paraId="373C0A2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0,6</w:t>
            </w:r>
          </w:p>
        </w:tc>
        <w:tc>
          <w:tcPr>
            <w:tcW w:w="707" w:type="pct"/>
            <w:shd w:val="clear" w:color="auto" w:fill="auto"/>
            <w:noWrap/>
            <w:hideMark/>
          </w:tcPr>
          <w:p w14:paraId="155E149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0,3</w:t>
            </w:r>
          </w:p>
        </w:tc>
      </w:tr>
      <w:tr w:rsidR="008265F0" w:rsidRPr="00CD7EDF" w14:paraId="64F1E0B8" w14:textId="77777777" w:rsidTr="008265F0">
        <w:trPr>
          <w:trHeight w:val="229"/>
          <w:jc w:val="center"/>
        </w:trPr>
        <w:tc>
          <w:tcPr>
            <w:tcW w:w="1450" w:type="pct"/>
            <w:shd w:val="clear" w:color="auto" w:fill="E7E6E6" w:themeFill="background2"/>
            <w:noWrap/>
            <w:vAlign w:val="center"/>
            <w:hideMark/>
          </w:tcPr>
          <w:p w14:paraId="0BB60CF2"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ЈАВНИ РАСХОДИ</w:t>
            </w:r>
          </w:p>
        </w:tc>
        <w:tc>
          <w:tcPr>
            <w:tcW w:w="710" w:type="pct"/>
            <w:shd w:val="clear" w:color="auto" w:fill="E7E6E6" w:themeFill="background2"/>
            <w:hideMark/>
          </w:tcPr>
          <w:p w14:paraId="621B6419"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2.603,3</w:t>
            </w:r>
          </w:p>
        </w:tc>
        <w:tc>
          <w:tcPr>
            <w:tcW w:w="711" w:type="pct"/>
            <w:shd w:val="clear" w:color="auto" w:fill="E7E6E6" w:themeFill="background2"/>
            <w:noWrap/>
            <w:hideMark/>
          </w:tcPr>
          <w:p w14:paraId="4FDBF829"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2.892,1</w:t>
            </w:r>
          </w:p>
        </w:tc>
        <w:tc>
          <w:tcPr>
            <w:tcW w:w="711" w:type="pct"/>
            <w:shd w:val="clear" w:color="auto" w:fill="E7E6E6" w:themeFill="background2"/>
            <w:hideMark/>
          </w:tcPr>
          <w:p w14:paraId="44CC1802"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288,9</w:t>
            </w:r>
          </w:p>
        </w:tc>
        <w:tc>
          <w:tcPr>
            <w:tcW w:w="711" w:type="pct"/>
            <w:shd w:val="clear" w:color="auto" w:fill="E7E6E6" w:themeFill="background2"/>
            <w:hideMark/>
          </w:tcPr>
          <w:p w14:paraId="64C1D9C5"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11,1</w:t>
            </w:r>
          </w:p>
        </w:tc>
        <w:tc>
          <w:tcPr>
            <w:tcW w:w="707" w:type="pct"/>
            <w:shd w:val="clear" w:color="auto" w:fill="E7E6E6" w:themeFill="background2"/>
            <w:noWrap/>
            <w:hideMark/>
          </w:tcPr>
          <w:p w14:paraId="7BCC3A9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48,7</w:t>
            </w:r>
          </w:p>
        </w:tc>
      </w:tr>
      <w:tr w:rsidR="008265F0" w:rsidRPr="00CD7EDF" w14:paraId="38A0552B" w14:textId="77777777" w:rsidTr="008265F0">
        <w:trPr>
          <w:trHeight w:val="229"/>
          <w:jc w:val="center"/>
        </w:trPr>
        <w:tc>
          <w:tcPr>
            <w:tcW w:w="1450" w:type="pct"/>
            <w:shd w:val="clear" w:color="auto" w:fill="auto"/>
            <w:noWrap/>
            <w:vAlign w:val="center"/>
            <w:hideMark/>
          </w:tcPr>
          <w:p w14:paraId="2E46CF88"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Текући расходи</w:t>
            </w:r>
          </w:p>
        </w:tc>
        <w:tc>
          <w:tcPr>
            <w:tcW w:w="710" w:type="pct"/>
            <w:shd w:val="clear" w:color="auto" w:fill="auto"/>
            <w:hideMark/>
          </w:tcPr>
          <w:p w14:paraId="6D94625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2.237,2</w:t>
            </w:r>
          </w:p>
        </w:tc>
        <w:tc>
          <w:tcPr>
            <w:tcW w:w="711" w:type="pct"/>
            <w:shd w:val="clear" w:color="auto" w:fill="auto"/>
            <w:noWrap/>
            <w:hideMark/>
          </w:tcPr>
          <w:p w14:paraId="708D2D1E"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2.428,4</w:t>
            </w:r>
          </w:p>
        </w:tc>
        <w:tc>
          <w:tcPr>
            <w:tcW w:w="711" w:type="pct"/>
            <w:shd w:val="clear" w:color="auto" w:fill="auto"/>
            <w:hideMark/>
          </w:tcPr>
          <w:p w14:paraId="7308DACC"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191,1</w:t>
            </w:r>
          </w:p>
        </w:tc>
        <w:tc>
          <w:tcPr>
            <w:tcW w:w="711" w:type="pct"/>
            <w:shd w:val="clear" w:color="auto" w:fill="auto"/>
            <w:hideMark/>
          </w:tcPr>
          <w:p w14:paraId="35BEAA8A"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8,5</w:t>
            </w:r>
          </w:p>
        </w:tc>
        <w:tc>
          <w:tcPr>
            <w:tcW w:w="707" w:type="pct"/>
            <w:shd w:val="clear" w:color="auto" w:fill="auto"/>
            <w:noWrap/>
            <w:hideMark/>
          </w:tcPr>
          <w:p w14:paraId="6EA12F4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40,9</w:t>
            </w:r>
          </w:p>
        </w:tc>
      </w:tr>
      <w:tr w:rsidR="008265F0" w:rsidRPr="00CD7EDF" w14:paraId="18B1010B" w14:textId="77777777" w:rsidTr="008265F0">
        <w:trPr>
          <w:trHeight w:val="229"/>
          <w:jc w:val="center"/>
        </w:trPr>
        <w:tc>
          <w:tcPr>
            <w:tcW w:w="1450" w:type="pct"/>
            <w:shd w:val="clear" w:color="auto" w:fill="auto"/>
            <w:noWrap/>
            <w:vAlign w:val="center"/>
            <w:hideMark/>
          </w:tcPr>
          <w:p w14:paraId="79F0357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Расходи за запослене</w:t>
            </w:r>
          </w:p>
        </w:tc>
        <w:tc>
          <w:tcPr>
            <w:tcW w:w="710" w:type="pct"/>
            <w:shd w:val="clear" w:color="auto" w:fill="auto"/>
            <w:hideMark/>
          </w:tcPr>
          <w:p w14:paraId="0F3F6D06"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602,5</w:t>
            </w:r>
          </w:p>
        </w:tc>
        <w:tc>
          <w:tcPr>
            <w:tcW w:w="711" w:type="pct"/>
            <w:shd w:val="clear" w:color="auto" w:fill="auto"/>
            <w:noWrap/>
            <w:hideMark/>
          </w:tcPr>
          <w:p w14:paraId="0F46368E"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616,0</w:t>
            </w:r>
          </w:p>
        </w:tc>
        <w:tc>
          <w:tcPr>
            <w:tcW w:w="711" w:type="pct"/>
            <w:shd w:val="clear" w:color="auto" w:fill="auto"/>
            <w:hideMark/>
          </w:tcPr>
          <w:p w14:paraId="13A7A1FB"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13,5</w:t>
            </w:r>
          </w:p>
        </w:tc>
        <w:tc>
          <w:tcPr>
            <w:tcW w:w="711" w:type="pct"/>
            <w:shd w:val="clear" w:color="auto" w:fill="auto"/>
            <w:hideMark/>
          </w:tcPr>
          <w:p w14:paraId="20FDDD19"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2,2</w:t>
            </w:r>
          </w:p>
        </w:tc>
        <w:tc>
          <w:tcPr>
            <w:tcW w:w="707" w:type="pct"/>
            <w:shd w:val="clear" w:color="auto" w:fill="auto"/>
            <w:noWrap/>
            <w:hideMark/>
          </w:tcPr>
          <w:p w14:paraId="4617C36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10,4</w:t>
            </w:r>
          </w:p>
        </w:tc>
      </w:tr>
      <w:tr w:rsidR="008265F0" w:rsidRPr="00CD7EDF" w14:paraId="0D09A222" w14:textId="77777777" w:rsidTr="008265F0">
        <w:trPr>
          <w:trHeight w:val="229"/>
          <w:jc w:val="center"/>
        </w:trPr>
        <w:tc>
          <w:tcPr>
            <w:tcW w:w="1450" w:type="pct"/>
            <w:shd w:val="clear" w:color="auto" w:fill="auto"/>
            <w:noWrap/>
            <w:vAlign w:val="center"/>
            <w:hideMark/>
          </w:tcPr>
          <w:p w14:paraId="5981D1AB"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Куповина робе и услуга</w:t>
            </w:r>
          </w:p>
        </w:tc>
        <w:tc>
          <w:tcPr>
            <w:tcW w:w="710" w:type="pct"/>
            <w:shd w:val="clear" w:color="auto" w:fill="auto"/>
            <w:hideMark/>
          </w:tcPr>
          <w:p w14:paraId="645582AF"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458,5</w:t>
            </w:r>
          </w:p>
        </w:tc>
        <w:tc>
          <w:tcPr>
            <w:tcW w:w="711" w:type="pct"/>
            <w:shd w:val="clear" w:color="auto" w:fill="auto"/>
            <w:noWrap/>
            <w:hideMark/>
          </w:tcPr>
          <w:p w14:paraId="3F834D30"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483,4</w:t>
            </w:r>
          </w:p>
        </w:tc>
        <w:tc>
          <w:tcPr>
            <w:tcW w:w="711" w:type="pct"/>
            <w:shd w:val="clear" w:color="auto" w:fill="auto"/>
            <w:hideMark/>
          </w:tcPr>
          <w:p w14:paraId="2B350D92"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25,0</w:t>
            </w:r>
          </w:p>
        </w:tc>
        <w:tc>
          <w:tcPr>
            <w:tcW w:w="711" w:type="pct"/>
            <w:shd w:val="clear" w:color="auto" w:fill="auto"/>
            <w:hideMark/>
          </w:tcPr>
          <w:p w14:paraId="2D56596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5,4</w:t>
            </w:r>
          </w:p>
        </w:tc>
        <w:tc>
          <w:tcPr>
            <w:tcW w:w="707" w:type="pct"/>
            <w:shd w:val="clear" w:color="auto" w:fill="auto"/>
            <w:noWrap/>
            <w:hideMark/>
          </w:tcPr>
          <w:p w14:paraId="64B19E0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8,1</w:t>
            </w:r>
          </w:p>
        </w:tc>
      </w:tr>
      <w:tr w:rsidR="008265F0" w:rsidRPr="00CD7EDF" w14:paraId="30788DB8" w14:textId="77777777" w:rsidTr="008265F0">
        <w:trPr>
          <w:trHeight w:val="229"/>
          <w:jc w:val="center"/>
        </w:trPr>
        <w:tc>
          <w:tcPr>
            <w:tcW w:w="1450" w:type="pct"/>
            <w:shd w:val="clear" w:color="auto" w:fill="auto"/>
            <w:noWrap/>
            <w:vAlign w:val="center"/>
            <w:hideMark/>
          </w:tcPr>
          <w:p w14:paraId="459DAF6B"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Отплата камата</w:t>
            </w:r>
          </w:p>
        </w:tc>
        <w:tc>
          <w:tcPr>
            <w:tcW w:w="710" w:type="pct"/>
            <w:shd w:val="clear" w:color="auto" w:fill="auto"/>
            <w:hideMark/>
          </w:tcPr>
          <w:p w14:paraId="4D5F7722"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113,6</w:t>
            </w:r>
          </w:p>
        </w:tc>
        <w:tc>
          <w:tcPr>
            <w:tcW w:w="711" w:type="pct"/>
            <w:shd w:val="clear" w:color="auto" w:fill="auto"/>
            <w:noWrap/>
            <w:hideMark/>
          </w:tcPr>
          <w:p w14:paraId="626A365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113,7</w:t>
            </w:r>
          </w:p>
        </w:tc>
        <w:tc>
          <w:tcPr>
            <w:tcW w:w="711" w:type="pct"/>
            <w:shd w:val="clear" w:color="auto" w:fill="auto"/>
            <w:hideMark/>
          </w:tcPr>
          <w:p w14:paraId="1FB332B2"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0,1</w:t>
            </w:r>
          </w:p>
        </w:tc>
        <w:tc>
          <w:tcPr>
            <w:tcW w:w="711" w:type="pct"/>
            <w:shd w:val="clear" w:color="auto" w:fill="auto"/>
            <w:hideMark/>
          </w:tcPr>
          <w:p w14:paraId="38ACAC0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0,1</w:t>
            </w:r>
          </w:p>
        </w:tc>
        <w:tc>
          <w:tcPr>
            <w:tcW w:w="707" w:type="pct"/>
            <w:shd w:val="clear" w:color="auto" w:fill="auto"/>
            <w:noWrap/>
            <w:hideMark/>
          </w:tcPr>
          <w:p w14:paraId="534F9E4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1,9</w:t>
            </w:r>
          </w:p>
        </w:tc>
      </w:tr>
      <w:tr w:rsidR="008265F0" w:rsidRPr="00CD7EDF" w14:paraId="2B042F24" w14:textId="77777777" w:rsidTr="008265F0">
        <w:trPr>
          <w:trHeight w:val="229"/>
          <w:jc w:val="center"/>
        </w:trPr>
        <w:tc>
          <w:tcPr>
            <w:tcW w:w="1450" w:type="pct"/>
            <w:shd w:val="clear" w:color="auto" w:fill="auto"/>
            <w:noWrap/>
            <w:vAlign w:val="center"/>
            <w:hideMark/>
          </w:tcPr>
          <w:p w14:paraId="1BE1A9F5"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Субвенције</w:t>
            </w:r>
          </w:p>
        </w:tc>
        <w:tc>
          <w:tcPr>
            <w:tcW w:w="710" w:type="pct"/>
            <w:shd w:val="clear" w:color="auto" w:fill="auto"/>
            <w:hideMark/>
          </w:tcPr>
          <w:p w14:paraId="3B41D4E0"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130,7</w:t>
            </w:r>
          </w:p>
        </w:tc>
        <w:tc>
          <w:tcPr>
            <w:tcW w:w="711" w:type="pct"/>
            <w:shd w:val="clear" w:color="auto" w:fill="auto"/>
            <w:noWrap/>
            <w:hideMark/>
          </w:tcPr>
          <w:p w14:paraId="67906A0B"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218,6</w:t>
            </w:r>
          </w:p>
        </w:tc>
        <w:tc>
          <w:tcPr>
            <w:tcW w:w="711" w:type="pct"/>
            <w:shd w:val="clear" w:color="auto" w:fill="auto"/>
            <w:hideMark/>
          </w:tcPr>
          <w:p w14:paraId="2A410B94"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87,9</w:t>
            </w:r>
          </w:p>
        </w:tc>
        <w:tc>
          <w:tcPr>
            <w:tcW w:w="711" w:type="pct"/>
            <w:shd w:val="clear" w:color="auto" w:fill="auto"/>
            <w:hideMark/>
          </w:tcPr>
          <w:p w14:paraId="1C65EF9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67,2</w:t>
            </w:r>
          </w:p>
        </w:tc>
        <w:tc>
          <w:tcPr>
            <w:tcW w:w="707" w:type="pct"/>
            <w:shd w:val="clear" w:color="auto" w:fill="auto"/>
            <w:noWrap/>
            <w:hideMark/>
          </w:tcPr>
          <w:p w14:paraId="0DA5C1B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3,7</w:t>
            </w:r>
          </w:p>
        </w:tc>
      </w:tr>
      <w:tr w:rsidR="008265F0" w:rsidRPr="00CD7EDF" w14:paraId="5F2E6068" w14:textId="77777777" w:rsidTr="008265F0">
        <w:trPr>
          <w:trHeight w:val="229"/>
          <w:jc w:val="center"/>
        </w:trPr>
        <w:tc>
          <w:tcPr>
            <w:tcW w:w="1450" w:type="pct"/>
            <w:shd w:val="clear" w:color="auto" w:fill="auto"/>
            <w:noWrap/>
            <w:vAlign w:val="center"/>
            <w:hideMark/>
          </w:tcPr>
          <w:p w14:paraId="5A914660"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Социјална помоћ и трансфери</w:t>
            </w:r>
          </w:p>
        </w:tc>
        <w:tc>
          <w:tcPr>
            <w:tcW w:w="710" w:type="pct"/>
            <w:shd w:val="clear" w:color="auto" w:fill="auto"/>
            <w:hideMark/>
          </w:tcPr>
          <w:p w14:paraId="1245C9F6"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847,8</w:t>
            </w:r>
          </w:p>
        </w:tc>
        <w:tc>
          <w:tcPr>
            <w:tcW w:w="711" w:type="pct"/>
            <w:shd w:val="clear" w:color="auto" w:fill="auto"/>
            <w:noWrap/>
            <w:hideMark/>
          </w:tcPr>
          <w:p w14:paraId="1A61AA3A"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861,7</w:t>
            </w:r>
          </w:p>
        </w:tc>
        <w:tc>
          <w:tcPr>
            <w:tcW w:w="711" w:type="pct"/>
            <w:shd w:val="clear" w:color="auto" w:fill="auto"/>
            <w:hideMark/>
          </w:tcPr>
          <w:p w14:paraId="2FCC2DF7"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13,9</w:t>
            </w:r>
          </w:p>
        </w:tc>
        <w:tc>
          <w:tcPr>
            <w:tcW w:w="711" w:type="pct"/>
            <w:shd w:val="clear" w:color="auto" w:fill="auto"/>
            <w:hideMark/>
          </w:tcPr>
          <w:p w14:paraId="470C2DBA"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1,6</w:t>
            </w:r>
          </w:p>
        </w:tc>
        <w:tc>
          <w:tcPr>
            <w:tcW w:w="707" w:type="pct"/>
            <w:shd w:val="clear" w:color="auto" w:fill="auto"/>
            <w:noWrap/>
            <w:hideMark/>
          </w:tcPr>
          <w:p w14:paraId="39431FF9"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14,5</w:t>
            </w:r>
          </w:p>
        </w:tc>
      </w:tr>
      <w:tr w:rsidR="008265F0" w:rsidRPr="00CD7EDF" w14:paraId="5FF7299B" w14:textId="77777777" w:rsidTr="008265F0">
        <w:trPr>
          <w:trHeight w:val="229"/>
          <w:jc w:val="center"/>
        </w:trPr>
        <w:tc>
          <w:tcPr>
            <w:tcW w:w="1450" w:type="pct"/>
            <w:shd w:val="clear" w:color="auto" w:fill="auto"/>
            <w:noWrap/>
            <w:vAlign w:val="center"/>
            <w:hideMark/>
          </w:tcPr>
          <w:p w14:paraId="1135648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од чега пензије</w:t>
            </w:r>
          </w:p>
        </w:tc>
        <w:tc>
          <w:tcPr>
            <w:tcW w:w="710" w:type="pct"/>
            <w:shd w:val="clear" w:color="auto" w:fill="auto"/>
            <w:hideMark/>
          </w:tcPr>
          <w:p w14:paraId="485E545A"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621,0</w:t>
            </w:r>
          </w:p>
        </w:tc>
        <w:tc>
          <w:tcPr>
            <w:tcW w:w="711" w:type="pct"/>
            <w:shd w:val="clear" w:color="auto" w:fill="auto"/>
            <w:noWrap/>
            <w:hideMark/>
          </w:tcPr>
          <w:p w14:paraId="65D6DB35"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617,0</w:t>
            </w:r>
          </w:p>
        </w:tc>
        <w:tc>
          <w:tcPr>
            <w:tcW w:w="711" w:type="pct"/>
            <w:shd w:val="clear" w:color="auto" w:fill="auto"/>
            <w:hideMark/>
          </w:tcPr>
          <w:p w14:paraId="7EA46A46"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-4,0</w:t>
            </w:r>
          </w:p>
        </w:tc>
        <w:tc>
          <w:tcPr>
            <w:tcW w:w="711" w:type="pct"/>
            <w:shd w:val="clear" w:color="auto" w:fill="auto"/>
            <w:hideMark/>
          </w:tcPr>
          <w:p w14:paraId="048E007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-0,6</w:t>
            </w:r>
          </w:p>
        </w:tc>
        <w:tc>
          <w:tcPr>
            <w:tcW w:w="707" w:type="pct"/>
            <w:shd w:val="clear" w:color="auto" w:fill="auto"/>
            <w:noWrap/>
            <w:hideMark/>
          </w:tcPr>
          <w:p w14:paraId="56B45A4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10,4</w:t>
            </w:r>
          </w:p>
        </w:tc>
      </w:tr>
      <w:tr w:rsidR="008265F0" w:rsidRPr="00CD7EDF" w14:paraId="39DDEB9A" w14:textId="77777777" w:rsidTr="008265F0">
        <w:trPr>
          <w:trHeight w:val="229"/>
          <w:jc w:val="center"/>
        </w:trPr>
        <w:tc>
          <w:tcPr>
            <w:tcW w:w="1450" w:type="pct"/>
            <w:shd w:val="clear" w:color="auto" w:fill="auto"/>
            <w:noWrap/>
            <w:vAlign w:val="center"/>
            <w:hideMark/>
          </w:tcPr>
          <w:p w14:paraId="28040FC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Остали текући расходи</w:t>
            </w:r>
          </w:p>
        </w:tc>
        <w:tc>
          <w:tcPr>
            <w:tcW w:w="710" w:type="pct"/>
            <w:shd w:val="clear" w:color="auto" w:fill="auto"/>
            <w:hideMark/>
          </w:tcPr>
          <w:p w14:paraId="3EDE116C"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84,2</w:t>
            </w:r>
          </w:p>
        </w:tc>
        <w:tc>
          <w:tcPr>
            <w:tcW w:w="711" w:type="pct"/>
            <w:shd w:val="clear" w:color="auto" w:fill="auto"/>
            <w:noWrap/>
            <w:hideMark/>
          </w:tcPr>
          <w:p w14:paraId="684F24B0"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135,0</w:t>
            </w:r>
          </w:p>
        </w:tc>
        <w:tc>
          <w:tcPr>
            <w:tcW w:w="711" w:type="pct"/>
            <w:shd w:val="clear" w:color="auto" w:fill="auto"/>
            <w:hideMark/>
          </w:tcPr>
          <w:p w14:paraId="3F3F6694"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50,9</w:t>
            </w:r>
          </w:p>
        </w:tc>
        <w:tc>
          <w:tcPr>
            <w:tcW w:w="711" w:type="pct"/>
            <w:shd w:val="clear" w:color="auto" w:fill="auto"/>
            <w:hideMark/>
          </w:tcPr>
          <w:p w14:paraId="7E4F122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60,4</w:t>
            </w:r>
          </w:p>
        </w:tc>
        <w:tc>
          <w:tcPr>
            <w:tcW w:w="707" w:type="pct"/>
            <w:shd w:val="clear" w:color="auto" w:fill="auto"/>
            <w:noWrap/>
            <w:hideMark/>
          </w:tcPr>
          <w:p w14:paraId="3A7872E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2,3</w:t>
            </w:r>
          </w:p>
        </w:tc>
      </w:tr>
      <w:tr w:rsidR="008265F0" w:rsidRPr="00CD7EDF" w14:paraId="02FA2B7F" w14:textId="77777777" w:rsidTr="008265F0">
        <w:trPr>
          <w:trHeight w:val="229"/>
          <w:jc w:val="center"/>
        </w:trPr>
        <w:tc>
          <w:tcPr>
            <w:tcW w:w="1450" w:type="pct"/>
            <w:shd w:val="clear" w:color="auto" w:fill="auto"/>
            <w:noWrap/>
            <w:vAlign w:val="center"/>
            <w:hideMark/>
          </w:tcPr>
          <w:p w14:paraId="11A4564E"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Капитални расходи</w:t>
            </w:r>
          </w:p>
        </w:tc>
        <w:tc>
          <w:tcPr>
            <w:tcW w:w="710" w:type="pct"/>
            <w:shd w:val="clear" w:color="auto" w:fill="auto"/>
            <w:hideMark/>
          </w:tcPr>
          <w:p w14:paraId="688F9C44"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330,6</w:t>
            </w:r>
          </w:p>
        </w:tc>
        <w:tc>
          <w:tcPr>
            <w:tcW w:w="711" w:type="pct"/>
            <w:shd w:val="clear" w:color="auto" w:fill="auto"/>
            <w:noWrap/>
            <w:hideMark/>
          </w:tcPr>
          <w:p w14:paraId="686AC3CD"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429,7</w:t>
            </w:r>
          </w:p>
        </w:tc>
        <w:tc>
          <w:tcPr>
            <w:tcW w:w="711" w:type="pct"/>
            <w:shd w:val="clear" w:color="auto" w:fill="auto"/>
            <w:hideMark/>
          </w:tcPr>
          <w:p w14:paraId="62E68D47"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99,1</w:t>
            </w:r>
          </w:p>
        </w:tc>
        <w:tc>
          <w:tcPr>
            <w:tcW w:w="711" w:type="pct"/>
            <w:shd w:val="clear" w:color="auto" w:fill="auto"/>
            <w:hideMark/>
          </w:tcPr>
          <w:p w14:paraId="41C6B5A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30,0</w:t>
            </w:r>
          </w:p>
        </w:tc>
        <w:tc>
          <w:tcPr>
            <w:tcW w:w="707" w:type="pct"/>
            <w:shd w:val="clear" w:color="auto" w:fill="auto"/>
            <w:noWrap/>
            <w:hideMark/>
          </w:tcPr>
          <w:p w14:paraId="7F33D833"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7,2</w:t>
            </w:r>
          </w:p>
        </w:tc>
      </w:tr>
      <w:tr w:rsidR="008265F0" w:rsidRPr="00CD7EDF" w14:paraId="4DC495E1" w14:textId="77777777" w:rsidTr="008265F0">
        <w:trPr>
          <w:trHeight w:val="229"/>
          <w:jc w:val="center"/>
        </w:trPr>
        <w:tc>
          <w:tcPr>
            <w:tcW w:w="1450" w:type="pct"/>
            <w:shd w:val="clear" w:color="auto" w:fill="auto"/>
            <w:noWrap/>
            <w:vAlign w:val="center"/>
            <w:hideMark/>
          </w:tcPr>
          <w:p w14:paraId="52634A21"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Нето буџетске позајмице</w:t>
            </w:r>
          </w:p>
        </w:tc>
        <w:tc>
          <w:tcPr>
            <w:tcW w:w="710" w:type="pct"/>
            <w:shd w:val="clear" w:color="auto" w:fill="auto"/>
            <w:hideMark/>
          </w:tcPr>
          <w:p w14:paraId="461FA729"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23,7</w:t>
            </w:r>
          </w:p>
        </w:tc>
        <w:tc>
          <w:tcPr>
            <w:tcW w:w="711" w:type="pct"/>
            <w:shd w:val="clear" w:color="auto" w:fill="auto"/>
            <w:noWrap/>
            <w:hideMark/>
          </w:tcPr>
          <w:p w14:paraId="475CB233"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22,4</w:t>
            </w:r>
          </w:p>
        </w:tc>
        <w:tc>
          <w:tcPr>
            <w:tcW w:w="711" w:type="pct"/>
            <w:shd w:val="clear" w:color="auto" w:fill="auto"/>
            <w:hideMark/>
          </w:tcPr>
          <w:p w14:paraId="4A2D345B"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-1,3</w:t>
            </w:r>
          </w:p>
        </w:tc>
        <w:tc>
          <w:tcPr>
            <w:tcW w:w="711" w:type="pct"/>
            <w:shd w:val="clear" w:color="auto" w:fill="auto"/>
            <w:hideMark/>
          </w:tcPr>
          <w:p w14:paraId="433E5B2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-5,5</w:t>
            </w:r>
          </w:p>
        </w:tc>
        <w:tc>
          <w:tcPr>
            <w:tcW w:w="707" w:type="pct"/>
            <w:shd w:val="clear" w:color="auto" w:fill="auto"/>
            <w:noWrap/>
            <w:hideMark/>
          </w:tcPr>
          <w:p w14:paraId="4A3AD32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0,4</w:t>
            </w:r>
          </w:p>
        </w:tc>
      </w:tr>
      <w:tr w:rsidR="008265F0" w:rsidRPr="00CD7EDF" w14:paraId="5061B460" w14:textId="77777777" w:rsidTr="008265F0">
        <w:trPr>
          <w:trHeight w:val="229"/>
          <w:jc w:val="center"/>
        </w:trPr>
        <w:tc>
          <w:tcPr>
            <w:tcW w:w="1450" w:type="pct"/>
            <w:shd w:val="clear" w:color="auto" w:fill="auto"/>
            <w:noWrap/>
            <w:vAlign w:val="center"/>
            <w:hideMark/>
          </w:tcPr>
          <w:p w14:paraId="09B6B07C"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Активиране гаранције</w:t>
            </w:r>
          </w:p>
        </w:tc>
        <w:tc>
          <w:tcPr>
            <w:tcW w:w="710" w:type="pct"/>
            <w:shd w:val="clear" w:color="auto" w:fill="auto"/>
            <w:hideMark/>
          </w:tcPr>
          <w:p w14:paraId="409D2D0F"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11,7</w:t>
            </w:r>
          </w:p>
        </w:tc>
        <w:tc>
          <w:tcPr>
            <w:tcW w:w="711" w:type="pct"/>
            <w:shd w:val="clear" w:color="auto" w:fill="auto"/>
            <w:noWrap/>
            <w:hideMark/>
          </w:tcPr>
          <w:p w14:paraId="68D67223"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11,7</w:t>
            </w:r>
          </w:p>
        </w:tc>
        <w:tc>
          <w:tcPr>
            <w:tcW w:w="711" w:type="pct"/>
            <w:shd w:val="clear" w:color="auto" w:fill="auto"/>
            <w:hideMark/>
          </w:tcPr>
          <w:p w14:paraId="05E592D1"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0,0</w:t>
            </w:r>
          </w:p>
        </w:tc>
        <w:tc>
          <w:tcPr>
            <w:tcW w:w="711" w:type="pct"/>
            <w:shd w:val="clear" w:color="auto" w:fill="auto"/>
            <w:hideMark/>
          </w:tcPr>
          <w:p w14:paraId="533E173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0,0</w:t>
            </w:r>
          </w:p>
        </w:tc>
        <w:tc>
          <w:tcPr>
            <w:tcW w:w="707" w:type="pct"/>
            <w:shd w:val="clear" w:color="auto" w:fill="auto"/>
            <w:noWrap/>
            <w:hideMark/>
          </w:tcPr>
          <w:p w14:paraId="100CA6A5"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0,2</w:t>
            </w:r>
          </w:p>
        </w:tc>
      </w:tr>
      <w:tr w:rsidR="008265F0" w:rsidRPr="00CD7EDF" w14:paraId="63891369" w14:textId="77777777" w:rsidTr="008265F0">
        <w:trPr>
          <w:trHeight w:val="229"/>
          <w:jc w:val="center"/>
        </w:trPr>
        <w:tc>
          <w:tcPr>
            <w:tcW w:w="1450" w:type="pct"/>
            <w:shd w:val="clear" w:color="auto" w:fill="E7E6E6" w:themeFill="background2"/>
            <w:noWrap/>
            <w:vAlign w:val="center"/>
            <w:hideMark/>
          </w:tcPr>
          <w:p w14:paraId="4F5195B3"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Резултат</w:t>
            </w:r>
          </w:p>
        </w:tc>
        <w:tc>
          <w:tcPr>
            <w:tcW w:w="710" w:type="pct"/>
            <w:shd w:val="clear" w:color="auto" w:fill="E7E6E6" w:themeFill="background2"/>
            <w:hideMark/>
          </w:tcPr>
          <w:p w14:paraId="07E8D12B"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-179,3</w:t>
            </w:r>
          </w:p>
        </w:tc>
        <w:tc>
          <w:tcPr>
            <w:tcW w:w="711" w:type="pct"/>
            <w:shd w:val="clear" w:color="auto" w:fill="E7E6E6" w:themeFill="background2"/>
            <w:noWrap/>
            <w:hideMark/>
          </w:tcPr>
          <w:p w14:paraId="09AD09A2"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-412,1</w:t>
            </w:r>
          </w:p>
        </w:tc>
        <w:tc>
          <w:tcPr>
            <w:tcW w:w="711" w:type="pct"/>
            <w:shd w:val="clear" w:color="auto" w:fill="E7E6E6" w:themeFill="background2"/>
            <w:hideMark/>
          </w:tcPr>
          <w:p w14:paraId="4E57495E"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-232,8</w:t>
            </w:r>
          </w:p>
        </w:tc>
        <w:tc>
          <w:tcPr>
            <w:tcW w:w="711" w:type="pct"/>
            <w:shd w:val="clear" w:color="auto" w:fill="E7E6E6" w:themeFill="background2"/>
            <w:hideMark/>
          </w:tcPr>
          <w:p w14:paraId="05A679DD" w14:textId="77777777" w:rsidR="001E3E7D" w:rsidRPr="00CD7EDF" w:rsidRDefault="001E3E7D" w:rsidP="008265F0">
            <w:pPr>
              <w:spacing w:after="0" w:line="240" w:lineRule="auto"/>
              <w:ind w:right="340"/>
              <w:jc w:val="right"/>
              <w:rPr>
                <w:rFonts w:cstheme="minorHAnsi"/>
                <w:color w:val="002060"/>
                <w:sz w:val="18"/>
                <w:szCs w:val="18"/>
                <w:lang w:val="sr-Cyrl-RS"/>
              </w:rPr>
            </w:pPr>
          </w:p>
        </w:tc>
        <w:tc>
          <w:tcPr>
            <w:tcW w:w="707" w:type="pct"/>
            <w:shd w:val="clear" w:color="auto" w:fill="E7E6E6" w:themeFill="background2"/>
            <w:noWrap/>
            <w:hideMark/>
          </w:tcPr>
          <w:p w14:paraId="5E9DB72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-6,9</w:t>
            </w:r>
          </w:p>
        </w:tc>
      </w:tr>
      <w:tr w:rsidR="008265F0" w:rsidRPr="00CD7EDF" w14:paraId="56D66AE5" w14:textId="77777777" w:rsidTr="008265F0">
        <w:trPr>
          <w:trHeight w:val="229"/>
          <w:jc w:val="center"/>
        </w:trPr>
        <w:tc>
          <w:tcPr>
            <w:tcW w:w="1450" w:type="pct"/>
            <w:tcBorders>
              <w:bottom w:val="single" w:sz="4" w:space="0" w:color="002060"/>
            </w:tcBorders>
            <w:shd w:val="clear" w:color="auto" w:fill="auto"/>
            <w:noWrap/>
            <w:vAlign w:val="center"/>
            <w:hideMark/>
          </w:tcPr>
          <w:p w14:paraId="1CBA89B9"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Резултат у % БДП</w:t>
            </w:r>
          </w:p>
        </w:tc>
        <w:tc>
          <w:tcPr>
            <w:tcW w:w="710" w:type="pct"/>
            <w:tcBorders>
              <w:bottom w:val="single" w:sz="4" w:space="0" w:color="002060"/>
            </w:tcBorders>
            <w:shd w:val="clear" w:color="auto" w:fill="auto"/>
            <w:hideMark/>
          </w:tcPr>
          <w:p w14:paraId="3B424B3C"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-3,0</w:t>
            </w:r>
          </w:p>
        </w:tc>
        <w:tc>
          <w:tcPr>
            <w:tcW w:w="711" w:type="pct"/>
            <w:tcBorders>
              <w:bottom w:val="single" w:sz="4" w:space="0" w:color="002060"/>
            </w:tcBorders>
            <w:shd w:val="clear" w:color="auto" w:fill="auto"/>
            <w:hideMark/>
          </w:tcPr>
          <w:p w14:paraId="794D0C25" w14:textId="77777777" w:rsidR="001E3E7D" w:rsidRPr="00CD7EDF" w:rsidRDefault="001E3E7D" w:rsidP="008265F0">
            <w:pPr>
              <w:spacing w:after="0" w:line="240" w:lineRule="auto"/>
              <w:ind w:right="227"/>
              <w:jc w:val="right"/>
              <w:rPr>
                <w:rFonts w:cstheme="minorHAnsi"/>
                <w:color w:val="002060"/>
                <w:sz w:val="18"/>
                <w:szCs w:val="18"/>
                <w:lang w:val="sr-Cyrl-RS"/>
              </w:rPr>
            </w:pPr>
            <w:r w:rsidRPr="00CD7EDF">
              <w:rPr>
                <w:rFonts w:cstheme="minorHAnsi"/>
                <w:color w:val="002060"/>
                <w:sz w:val="18"/>
                <w:szCs w:val="18"/>
              </w:rPr>
              <w:t>-6,9</w:t>
            </w:r>
          </w:p>
        </w:tc>
        <w:tc>
          <w:tcPr>
            <w:tcW w:w="711" w:type="pct"/>
            <w:tcBorders>
              <w:bottom w:val="single" w:sz="4" w:space="0" w:color="002060"/>
            </w:tcBorders>
            <w:shd w:val="clear" w:color="auto" w:fill="auto"/>
            <w:hideMark/>
          </w:tcPr>
          <w:p w14:paraId="1BD7CEFF" w14:textId="77777777" w:rsidR="001E3E7D" w:rsidRPr="00CD7EDF" w:rsidRDefault="001E3E7D" w:rsidP="008265F0">
            <w:pPr>
              <w:spacing w:after="0" w:line="240" w:lineRule="auto"/>
              <w:ind w:right="284"/>
              <w:jc w:val="right"/>
              <w:rPr>
                <w:rFonts w:cstheme="minorHAnsi"/>
                <w:color w:val="002060"/>
                <w:sz w:val="18"/>
                <w:szCs w:val="18"/>
                <w:lang w:val="sr-Cyrl-RS"/>
              </w:rPr>
            </w:pPr>
            <w:r w:rsidRPr="00CD7EDF">
              <w:rPr>
                <w:rFonts w:cstheme="minorHAnsi"/>
                <w:color w:val="002060"/>
                <w:sz w:val="18"/>
                <w:szCs w:val="18"/>
              </w:rPr>
              <w:t>-3,9</w:t>
            </w:r>
          </w:p>
        </w:tc>
        <w:tc>
          <w:tcPr>
            <w:tcW w:w="711" w:type="pct"/>
            <w:tcBorders>
              <w:bottom w:val="single" w:sz="4" w:space="0" w:color="002060"/>
            </w:tcBorders>
            <w:shd w:val="clear" w:color="auto" w:fill="auto"/>
            <w:hideMark/>
          </w:tcPr>
          <w:p w14:paraId="412CC150" w14:textId="77777777" w:rsidR="001E3E7D" w:rsidRPr="00CD7EDF" w:rsidRDefault="001E3E7D" w:rsidP="008265F0">
            <w:pPr>
              <w:spacing w:after="0" w:line="240" w:lineRule="auto"/>
              <w:ind w:right="340"/>
              <w:jc w:val="right"/>
              <w:rPr>
                <w:rFonts w:cstheme="minorHAnsi"/>
                <w:color w:val="002060"/>
                <w:sz w:val="18"/>
                <w:szCs w:val="18"/>
                <w:lang w:val="sr-Cyrl-RS"/>
              </w:rPr>
            </w:pPr>
          </w:p>
        </w:tc>
        <w:tc>
          <w:tcPr>
            <w:tcW w:w="707" w:type="pct"/>
            <w:tcBorders>
              <w:bottom w:val="single" w:sz="4" w:space="0" w:color="002060"/>
            </w:tcBorders>
            <w:shd w:val="clear" w:color="auto" w:fill="auto"/>
            <w:hideMark/>
          </w:tcPr>
          <w:p w14:paraId="6D00E823" w14:textId="77777777" w:rsidR="001E3E7D" w:rsidRPr="00CD7EDF" w:rsidRDefault="001E3E7D" w:rsidP="008265F0">
            <w:pPr>
              <w:spacing w:after="0" w:line="240" w:lineRule="auto"/>
              <w:ind w:right="340"/>
              <w:jc w:val="right"/>
              <w:rPr>
                <w:rFonts w:cstheme="minorHAnsi"/>
                <w:color w:val="002060"/>
                <w:sz w:val="18"/>
                <w:szCs w:val="18"/>
                <w:lang w:val="sr-Cyrl-RS"/>
              </w:rPr>
            </w:pPr>
          </w:p>
        </w:tc>
      </w:tr>
    </w:tbl>
    <w:p w14:paraId="7ACFA77C" w14:textId="77777777" w:rsidR="001E3E7D" w:rsidRPr="00557A14" w:rsidRDefault="001E3E7D" w:rsidP="008265F0">
      <w:pPr>
        <w:spacing w:line="240" w:lineRule="auto"/>
        <w:jc w:val="left"/>
        <w:rPr>
          <w:rFonts w:cstheme="minorHAnsi"/>
          <w:sz w:val="16"/>
          <w:szCs w:val="16"/>
          <w:lang w:val="sr-Cyrl-RS"/>
        </w:rPr>
        <w:sectPr w:rsidR="001E3E7D" w:rsidRPr="00557A14" w:rsidSect="00AE40EB">
          <w:type w:val="continuous"/>
          <w:pgSz w:w="12240" w:h="15840" w:code="1"/>
          <w:pgMar w:top="1440" w:right="1440" w:bottom="1440" w:left="1440" w:header="720" w:footer="720" w:gutter="0"/>
          <w:cols w:space="720"/>
          <w:docGrid w:linePitch="360"/>
        </w:sectPr>
      </w:pPr>
      <w:r w:rsidRPr="00557A14">
        <w:rPr>
          <w:rFonts w:eastAsia="Calibri" w:cstheme="minorHAnsi"/>
          <w:bCs/>
          <w:sz w:val="16"/>
          <w:szCs w:val="16"/>
          <w:lang w:val="sr-Cyrl-RS" w:eastAsia="ja-JP"/>
        </w:rPr>
        <w:t xml:space="preserve">Извор: </w:t>
      </w:r>
      <w:r>
        <w:rPr>
          <w:rFonts w:cstheme="minorHAnsi"/>
          <w:sz w:val="16"/>
          <w:szCs w:val="16"/>
          <w:lang w:val="sr-Cyrl-RS"/>
        </w:rPr>
        <w:t>Министарство финансија</w:t>
      </w:r>
    </w:p>
    <w:p w14:paraId="0B592727" w14:textId="77777777" w:rsidR="001E3E7D" w:rsidRPr="004A2E36" w:rsidRDefault="001E3E7D" w:rsidP="00B97B32">
      <w:pPr>
        <w:keepLines/>
        <w:widowControl w:val="0"/>
        <w:spacing w:after="80"/>
        <w:rPr>
          <w:rFonts w:eastAsia="MS PGothic" w:cstheme="minorHAnsi"/>
          <w:szCs w:val="20"/>
          <w:lang w:val="sr-Cyrl-RS" w:eastAsia="ja-JP"/>
        </w:rPr>
      </w:pPr>
      <w:r w:rsidRPr="004A2E36">
        <w:rPr>
          <w:rFonts w:eastAsia="MS PGothic" w:cstheme="minorHAnsi"/>
          <w:szCs w:val="20"/>
          <w:lang w:val="sr-Cyrl-RS" w:eastAsia="ja-JP"/>
        </w:rPr>
        <w:t>Најважнији фактори који су довели до измене у висини и структури буџетских прихода су:</w:t>
      </w:r>
    </w:p>
    <w:p w14:paraId="763FB43E"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sidRPr="004A2E36">
        <w:rPr>
          <w:rFonts w:eastAsia="MS PGothic" w:cstheme="minorHAnsi"/>
          <w:szCs w:val="20"/>
          <w:lang w:val="sr-Cyrl-RS" w:eastAsia="ja-JP"/>
        </w:rPr>
        <w:t>базни ефекат (боље остварење на крају претходне године);</w:t>
      </w:r>
    </w:p>
    <w:p w14:paraId="04F2ADC1"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sidRPr="004A2E36">
        <w:rPr>
          <w:rFonts w:eastAsia="MS PGothic" w:cstheme="minorHAnsi"/>
          <w:szCs w:val="20"/>
          <w:lang w:val="sr-Cyrl-RS" w:eastAsia="ja-JP"/>
        </w:rPr>
        <w:t>конзервативно планирање одређених категорија пореских прихода (услед неизвесности у вези тока и ефеката продужене пандемије);</w:t>
      </w:r>
    </w:p>
    <w:p w14:paraId="6D008912"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Pr>
          <w:rFonts w:eastAsia="MS PGothic" w:cstheme="minorHAnsi"/>
          <w:szCs w:val="20"/>
          <w:lang w:val="sr-Cyrl-RS" w:eastAsia="ja-JP"/>
        </w:rPr>
        <w:t>наплата пореских прихода</w:t>
      </w:r>
      <w:r w:rsidRPr="004A2E36">
        <w:rPr>
          <w:rFonts w:eastAsia="MS PGothic" w:cstheme="minorHAnsi"/>
          <w:szCs w:val="20"/>
          <w:lang w:val="sr-Cyrl-RS" w:eastAsia="ja-JP"/>
        </w:rPr>
        <w:t xml:space="preserve"> током првог квартала </w:t>
      </w:r>
      <w:r>
        <w:rPr>
          <w:rFonts w:eastAsia="MS PGothic" w:cstheme="minorHAnsi"/>
          <w:szCs w:val="20"/>
          <w:lang w:val="sr-Cyrl-RS" w:eastAsia="ja-JP"/>
        </w:rPr>
        <w:t>2021.</w:t>
      </w:r>
      <w:r w:rsidRPr="004A2E36">
        <w:rPr>
          <w:rFonts w:eastAsia="MS PGothic" w:cstheme="minorHAnsi"/>
          <w:szCs w:val="20"/>
          <w:lang w:val="sr-Cyrl-RS" w:eastAsia="ja-JP"/>
        </w:rPr>
        <w:t xml:space="preserve"> године (посебно код акцизних производа);</w:t>
      </w:r>
    </w:p>
    <w:p w14:paraId="48976E13"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sidRPr="004A2E36">
        <w:rPr>
          <w:rFonts w:eastAsia="MS PGothic" w:cstheme="minorHAnsi"/>
          <w:szCs w:val="20"/>
          <w:lang w:val="sr-Cyrl-RS" w:eastAsia="ja-JP"/>
        </w:rPr>
        <w:t>повољнија кретања на тржишту рада од предвиђених;</w:t>
      </w:r>
    </w:p>
    <w:p w14:paraId="7466B686"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sidRPr="004A2E36">
        <w:rPr>
          <w:rFonts w:eastAsia="MS PGothic" w:cstheme="minorHAnsi"/>
          <w:szCs w:val="20"/>
          <w:lang w:val="sr-Cyrl-RS" w:eastAsia="ja-JP"/>
        </w:rPr>
        <w:t>опоравак спољнотрговинске размене;</w:t>
      </w:r>
    </w:p>
    <w:p w14:paraId="23753AE7" w14:textId="77777777" w:rsidR="001E3E7D" w:rsidRPr="004A2E36" w:rsidRDefault="001E3E7D" w:rsidP="00B97B32">
      <w:pPr>
        <w:keepLines/>
        <w:widowControl w:val="0"/>
        <w:numPr>
          <w:ilvl w:val="0"/>
          <w:numId w:val="48"/>
        </w:numPr>
        <w:spacing w:after="60"/>
        <w:ind w:left="568" w:hanging="284"/>
        <w:rPr>
          <w:rFonts w:eastAsia="MS PGothic" w:cstheme="minorHAnsi"/>
          <w:szCs w:val="20"/>
          <w:lang w:val="sr-Cyrl-RS" w:eastAsia="ja-JP"/>
        </w:rPr>
      </w:pPr>
      <w:r w:rsidRPr="004A2E36">
        <w:rPr>
          <w:rFonts w:eastAsia="MS PGothic" w:cstheme="minorHAnsi"/>
          <w:szCs w:val="20"/>
          <w:lang w:val="sr-Cyrl-RS" w:eastAsia="ja-JP"/>
        </w:rPr>
        <w:t>уплата првобитно непланираних непореских прихода и донација;</w:t>
      </w:r>
    </w:p>
    <w:p w14:paraId="63616C15" w14:textId="77777777" w:rsidR="001E3E7D" w:rsidRPr="004A2E36" w:rsidRDefault="001E3E7D" w:rsidP="00B97B32">
      <w:pPr>
        <w:keepLines/>
        <w:widowControl w:val="0"/>
        <w:numPr>
          <w:ilvl w:val="0"/>
          <w:numId w:val="48"/>
        </w:numPr>
        <w:spacing w:after="120"/>
        <w:ind w:left="568" w:hanging="284"/>
        <w:rPr>
          <w:rFonts w:eastAsia="MS PGothic" w:cstheme="minorHAnsi"/>
          <w:szCs w:val="20"/>
          <w:lang w:val="sr-Cyrl-RS" w:eastAsia="ja-JP"/>
        </w:rPr>
      </w:pPr>
      <w:r w:rsidRPr="004A2E36">
        <w:rPr>
          <w:rFonts w:eastAsia="MS PGothic" w:cstheme="minorHAnsi"/>
          <w:szCs w:val="20"/>
          <w:lang w:val="sr-Cyrl-RS" w:eastAsia="ja-JP"/>
        </w:rPr>
        <w:t>антиципација позитивног утицаја програма економских мера на привредну активност и личну потрошњу.</w:t>
      </w:r>
    </w:p>
    <w:p w14:paraId="2B7C5C5D" w14:textId="77777777" w:rsidR="001E3E7D" w:rsidRDefault="001E3E7D" w:rsidP="008265F0">
      <w:pPr>
        <w:keepLines/>
        <w:widowControl w:val="0"/>
        <w:rPr>
          <w:rFonts w:eastAsia="MS PGothic" w:cstheme="minorHAnsi"/>
          <w:szCs w:val="20"/>
          <w:lang w:val="sr-Cyrl-RS" w:eastAsia="ja-JP"/>
        </w:rPr>
      </w:pPr>
      <w:r w:rsidRPr="004A2E36">
        <w:rPr>
          <w:rFonts w:eastAsia="MS PGothic" w:cstheme="minorHAnsi"/>
          <w:szCs w:val="20"/>
          <w:lang w:val="sr-Cyrl-RS" w:eastAsia="ja-JP"/>
        </w:rPr>
        <w:lastRenderedPageBreak/>
        <w:t>Пројекција прихода од пореза на доходак</w:t>
      </w:r>
      <w:r>
        <w:rPr>
          <w:rFonts w:eastAsia="MS PGothic" w:cstheme="minorHAnsi"/>
          <w:szCs w:val="20"/>
          <w:lang w:val="sr-Cyrl-RS" w:eastAsia="ja-JP"/>
        </w:rPr>
        <w:t xml:space="preserve"> грађана</w:t>
      </w:r>
      <w:r w:rsidRPr="004A2E36">
        <w:rPr>
          <w:rFonts w:eastAsia="MS PGothic" w:cstheme="minorHAnsi"/>
          <w:szCs w:val="20"/>
          <w:lang w:val="sr-Cyrl-RS" w:eastAsia="ja-JP"/>
        </w:rPr>
        <w:t xml:space="preserve"> повећана је за 10,8 млрд динара у односу на оригинални износ. Приликом израде оригиналне пројекције прихода од пореза на зараде, узете су у обзир пројекције кретања просечних зарада и запослености, процене о </w:t>
      </w:r>
      <w:r>
        <w:rPr>
          <w:rFonts w:eastAsia="MS PGothic" w:cstheme="minorHAnsi"/>
          <w:szCs w:val="20"/>
          <w:lang w:val="sr-Cyrl-RS" w:eastAsia="ja-JP"/>
        </w:rPr>
        <w:t xml:space="preserve">превременом </w:t>
      </w:r>
      <w:r w:rsidRPr="004A2E36">
        <w:rPr>
          <w:rFonts w:eastAsia="MS PGothic" w:cstheme="minorHAnsi"/>
          <w:szCs w:val="20"/>
          <w:lang w:val="sr-Cyrl-RS" w:eastAsia="ja-JP"/>
        </w:rPr>
        <w:t>враћању дела одложених пореза током 2020. године, као и процене ефеката подизања неопорезивог дела зараде у 2021. години. Исте претпоставке се користе и за пројекцију прихода од социјалних доприноса који чине највећи појединачн</w:t>
      </w:r>
      <w:r w:rsidR="00E37A4E">
        <w:rPr>
          <w:rFonts w:eastAsia="MS PGothic" w:cstheme="minorHAnsi"/>
          <w:szCs w:val="20"/>
          <w:lang w:val="sr-Cyrl-RS" w:eastAsia="ja-JP"/>
        </w:rPr>
        <w:t>и приход на нивоу опште државе.</w:t>
      </w:r>
    </w:p>
    <w:p w14:paraId="5CF0237D" w14:textId="77777777" w:rsidR="001E3E7D" w:rsidRPr="004A2E36" w:rsidRDefault="001E3E7D" w:rsidP="008265F0">
      <w:pPr>
        <w:keepLines/>
        <w:widowControl w:val="0"/>
        <w:rPr>
          <w:rFonts w:eastAsia="MS PGothic" w:cstheme="minorHAnsi"/>
          <w:szCs w:val="20"/>
          <w:lang w:val="sr-Cyrl-RS" w:eastAsia="ja-JP"/>
        </w:rPr>
      </w:pPr>
      <w:r>
        <w:rPr>
          <w:rFonts w:eastAsia="MS PGothic" w:cstheme="minorHAnsi"/>
          <w:szCs w:val="20"/>
          <w:lang w:val="sr-Cyrl-RS" w:eastAsia="ja-JP"/>
        </w:rPr>
        <w:t>Р</w:t>
      </w:r>
      <w:r w:rsidRPr="004A2E36">
        <w:rPr>
          <w:rFonts w:eastAsia="MS PGothic" w:cstheme="minorHAnsi"/>
          <w:szCs w:val="20"/>
          <w:lang w:val="sr-Cyrl-RS" w:eastAsia="ja-JP"/>
        </w:rPr>
        <w:t xml:space="preserve">езултати наплате крајем 2020. године били су изнад очекивања, а подаци о запослености и кретању просечних зарада су потврда одржане стабилности на тржишту рада. Такав тренд настављен је и током првог квартала 2021. године, а спровођење новог пакета мера економске подршке пружа додатну гаранцију да ће </w:t>
      </w:r>
      <w:r>
        <w:rPr>
          <w:rFonts w:eastAsia="MS PGothic" w:cstheme="minorHAnsi"/>
          <w:szCs w:val="20"/>
          <w:lang w:val="sr-Cyrl-RS" w:eastAsia="ja-JP"/>
        </w:rPr>
        <w:t>стање</w:t>
      </w:r>
      <w:r w:rsidRPr="004A2E36">
        <w:rPr>
          <w:rFonts w:eastAsia="MS PGothic" w:cstheme="minorHAnsi"/>
          <w:szCs w:val="20"/>
          <w:lang w:val="sr-Cyrl-RS" w:eastAsia="ja-JP"/>
        </w:rPr>
        <w:t xml:space="preserve"> на тржишту рада остати </w:t>
      </w:r>
      <w:r>
        <w:rPr>
          <w:rFonts w:eastAsia="MS PGothic" w:cstheme="minorHAnsi"/>
          <w:szCs w:val="20"/>
          <w:lang w:val="sr-Cyrl-RS" w:eastAsia="ja-JP"/>
        </w:rPr>
        <w:t>очувано</w:t>
      </w:r>
      <w:r w:rsidRPr="004A2E36">
        <w:rPr>
          <w:rFonts w:eastAsia="MS PGothic" w:cstheme="minorHAnsi"/>
          <w:szCs w:val="20"/>
          <w:lang w:val="sr-Cyrl-RS" w:eastAsia="ja-JP"/>
        </w:rPr>
        <w:t xml:space="preserve"> и у наредном периоду. Имајући у виду наведено, ревидирана је пројекција прихода од пореза на зараде и с</w:t>
      </w:r>
      <w:r>
        <w:rPr>
          <w:rFonts w:eastAsia="MS PGothic" w:cstheme="minorHAnsi"/>
          <w:szCs w:val="20"/>
          <w:lang w:val="sr-Cyrl-RS" w:eastAsia="ja-JP"/>
        </w:rPr>
        <w:t>оциј</w:t>
      </w:r>
      <w:r w:rsidR="008265F0">
        <w:rPr>
          <w:rFonts w:eastAsia="MS PGothic" w:cstheme="minorHAnsi"/>
          <w:szCs w:val="20"/>
          <w:lang w:val="sr-Cyrl-RS" w:eastAsia="ja-JP"/>
        </w:rPr>
        <w:t xml:space="preserve">алних доприноса навише, али уз </w:t>
      </w:r>
      <w:r>
        <w:rPr>
          <w:rFonts w:eastAsia="MS PGothic" w:cstheme="minorHAnsi"/>
          <w:szCs w:val="20"/>
          <w:lang w:val="sr-Cyrl-RS" w:eastAsia="ja-JP"/>
        </w:rPr>
        <w:t>задржавање дозе опрезности у проје</w:t>
      </w:r>
      <w:r w:rsidR="008265F0">
        <w:rPr>
          <w:rFonts w:eastAsia="MS PGothic" w:cstheme="minorHAnsi"/>
          <w:szCs w:val="20"/>
          <w:lang w:val="sr-Cyrl-RS" w:eastAsia="ja-JP"/>
        </w:rPr>
        <w:t>к</w:t>
      </w:r>
      <w:r>
        <w:rPr>
          <w:rFonts w:eastAsia="MS PGothic" w:cstheme="minorHAnsi"/>
          <w:szCs w:val="20"/>
          <w:lang w:val="sr-Cyrl-RS" w:eastAsia="ja-JP"/>
        </w:rPr>
        <w:t>товању ових категорија</w:t>
      </w:r>
      <w:r w:rsidRPr="004A2E36">
        <w:rPr>
          <w:rFonts w:eastAsia="MS PGothic" w:cstheme="minorHAnsi"/>
          <w:szCs w:val="20"/>
          <w:lang w:val="sr-Cyrl-RS" w:eastAsia="ja-JP"/>
        </w:rPr>
        <w:t>. Процена о враћању дела одложених пореза и доприноса током 2021. године, незнатно је коригована на основу података о уплатама током фебруара и марта. На сличан начин извршена је ревизија пројекције прихода од социј</w:t>
      </w:r>
      <w:r w:rsidR="008265F0">
        <w:rPr>
          <w:rFonts w:eastAsia="MS PGothic" w:cstheme="minorHAnsi"/>
          <w:szCs w:val="20"/>
          <w:lang w:val="sr-Cyrl-RS" w:eastAsia="ja-JP"/>
        </w:rPr>
        <w:t>ал</w:t>
      </w:r>
      <w:r w:rsidRPr="004A2E36">
        <w:rPr>
          <w:rFonts w:eastAsia="MS PGothic" w:cstheme="minorHAnsi"/>
          <w:szCs w:val="20"/>
          <w:lang w:val="sr-Cyrl-RS" w:eastAsia="ja-JP"/>
        </w:rPr>
        <w:t>них доприноса при чему је он</w:t>
      </w:r>
      <w:r w:rsidR="008265F0">
        <w:rPr>
          <w:rFonts w:eastAsia="MS PGothic" w:cstheme="minorHAnsi"/>
          <w:szCs w:val="20"/>
          <w:lang w:val="sr-Cyrl-RS" w:eastAsia="ja-JP"/>
        </w:rPr>
        <w:t>а повећана за 31,6 млрд динара.</w:t>
      </w:r>
    </w:p>
    <w:p w14:paraId="038E6C19" w14:textId="77777777" w:rsidR="001E3E7D" w:rsidRDefault="001E3E7D" w:rsidP="00451ACB">
      <w:pPr>
        <w:widowControl w:val="0"/>
        <w:rPr>
          <w:rFonts w:eastAsia="MS PGothic" w:cstheme="minorHAnsi"/>
          <w:szCs w:val="20"/>
          <w:lang w:val="sr-Cyrl-RS" w:eastAsia="ja-JP"/>
        </w:rPr>
      </w:pPr>
      <w:r w:rsidRPr="004A2E36">
        <w:rPr>
          <w:rFonts w:eastAsia="MS PGothic" w:cstheme="minorHAnsi"/>
          <w:szCs w:val="20"/>
          <w:lang w:val="sr-Cyrl-RS" w:eastAsia="ja-JP"/>
        </w:rPr>
        <w:t xml:space="preserve">Остатак пореза на доходак чине остали облици као што су порез на дивиденде, порез на приходе од камата, годишњи порез на доходак, порез на приходе од закупа непокретности и др. Претходним програмом мера, током 2020. године, био је предвиђен мораторијум на исплату дивиденди код компанија које користе подршку државе. </w:t>
      </w:r>
      <w:r>
        <w:rPr>
          <w:rFonts w:eastAsia="MS PGothic" w:cstheme="minorHAnsi"/>
          <w:szCs w:val="20"/>
          <w:lang w:val="sr-Cyrl-RS" w:eastAsia="ja-JP"/>
        </w:rPr>
        <w:t>Како</w:t>
      </w:r>
      <w:r w:rsidRPr="004A2E36">
        <w:rPr>
          <w:rFonts w:eastAsia="MS PGothic" w:cstheme="minorHAnsi"/>
          <w:szCs w:val="20"/>
          <w:lang w:val="sr-Cyrl-RS" w:eastAsia="ja-JP"/>
        </w:rPr>
        <w:t xml:space="preserve"> највећи део профитабилн</w:t>
      </w:r>
      <w:r>
        <w:rPr>
          <w:rFonts w:eastAsia="MS PGothic" w:cstheme="minorHAnsi"/>
          <w:szCs w:val="20"/>
          <w:lang w:val="sr-Cyrl-RS" w:eastAsia="ja-JP"/>
        </w:rPr>
        <w:t xml:space="preserve">их компанија није користио државну помоћ, дивиденде су исплаћене својим акционарима у редовној динамици. Део компанија који је користио државну помоћ, исплатио је дивиденде </w:t>
      </w:r>
      <w:r>
        <w:rPr>
          <w:rFonts w:eastAsia="MS PGothic" w:cstheme="minorHAnsi"/>
          <w:szCs w:val="20"/>
          <w:lang w:val="sr-Cyrl-RS" w:eastAsia="ja-JP"/>
        </w:rPr>
        <w:t xml:space="preserve">по истеку мораторијума, </w:t>
      </w:r>
      <w:r w:rsidRPr="004A2E36">
        <w:rPr>
          <w:rFonts w:eastAsia="MS PGothic" w:cstheme="minorHAnsi"/>
          <w:szCs w:val="20"/>
          <w:lang w:val="sr-Cyrl-RS" w:eastAsia="ja-JP"/>
        </w:rPr>
        <w:t>почетком 2021. године. У јануару је забележен снажан скок уплата пореза на дивиденде, па је на основу тога ревидирана пројекција ове пореске категорије.</w:t>
      </w:r>
    </w:p>
    <w:p w14:paraId="09D5ADF6" w14:textId="77777777" w:rsidR="001E3E7D" w:rsidRPr="004A2E36" w:rsidRDefault="001E3E7D" w:rsidP="008265F0">
      <w:pPr>
        <w:keepLines/>
        <w:widowControl w:val="0"/>
        <w:rPr>
          <w:rFonts w:eastAsia="MS PGothic" w:cstheme="minorHAnsi"/>
          <w:szCs w:val="20"/>
          <w:lang w:val="sr-Cyrl-RS" w:eastAsia="ja-JP"/>
        </w:rPr>
      </w:pPr>
      <w:r>
        <w:rPr>
          <w:rFonts w:eastAsia="MS PGothic" w:cstheme="minorHAnsi"/>
          <w:szCs w:val="20"/>
          <w:lang w:val="sr-Cyrl-RS" w:eastAsia="ja-JP"/>
        </w:rPr>
        <w:t>Пројекција прихода</w:t>
      </w:r>
      <w:r w:rsidRPr="004A2E36">
        <w:rPr>
          <w:rFonts w:eastAsia="MS PGothic" w:cstheme="minorHAnsi"/>
          <w:szCs w:val="20"/>
          <w:lang w:val="sr-Cyrl-RS" w:eastAsia="ja-JP"/>
        </w:rPr>
        <w:t xml:space="preserve"> од пореза на добит</w:t>
      </w:r>
      <w:r>
        <w:rPr>
          <w:rFonts w:eastAsia="MS PGothic" w:cstheme="minorHAnsi"/>
          <w:szCs w:val="20"/>
          <w:lang w:val="sr-Cyrl-RS" w:eastAsia="ja-JP"/>
        </w:rPr>
        <w:t xml:space="preserve"> није мењана у односу на оригиналан</w:t>
      </w:r>
      <w:r w:rsidRPr="004A2E36">
        <w:rPr>
          <w:rFonts w:eastAsia="MS PGothic" w:cstheme="minorHAnsi"/>
          <w:szCs w:val="20"/>
          <w:lang w:val="sr-Cyrl-RS" w:eastAsia="ja-JP"/>
        </w:rPr>
        <w:t xml:space="preserve"> буџ</w:t>
      </w:r>
      <w:r>
        <w:rPr>
          <w:rFonts w:eastAsia="MS PGothic" w:cstheme="minorHAnsi"/>
          <w:szCs w:val="20"/>
          <w:lang w:val="sr-Cyrl-RS" w:eastAsia="ja-JP"/>
        </w:rPr>
        <w:t>етски план за 2021. годину, иако је н</w:t>
      </w:r>
      <w:r w:rsidRPr="004A2E36">
        <w:rPr>
          <w:rFonts w:eastAsia="MS PGothic" w:cstheme="minorHAnsi"/>
          <w:szCs w:val="20"/>
          <w:lang w:val="sr-Cyrl-RS" w:eastAsia="ja-JP"/>
        </w:rPr>
        <w:t xml:space="preserve">аплата </w:t>
      </w:r>
      <w:r w:rsidR="00103068">
        <w:rPr>
          <w:rFonts w:eastAsia="MS PGothic" w:cstheme="minorHAnsi"/>
          <w:szCs w:val="20"/>
          <w:lang w:val="sr-Cyrl-RS" w:eastAsia="ja-JP"/>
        </w:rPr>
        <w:t xml:space="preserve">током првог квартала </w:t>
      </w:r>
      <w:r>
        <w:rPr>
          <w:rFonts w:eastAsia="MS PGothic" w:cstheme="minorHAnsi"/>
          <w:szCs w:val="20"/>
          <w:lang w:val="sr-Cyrl-RS" w:eastAsia="ja-JP"/>
        </w:rPr>
        <w:t>делимично премашила очекивања</w:t>
      </w:r>
      <w:r w:rsidRPr="004A2E36">
        <w:rPr>
          <w:rFonts w:eastAsia="MS PGothic" w:cstheme="minorHAnsi"/>
          <w:szCs w:val="20"/>
          <w:lang w:val="sr-Cyrl-RS" w:eastAsia="ja-JP"/>
        </w:rPr>
        <w:t xml:space="preserve">. Иако су конзервативно планирани, највећи део прихода од пореза на добит стиже током другог квартала, па тренутно не постоји поуздан основ за њихову ревизију. Друго, компаније које се одлуче за коришћење средстава из програма подршке привреди, неће бити у могућности да исплате дивиденду и уплате порез који по том основу плаћају правна лица. </w:t>
      </w:r>
    </w:p>
    <w:p w14:paraId="657F76A7" w14:textId="77777777" w:rsidR="001E3E7D" w:rsidRPr="004A2E36" w:rsidRDefault="001E3E7D" w:rsidP="008265F0">
      <w:pPr>
        <w:keepLines/>
        <w:widowControl w:val="0"/>
        <w:rPr>
          <w:rFonts w:eastAsia="MS PGothic" w:cstheme="minorHAnsi"/>
          <w:szCs w:val="20"/>
          <w:lang w:val="sr-Cyrl-RS" w:eastAsia="ja-JP"/>
        </w:rPr>
      </w:pPr>
      <w:r w:rsidRPr="004A2E36">
        <w:rPr>
          <w:rFonts w:eastAsia="MS PGothic" w:cstheme="minorHAnsi"/>
          <w:szCs w:val="20"/>
          <w:lang w:val="sr-Cyrl-RS" w:eastAsia="ja-JP"/>
        </w:rPr>
        <w:t>Приходи од пореза на додату вредност такође нису ревидирани.</w:t>
      </w:r>
      <w:r>
        <w:rPr>
          <w:rFonts w:eastAsia="MS PGothic" w:cstheme="minorHAnsi"/>
          <w:szCs w:val="20"/>
          <w:lang w:val="sr-Cyrl-RS" w:eastAsia="ja-JP"/>
        </w:rPr>
        <w:t xml:space="preserve"> </w:t>
      </w:r>
      <w:r w:rsidRPr="004A2E36">
        <w:rPr>
          <w:rFonts w:eastAsia="MS PGothic" w:cstheme="minorHAnsi"/>
          <w:szCs w:val="20"/>
          <w:lang w:val="sr-Cyrl-RS" w:eastAsia="ja-JP"/>
        </w:rPr>
        <w:t>Наплата током првог кварт</w:t>
      </w:r>
      <w:r>
        <w:rPr>
          <w:rFonts w:eastAsia="MS PGothic" w:cstheme="minorHAnsi"/>
          <w:szCs w:val="20"/>
          <w:lang w:val="sr-Cyrl-RS" w:eastAsia="ja-JP"/>
        </w:rPr>
        <w:t>ала, била је у висини очекиване, а дода</w:t>
      </w:r>
      <w:r w:rsidRPr="004A2E36">
        <w:rPr>
          <w:rFonts w:eastAsia="MS PGothic" w:cstheme="minorHAnsi"/>
          <w:szCs w:val="20"/>
          <w:lang w:val="sr-Cyrl-RS" w:eastAsia="ja-JP"/>
        </w:rPr>
        <w:t xml:space="preserve">тни импулс </w:t>
      </w:r>
      <w:r>
        <w:rPr>
          <w:rFonts w:eastAsia="MS PGothic" w:cstheme="minorHAnsi"/>
          <w:szCs w:val="20"/>
          <w:lang w:val="sr-Cyrl-RS" w:eastAsia="ja-JP"/>
        </w:rPr>
        <w:t>у наредним кварталима</w:t>
      </w:r>
      <w:r w:rsidRPr="004A2E36">
        <w:rPr>
          <w:rFonts w:eastAsia="MS PGothic" w:cstheme="minorHAnsi"/>
          <w:szCs w:val="20"/>
          <w:lang w:val="sr-Cyrl-RS" w:eastAsia="ja-JP"/>
        </w:rPr>
        <w:t xml:space="preserve"> </w:t>
      </w:r>
      <w:r>
        <w:rPr>
          <w:rFonts w:eastAsia="MS PGothic" w:cstheme="minorHAnsi"/>
          <w:szCs w:val="20"/>
          <w:lang w:val="sr-Cyrl-RS" w:eastAsia="ja-JP"/>
        </w:rPr>
        <w:t>даће</w:t>
      </w:r>
      <w:r w:rsidRPr="004A2E36">
        <w:rPr>
          <w:rFonts w:eastAsia="MS PGothic" w:cstheme="minorHAnsi"/>
          <w:szCs w:val="20"/>
          <w:lang w:val="sr-Cyrl-RS" w:eastAsia="ja-JP"/>
        </w:rPr>
        <w:t xml:space="preserve"> спровођење мера из новог пакета економске подршке. Анализа опорезивог промета за прва три месеца текуће године показује да је задржан тренд раста промета у трговини</w:t>
      </w:r>
      <w:r>
        <w:rPr>
          <w:rFonts w:eastAsia="MS PGothic" w:cstheme="minorHAnsi"/>
          <w:szCs w:val="20"/>
          <w:lang w:val="sr-Cyrl-RS" w:eastAsia="ja-JP"/>
        </w:rPr>
        <w:t xml:space="preserve"> на мало</w:t>
      </w:r>
      <w:r w:rsidRPr="004A2E36">
        <w:rPr>
          <w:rFonts w:eastAsia="MS PGothic" w:cstheme="minorHAnsi"/>
          <w:szCs w:val="20"/>
          <w:lang w:val="sr-Cyrl-RS" w:eastAsia="ja-JP"/>
        </w:rPr>
        <w:t xml:space="preserve">, док </w:t>
      </w:r>
      <w:r>
        <w:rPr>
          <w:rFonts w:eastAsia="MS PGothic" w:cstheme="minorHAnsi"/>
          <w:szCs w:val="20"/>
          <w:lang w:val="sr-Cyrl-RS" w:eastAsia="ja-JP"/>
        </w:rPr>
        <w:t>је промет услужних делатности и</w:t>
      </w:r>
      <w:r w:rsidR="008265F0">
        <w:rPr>
          <w:rFonts w:eastAsia="MS PGothic" w:cstheme="minorHAnsi"/>
          <w:szCs w:val="20"/>
          <w:lang w:val="sr-Latn-RS" w:eastAsia="ja-JP"/>
        </w:rPr>
        <w:t xml:space="preserve"> </w:t>
      </w:r>
      <w:r w:rsidRPr="004A2E36">
        <w:rPr>
          <w:rFonts w:eastAsia="MS PGothic" w:cstheme="minorHAnsi"/>
          <w:szCs w:val="20"/>
          <w:lang w:val="sr-Cyrl-RS" w:eastAsia="ja-JP"/>
        </w:rPr>
        <w:t xml:space="preserve">даље </w:t>
      </w:r>
      <w:r>
        <w:rPr>
          <w:rFonts w:eastAsia="MS PGothic" w:cstheme="minorHAnsi"/>
          <w:szCs w:val="20"/>
          <w:lang w:val="sr-Cyrl-RS" w:eastAsia="ja-JP"/>
        </w:rPr>
        <w:t>испод пред</w:t>
      </w:r>
      <w:r w:rsidR="00EF5A20">
        <w:rPr>
          <w:rFonts w:eastAsia="MS PGothic" w:cstheme="minorHAnsi"/>
          <w:szCs w:val="20"/>
          <w:lang w:val="sr-Cyrl-RS" w:eastAsia="ja-JP"/>
        </w:rPr>
        <w:t>-</w:t>
      </w:r>
      <w:r>
        <w:rPr>
          <w:rFonts w:eastAsia="MS PGothic" w:cstheme="minorHAnsi"/>
          <w:szCs w:val="20"/>
          <w:lang w:val="sr-Cyrl-RS" w:eastAsia="ja-JP"/>
        </w:rPr>
        <w:t xml:space="preserve">пандемијског нивоа. </w:t>
      </w:r>
      <w:r w:rsidRPr="004A2E36">
        <w:rPr>
          <w:rFonts w:eastAsia="MS PGothic" w:cstheme="minorHAnsi"/>
          <w:szCs w:val="20"/>
          <w:lang w:val="sr-Cyrl-RS" w:eastAsia="ja-JP"/>
        </w:rPr>
        <w:t xml:space="preserve">Немогућност да се одређене врста услуга конзумирају, као и опрезност становништва у неизвесним епидемиолошким условима, утичу на спорији опоравак сектора услуга. </w:t>
      </w:r>
      <w:r>
        <w:rPr>
          <w:rFonts w:eastAsia="MS PGothic" w:cstheme="minorHAnsi"/>
          <w:szCs w:val="20"/>
          <w:lang w:val="sr-Cyrl-RS" w:eastAsia="ja-JP"/>
        </w:rPr>
        <w:t>Структура ПДВ наплате је промењена под утицајем бржег опоравка спољнотргови</w:t>
      </w:r>
      <w:r w:rsidR="008265F0">
        <w:rPr>
          <w:rFonts w:eastAsia="MS PGothic" w:cstheme="minorHAnsi"/>
          <w:szCs w:val="20"/>
          <w:lang w:val="sr-Cyrl-RS" w:eastAsia="ja-JP"/>
        </w:rPr>
        <w:t xml:space="preserve">нске размене, што је довело до </w:t>
      </w:r>
      <w:r>
        <w:rPr>
          <w:rFonts w:eastAsia="MS PGothic" w:cstheme="minorHAnsi"/>
          <w:szCs w:val="20"/>
          <w:lang w:val="sr-Cyrl-RS" w:eastAsia="ja-JP"/>
        </w:rPr>
        <w:t>ревизије нави</w:t>
      </w:r>
      <w:r w:rsidR="008265F0">
        <w:rPr>
          <w:rFonts w:eastAsia="MS PGothic" w:cstheme="minorHAnsi"/>
          <w:szCs w:val="20"/>
          <w:lang w:val="sr-Cyrl-RS" w:eastAsia="ja-JP"/>
        </w:rPr>
        <w:t>ше увозног ПДВ и ПДВ повраћаја.</w:t>
      </w:r>
    </w:p>
    <w:p w14:paraId="65F7DF06" w14:textId="77777777" w:rsidR="00451ACB" w:rsidRDefault="001E3E7D" w:rsidP="008265F0">
      <w:pPr>
        <w:keepLines/>
        <w:widowControl w:val="0"/>
        <w:rPr>
          <w:rFonts w:eastAsia="MS PGothic" w:cstheme="minorHAnsi"/>
          <w:szCs w:val="20"/>
          <w:lang w:val="sr-Cyrl-RS" w:eastAsia="ja-JP"/>
        </w:rPr>
      </w:pPr>
      <w:r w:rsidRPr="004A2E36">
        <w:rPr>
          <w:rFonts w:eastAsia="MS PGothic" w:cstheme="minorHAnsi"/>
          <w:szCs w:val="20"/>
          <w:lang w:val="sr-Cyrl-RS" w:eastAsia="ja-JP"/>
        </w:rPr>
        <w:t>Приходи од царина пројектовани су у износу од 56,5 млрд што представља повећање од 3,4 млрд динара (6,4%) у односу на оригиналну пројекцију. Приходи од царина у највећој мери прате динамику ПДВ из увоза, па је у складу са изменом структуре ПДВ, обима спољнотрговинске размене и кретања наплате царина у првом кварталу, извршена ревизија пројекције овог приход</w:t>
      </w:r>
      <w:r w:rsidR="008265F0">
        <w:rPr>
          <w:rFonts w:eastAsia="MS PGothic" w:cstheme="minorHAnsi"/>
          <w:szCs w:val="20"/>
          <w:lang w:val="sr-Cyrl-RS" w:eastAsia="ja-JP"/>
        </w:rPr>
        <w:t>ног облика.</w:t>
      </w:r>
    </w:p>
    <w:p w14:paraId="7133DAC5" w14:textId="77777777" w:rsidR="00451ACB" w:rsidRDefault="00451ACB" w:rsidP="008265F0">
      <w:pPr>
        <w:keepLines/>
        <w:widowControl w:val="0"/>
        <w:rPr>
          <w:rFonts w:eastAsia="MS PGothic" w:cstheme="minorHAnsi"/>
          <w:szCs w:val="20"/>
          <w:lang w:val="sr-Cyrl-RS" w:eastAsia="ja-JP"/>
        </w:rPr>
        <w:sectPr w:rsidR="00451ACB" w:rsidSect="00AE40EB">
          <w:type w:val="continuous"/>
          <w:pgSz w:w="12240" w:h="15840" w:code="1"/>
          <w:pgMar w:top="1440" w:right="1440" w:bottom="1440" w:left="1440" w:header="720" w:footer="720" w:gutter="0"/>
          <w:cols w:num="2" w:space="720"/>
          <w:docGrid w:linePitch="360"/>
        </w:sectPr>
      </w:pPr>
    </w:p>
    <w:p w14:paraId="6D5C9F7D" w14:textId="77777777" w:rsidR="001E3E7D" w:rsidRPr="004A2E36" w:rsidRDefault="001E3E7D" w:rsidP="00451ACB">
      <w:pPr>
        <w:widowControl w:val="0"/>
        <w:rPr>
          <w:rFonts w:eastAsia="MS PGothic" w:cstheme="minorHAnsi"/>
          <w:szCs w:val="20"/>
          <w:lang w:val="sr-Cyrl-RS" w:eastAsia="ja-JP"/>
        </w:rPr>
      </w:pPr>
    </w:p>
    <w:p w14:paraId="155F7C38" w14:textId="77777777" w:rsidR="001E3E7D" w:rsidRDefault="001E3E7D" w:rsidP="008265F0">
      <w:pPr>
        <w:keepLines/>
        <w:widowControl w:val="0"/>
        <w:rPr>
          <w:rFonts w:eastAsia="MS PGothic" w:cstheme="minorHAnsi"/>
          <w:szCs w:val="20"/>
          <w:lang w:val="sr-Cyrl-RS" w:eastAsia="ja-JP"/>
        </w:rPr>
      </w:pPr>
      <w:r w:rsidRPr="004A2E36">
        <w:rPr>
          <w:rFonts w:eastAsia="MS PGothic" w:cstheme="minorHAnsi"/>
          <w:szCs w:val="20"/>
          <w:lang w:val="sr-Cyrl-RS" w:eastAsia="ja-JP"/>
        </w:rPr>
        <w:lastRenderedPageBreak/>
        <w:t xml:space="preserve">Приходи од акциза пројектовани су у укупном износу од 322,8 млрд динара што је за 7 млрд динара више у односу на оригиналну пројекцију. Акцизе на дуванске прерађевине повећане су за 4 млрд динара, акцизе на деривате нафте за 3 млрд динара. Пројекција прихода од осталих акциза није мењана. Повећање прихода од акциза на </w:t>
      </w:r>
      <w:r>
        <w:rPr>
          <w:rFonts w:eastAsia="MS PGothic" w:cstheme="minorHAnsi"/>
          <w:szCs w:val="20"/>
          <w:lang w:val="sr-Cyrl-RS" w:eastAsia="ja-JP"/>
        </w:rPr>
        <w:t>дуван резултат је знатно боље наплате на крају 2020. године и</w:t>
      </w:r>
      <w:r w:rsidRPr="004A2E36">
        <w:rPr>
          <w:rFonts w:eastAsia="MS PGothic" w:cstheme="minorHAnsi"/>
          <w:szCs w:val="20"/>
          <w:lang w:val="sr-Cyrl-RS" w:eastAsia="ja-JP"/>
        </w:rPr>
        <w:t xml:space="preserve"> </w:t>
      </w:r>
      <w:r>
        <w:rPr>
          <w:rFonts w:eastAsia="MS PGothic" w:cstheme="minorHAnsi"/>
          <w:szCs w:val="20"/>
          <w:lang w:val="sr-Cyrl-RS" w:eastAsia="ja-JP"/>
        </w:rPr>
        <w:t>почетком 2021. године</w:t>
      </w:r>
      <w:r w:rsidRPr="004A2E36">
        <w:rPr>
          <w:rFonts w:eastAsia="MS PGothic" w:cstheme="minorHAnsi"/>
          <w:szCs w:val="20"/>
          <w:lang w:val="sr-Cyrl-RS" w:eastAsia="ja-JP"/>
        </w:rPr>
        <w:t xml:space="preserve">. Промет ове врсте акцизних производа није био под израженим утицајем кризе изазване пандемијом, па претходна година може да послужи као солидна основа за процену кретања током 2021. године. За буџетску пројекцију прихода од акциза на деривате нафте, као референтна основа узета је 2019. година код које, за разлику од 2020. године, постоји уобичајена месечна динамика. Кретање наплате током првог квартала 2021. године указује на нешто већи приход на годишњем нивоу него што је првобитно планирано. И поред тога што током летњих месеци може изостати транзитни саобраћај у обиму који је уобичајен, унутрашњи саобраћај због већег коришћења приватних возила надокнађује </w:t>
      </w:r>
      <w:r>
        <w:rPr>
          <w:rFonts w:eastAsia="MS PGothic" w:cstheme="minorHAnsi"/>
          <w:szCs w:val="20"/>
          <w:lang w:val="sr-Cyrl-RS" w:eastAsia="ja-JP"/>
        </w:rPr>
        <w:t xml:space="preserve">евентуални </w:t>
      </w:r>
      <w:r w:rsidRPr="004A2E36">
        <w:rPr>
          <w:rFonts w:eastAsia="MS PGothic" w:cstheme="minorHAnsi"/>
          <w:szCs w:val="20"/>
          <w:lang w:val="sr-Cyrl-RS" w:eastAsia="ja-JP"/>
        </w:rPr>
        <w:t>губитак</w:t>
      </w:r>
      <w:r>
        <w:rPr>
          <w:rFonts w:eastAsia="MS PGothic" w:cstheme="minorHAnsi"/>
          <w:szCs w:val="20"/>
          <w:lang w:val="sr-Cyrl-RS" w:eastAsia="ja-JP"/>
        </w:rPr>
        <w:t xml:space="preserve"> по том основу</w:t>
      </w:r>
      <w:r w:rsidRPr="004A2E36">
        <w:rPr>
          <w:rFonts w:eastAsia="MS PGothic" w:cstheme="minorHAnsi"/>
          <w:szCs w:val="20"/>
          <w:lang w:val="sr-Cyrl-RS" w:eastAsia="ja-JP"/>
        </w:rPr>
        <w:t>. Такође</w:t>
      </w:r>
      <w:r>
        <w:rPr>
          <w:rFonts w:eastAsia="MS PGothic" w:cstheme="minorHAnsi"/>
          <w:szCs w:val="20"/>
          <w:lang w:val="sr-Cyrl-RS" w:eastAsia="ja-JP"/>
        </w:rPr>
        <w:t>, приликом пројекције акцизе на деривате нафте узета је претпоставка да се</w:t>
      </w:r>
      <w:r w:rsidRPr="004A2E36">
        <w:rPr>
          <w:rFonts w:eastAsia="MS PGothic" w:cstheme="minorHAnsi"/>
          <w:szCs w:val="20"/>
          <w:lang w:val="sr-Cyrl-RS" w:eastAsia="ja-JP"/>
        </w:rPr>
        <w:t xml:space="preserve"> јавни саобраћај</w:t>
      </w:r>
      <w:r>
        <w:rPr>
          <w:rFonts w:eastAsia="MS PGothic" w:cstheme="minorHAnsi"/>
          <w:szCs w:val="20"/>
          <w:lang w:val="sr-Cyrl-RS" w:eastAsia="ja-JP"/>
        </w:rPr>
        <w:t>,</w:t>
      </w:r>
      <w:r w:rsidRPr="004A2E36">
        <w:rPr>
          <w:rFonts w:eastAsia="MS PGothic" w:cstheme="minorHAnsi"/>
          <w:szCs w:val="20"/>
          <w:lang w:val="sr-Cyrl-RS" w:eastAsia="ja-JP"/>
        </w:rPr>
        <w:t xml:space="preserve"> </w:t>
      </w:r>
      <w:r>
        <w:rPr>
          <w:rFonts w:eastAsia="MS PGothic" w:cstheme="minorHAnsi"/>
          <w:szCs w:val="20"/>
          <w:lang w:val="sr-Cyrl-RS" w:eastAsia="ja-JP"/>
        </w:rPr>
        <w:t>где</w:t>
      </w:r>
      <w:r w:rsidRPr="004A2E36">
        <w:rPr>
          <w:rFonts w:eastAsia="MS PGothic" w:cstheme="minorHAnsi"/>
          <w:szCs w:val="20"/>
          <w:lang w:val="sr-Cyrl-RS" w:eastAsia="ja-JP"/>
        </w:rPr>
        <w:t xml:space="preserve"> п</w:t>
      </w:r>
      <w:r>
        <w:rPr>
          <w:rFonts w:eastAsia="MS PGothic" w:cstheme="minorHAnsi"/>
          <w:szCs w:val="20"/>
          <w:lang w:val="sr-Cyrl-RS" w:eastAsia="ja-JP"/>
        </w:rPr>
        <w:t xml:space="preserve">остоји рефакција дела акциза, </w:t>
      </w:r>
      <w:r w:rsidR="00451ACB">
        <w:rPr>
          <w:rFonts w:eastAsia="MS PGothic" w:cstheme="minorHAnsi"/>
          <w:szCs w:val="20"/>
          <w:lang w:val="sr-Cyrl-RS" w:eastAsia="ja-JP"/>
        </w:rPr>
        <w:t>одвија у нешто мањем обиму.</w:t>
      </w:r>
    </w:p>
    <w:p w14:paraId="0B2D22ED" w14:textId="77777777" w:rsidR="001E3E7D" w:rsidRDefault="001E3E7D" w:rsidP="008265F0">
      <w:pPr>
        <w:keepLines/>
        <w:widowControl w:val="0"/>
        <w:rPr>
          <w:rFonts w:eastAsia="MS PGothic" w:cstheme="minorHAnsi"/>
          <w:szCs w:val="20"/>
          <w:lang w:val="sr-Cyrl-RS" w:eastAsia="ja-JP"/>
        </w:rPr>
      </w:pPr>
      <w:r w:rsidRPr="004A2E36">
        <w:rPr>
          <w:rFonts w:eastAsia="MS PGothic" w:cstheme="minorHAnsi"/>
          <w:szCs w:val="20"/>
          <w:lang w:val="sr-Cyrl-RS" w:eastAsia="ja-JP"/>
        </w:rPr>
        <w:t>Код осталих акциза, очекује се нешто слабија потрошња алкохолних производа и наплата акциза по том основу. Овај пад неутралисан је очекиваном већом наплатом</w:t>
      </w:r>
      <w:r w:rsidR="00451ACB">
        <w:rPr>
          <w:rFonts w:eastAsia="MS PGothic" w:cstheme="minorHAnsi"/>
          <w:szCs w:val="20"/>
          <w:lang w:val="sr-Cyrl-RS" w:eastAsia="ja-JP"/>
        </w:rPr>
        <w:t xml:space="preserve"> акцизе на електричну енергију.</w:t>
      </w:r>
    </w:p>
    <w:p w14:paraId="5DA18283" w14:textId="77777777" w:rsidR="001E3E7D" w:rsidRDefault="001E3E7D" w:rsidP="00451ACB">
      <w:pPr>
        <w:widowControl w:val="0"/>
        <w:rPr>
          <w:rFonts w:eastAsia="MS PGothic" w:cstheme="minorHAnsi"/>
          <w:szCs w:val="20"/>
          <w:lang w:val="sr-Cyrl-RS" w:eastAsia="ja-JP"/>
        </w:rPr>
      </w:pPr>
      <w:r w:rsidRPr="004A2E36">
        <w:rPr>
          <w:rFonts w:eastAsia="MS PGothic" w:cstheme="minorHAnsi"/>
          <w:szCs w:val="20"/>
          <w:lang w:val="sr-Cyrl-RS" w:eastAsia="ja-JP"/>
        </w:rPr>
        <w:t xml:space="preserve">Непорески приходи </w:t>
      </w:r>
      <w:r>
        <w:rPr>
          <w:rFonts w:eastAsia="MS PGothic" w:cstheme="minorHAnsi"/>
          <w:szCs w:val="20"/>
          <w:lang w:val="sr-Cyrl-RS" w:eastAsia="ja-JP"/>
        </w:rPr>
        <w:t>незн</w:t>
      </w:r>
      <w:r w:rsidR="00EA1279">
        <w:rPr>
          <w:rFonts w:eastAsia="MS PGothic" w:cstheme="minorHAnsi"/>
          <w:szCs w:val="20"/>
          <w:lang w:val="sr-Cyrl-RS" w:eastAsia="ja-JP"/>
        </w:rPr>
        <w:t>а</w:t>
      </w:r>
      <w:r>
        <w:rPr>
          <w:rFonts w:eastAsia="MS PGothic" w:cstheme="minorHAnsi"/>
          <w:szCs w:val="20"/>
          <w:lang w:val="sr-Cyrl-RS" w:eastAsia="ja-JP"/>
        </w:rPr>
        <w:t xml:space="preserve">тно су повећани </w:t>
      </w:r>
      <w:r w:rsidRPr="004A2E36">
        <w:rPr>
          <w:rFonts w:eastAsia="MS PGothic" w:cstheme="minorHAnsi"/>
          <w:szCs w:val="20"/>
          <w:lang w:val="sr-Cyrl-RS" w:eastAsia="ja-JP"/>
        </w:rPr>
        <w:t xml:space="preserve">у односу на износ предвиђен оригиналним буџетом. Непорески приходи су хетерогена категорија прихода са различитим кретањима по појединачним облицима. Редовни непорески приходи су различите таксе, накнаде, казне, приходи органа и организација и сви остали приходи који се остварују устаљеном динамиком током године, у приближно сличним износима на месечном нивоу уз одређене сезонске варијације. Редовни непорески приходи, током претходне године били су значајно погођени економском и епидемиолошком ситуацијом у земљи. Посебан пример за то представљају приходи од путарина. Наплата појединих </w:t>
      </w:r>
      <w:r>
        <w:rPr>
          <w:rFonts w:eastAsia="MS PGothic" w:cstheme="minorHAnsi"/>
          <w:szCs w:val="20"/>
          <w:lang w:val="sr-Cyrl-RS" w:eastAsia="ja-JP"/>
        </w:rPr>
        <w:t>прихода</w:t>
      </w:r>
      <w:r w:rsidR="00103068">
        <w:rPr>
          <w:rFonts w:eastAsia="MS PGothic" w:cstheme="minorHAnsi"/>
          <w:szCs w:val="20"/>
          <w:lang w:val="sr-Cyrl-RS" w:eastAsia="ja-JP"/>
        </w:rPr>
        <w:t xml:space="preserve"> из ове </w:t>
      </w:r>
      <w:r>
        <w:rPr>
          <w:rFonts w:eastAsia="MS PGothic" w:cstheme="minorHAnsi"/>
          <w:szCs w:val="20"/>
          <w:lang w:val="sr-Cyrl-RS" w:eastAsia="ja-JP"/>
        </w:rPr>
        <w:t xml:space="preserve">категорије </w:t>
      </w:r>
      <w:r>
        <w:rPr>
          <w:rFonts w:eastAsia="MS PGothic" w:cstheme="minorHAnsi"/>
          <w:szCs w:val="20"/>
          <w:lang w:val="sr-Cyrl-RS" w:eastAsia="ja-JP"/>
        </w:rPr>
        <w:t xml:space="preserve">опоравила се у потпуности, </w:t>
      </w:r>
      <w:r w:rsidRPr="004A2E36">
        <w:rPr>
          <w:rFonts w:eastAsia="MS PGothic" w:cstheme="minorHAnsi"/>
          <w:szCs w:val="20"/>
          <w:lang w:val="sr-Cyrl-RS" w:eastAsia="ja-JP"/>
        </w:rPr>
        <w:t xml:space="preserve">док је за опоравак </w:t>
      </w:r>
      <w:r>
        <w:rPr>
          <w:rFonts w:eastAsia="MS PGothic" w:cstheme="minorHAnsi"/>
          <w:szCs w:val="20"/>
          <w:lang w:val="sr-Cyrl-RS" w:eastAsia="ja-JP"/>
        </w:rPr>
        <w:t xml:space="preserve">других потребна </w:t>
      </w:r>
      <w:r w:rsidRPr="004A2E36">
        <w:rPr>
          <w:rFonts w:eastAsia="MS PGothic" w:cstheme="minorHAnsi"/>
          <w:szCs w:val="20"/>
          <w:lang w:val="sr-Cyrl-RS" w:eastAsia="ja-JP"/>
        </w:rPr>
        <w:t xml:space="preserve">потпуна стабилизација епидемиолошке ситуације. Ванредне непореске приходе чине уплате добити јавних предузећа и агенција, дивиденде буџета, приходи по основу наплаћених потраживања Агенције за осигурање депозита, емисионе премије, итд. Редовни непорески приходи </w:t>
      </w:r>
      <w:r>
        <w:rPr>
          <w:rFonts w:eastAsia="MS PGothic" w:cstheme="minorHAnsi"/>
          <w:szCs w:val="20"/>
          <w:lang w:val="sr-Cyrl-RS" w:eastAsia="ja-JP"/>
        </w:rPr>
        <w:t>буџета Републике</w:t>
      </w:r>
      <w:r w:rsidRPr="004A2E36">
        <w:rPr>
          <w:rFonts w:eastAsia="MS PGothic" w:cstheme="minorHAnsi"/>
          <w:szCs w:val="20"/>
          <w:lang w:val="sr-Cyrl-RS" w:eastAsia="ja-JP"/>
        </w:rPr>
        <w:t xml:space="preserve"> нису ревидирани у односу на оригиналну пројекцију, док су код о</w:t>
      </w:r>
      <w:r w:rsidR="00677EDE">
        <w:rPr>
          <w:rFonts w:eastAsia="MS PGothic" w:cstheme="minorHAnsi"/>
          <w:szCs w:val="20"/>
          <w:lang w:val="sr-Cyrl-RS" w:eastAsia="ja-JP"/>
        </w:rPr>
        <w:t>с</w:t>
      </w:r>
      <w:r w:rsidRPr="004A2E36">
        <w:rPr>
          <w:rFonts w:eastAsia="MS PGothic" w:cstheme="minorHAnsi"/>
          <w:szCs w:val="20"/>
          <w:lang w:val="sr-Cyrl-RS" w:eastAsia="ja-JP"/>
        </w:rPr>
        <w:t>талих ни</w:t>
      </w:r>
      <w:r w:rsidR="00677EDE" w:rsidRPr="004A2E36">
        <w:rPr>
          <w:rFonts w:eastAsia="MS PGothic" w:cstheme="minorHAnsi"/>
          <w:szCs w:val="20"/>
          <w:lang w:val="sr-Cyrl-RS" w:eastAsia="ja-JP"/>
        </w:rPr>
        <w:t>в</w:t>
      </w:r>
      <w:r w:rsidRPr="004A2E36">
        <w:rPr>
          <w:rFonts w:eastAsia="MS PGothic" w:cstheme="minorHAnsi"/>
          <w:szCs w:val="20"/>
          <w:lang w:val="sr-Cyrl-RS" w:eastAsia="ja-JP"/>
        </w:rPr>
        <w:t>оа власт</w:t>
      </w:r>
      <w:r w:rsidR="00677EDE">
        <w:rPr>
          <w:rFonts w:eastAsia="MS PGothic" w:cstheme="minorHAnsi"/>
          <w:szCs w:val="20"/>
          <w:lang w:val="sr-Cyrl-RS" w:eastAsia="ja-JP"/>
        </w:rPr>
        <w:t>и</w:t>
      </w:r>
      <w:r w:rsidRPr="004A2E36">
        <w:rPr>
          <w:rFonts w:eastAsia="MS PGothic" w:cstheme="minorHAnsi"/>
          <w:szCs w:val="20"/>
          <w:lang w:val="sr-Cyrl-RS" w:eastAsia="ja-JP"/>
        </w:rPr>
        <w:t xml:space="preserve"> незнатно снижени. Ванредни непорески приходи кориговани су навише због реализоване уплате прихода који нису били укључени у буџетски план (емисиона пре</w:t>
      </w:r>
      <w:r w:rsidR="00451ACB">
        <w:rPr>
          <w:rFonts w:eastAsia="MS PGothic" w:cstheme="minorHAnsi"/>
          <w:szCs w:val="20"/>
          <w:lang w:val="sr-Cyrl-RS" w:eastAsia="ja-JP"/>
        </w:rPr>
        <w:t>мија и дивиденде буџета).</w:t>
      </w:r>
    </w:p>
    <w:p w14:paraId="1818C012" w14:textId="77777777" w:rsidR="001E3E7D" w:rsidRDefault="001E3E7D" w:rsidP="00492053">
      <w:pPr>
        <w:keepLines/>
        <w:widowControl w:val="0"/>
        <w:jc w:val="center"/>
        <w:rPr>
          <w:rFonts w:cstheme="minorHAnsi"/>
          <w:b/>
          <w:color w:val="002060"/>
          <w:lang w:val="sr-Cyrl-RS"/>
        </w:rPr>
      </w:pPr>
      <w:r w:rsidRPr="00712755">
        <w:rPr>
          <w:rFonts w:cstheme="minorHAnsi"/>
          <w:b/>
          <w:color w:val="002060"/>
          <w:lang w:val="sr-Cyrl-RS"/>
        </w:rPr>
        <w:t>Допринос појединачних фактора корекцији фискалног резултата у односу на план за 2021. годину, % БДП</w:t>
      </w:r>
    </w:p>
    <w:p w14:paraId="088D3C46" w14:textId="77777777" w:rsidR="001E3E7D" w:rsidRDefault="001E3E7D" w:rsidP="008265F0">
      <w:pPr>
        <w:keepLines/>
        <w:widowControl w:val="0"/>
        <w:rPr>
          <w:rFonts w:eastAsia="MS PGothic" w:cstheme="minorHAnsi"/>
          <w:szCs w:val="20"/>
          <w:lang w:val="sr-Cyrl-RS" w:eastAsia="ja-JP"/>
        </w:rPr>
      </w:pPr>
      <w:r>
        <w:rPr>
          <w:noProof/>
        </w:rPr>
        <w:drawing>
          <wp:inline distT="0" distB="0" distL="0" distR="0" wp14:anchorId="7562EFE4" wp14:editId="6F99FA48">
            <wp:extent cx="2626360" cy="2393036"/>
            <wp:effectExtent l="0" t="0" r="254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627412" cy="2393994"/>
                    </a:xfrm>
                    <a:prstGeom prst="rect">
                      <a:avLst/>
                    </a:prstGeom>
                    <a:noFill/>
                  </pic:spPr>
                </pic:pic>
              </a:graphicData>
            </a:graphic>
          </wp:inline>
        </w:drawing>
      </w:r>
    </w:p>
    <w:p w14:paraId="2D4DF2B7" w14:textId="77777777" w:rsidR="001E3E7D" w:rsidRPr="000431E7" w:rsidRDefault="001E3E7D" w:rsidP="00451ACB">
      <w:pPr>
        <w:rPr>
          <w:rFonts w:eastAsia="MS PGothic" w:cstheme="minorHAnsi"/>
          <w:szCs w:val="20"/>
          <w:lang w:val="sr-Cyrl-RS" w:eastAsia="ja-JP"/>
        </w:rPr>
      </w:pPr>
      <w:r w:rsidRPr="000431E7">
        <w:rPr>
          <w:rFonts w:eastAsia="MS PGothic" w:cstheme="minorHAnsi"/>
          <w:szCs w:val="20"/>
          <w:lang w:val="sr-Cyrl-RS" w:eastAsia="ja-JP"/>
        </w:rPr>
        <w:t>Процена расхода опште држ</w:t>
      </w:r>
      <w:r w:rsidR="00677EDE" w:rsidRPr="000431E7">
        <w:rPr>
          <w:rFonts w:eastAsia="MS PGothic" w:cstheme="minorHAnsi"/>
          <w:szCs w:val="20"/>
          <w:lang w:val="sr-Cyrl-RS" w:eastAsia="ja-JP"/>
        </w:rPr>
        <w:t>а</w:t>
      </w:r>
      <w:r w:rsidRPr="000431E7">
        <w:rPr>
          <w:rFonts w:eastAsia="MS PGothic" w:cstheme="minorHAnsi"/>
          <w:szCs w:val="20"/>
          <w:lang w:val="sr-Cyrl-RS" w:eastAsia="ja-JP"/>
        </w:rPr>
        <w:t xml:space="preserve">ве повећана је за </w:t>
      </w:r>
      <w:r w:rsidRPr="000431E7">
        <w:rPr>
          <w:rFonts w:eastAsia="MS PGothic" w:cstheme="minorHAnsi"/>
          <w:szCs w:val="20"/>
          <w:lang w:eastAsia="ja-JP"/>
        </w:rPr>
        <w:t>288,9</w:t>
      </w:r>
      <w:r w:rsidRPr="000431E7">
        <w:rPr>
          <w:rFonts w:eastAsia="MS PGothic" w:cstheme="minorHAnsi"/>
          <w:szCs w:val="20"/>
          <w:lang w:val="sr-Cyrl-RS" w:eastAsia="ja-JP"/>
        </w:rPr>
        <w:t xml:space="preserve"> млрд динара у односу на оригинални буџет. Највећи део овог повећања се односи на спровођење пакета за подршку привреди и становништву. Остатак чине расходи везани за директну борбу против пандемије, побољшање здравствених капацитета земље као и значајно увећање капиталних расхода. У периоду јануар–март, јавни расходи расту по стопи 3,1% у односу на исти период 2020. године, а до краја године очекује се да ће укупан раст расхода убрзати услед спровођења програма мера у остатку године.</w:t>
      </w:r>
    </w:p>
    <w:p w14:paraId="2265338B" w14:textId="77777777" w:rsidR="001E3E7D" w:rsidRPr="008217C6" w:rsidRDefault="001E3E7D" w:rsidP="00451ACB">
      <w:pPr>
        <w:rPr>
          <w:rFonts w:eastAsia="MS PGothic" w:cstheme="minorHAnsi"/>
          <w:szCs w:val="20"/>
          <w:lang w:val="sr-Cyrl-RS" w:eastAsia="ja-JP"/>
        </w:rPr>
      </w:pPr>
      <w:r w:rsidRPr="000431E7">
        <w:rPr>
          <w:rFonts w:eastAsia="MS PGothic" w:cstheme="minorHAnsi"/>
          <w:szCs w:val="20"/>
          <w:lang w:val="sr-Cyrl-RS" w:eastAsia="ja-JP"/>
        </w:rPr>
        <w:t xml:space="preserve">Расходи за запослене повећани су за 13,5 млрд динара у односу на оригинално планиране. Највећи део се односи на повећање броја </w:t>
      </w:r>
      <w:r w:rsidRPr="000431E7">
        <w:rPr>
          <w:rFonts w:eastAsia="MS PGothic" w:cstheme="minorHAnsi"/>
          <w:szCs w:val="20"/>
          <w:lang w:val="sr-Cyrl-RS" w:eastAsia="ja-JP"/>
        </w:rPr>
        <w:lastRenderedPageBreak/>
        <w:t>ангажованих људи у здравственом систему, повећаног ангажмана и броја радних сати у осталим секторима који су учествовали у контроли епидемиолошке ситуације. Један део увећања је последица нешто већег извршења на крају 2020. године.</w:t>
      </w:r>
    </w:p>
    <w:p w14:paraId="1F7725E7"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Расходи за робе и услуге су повећани за 25 млрд динара. Највећи део повећања се односи на издатке за набавку вакцина, других медикамената, медицинске опреме и средстава од стране РФЗО. Други део повећања се односи на издатке за текуће одржавање путева код ЈП „Путеви Србије</w:t>
      </w:r>
      <w:r w:rsidR="0000208A" w:rsidRPr="00C6085C">
        <w:rPr>
          <w:rFonts w:eastAsia="MS PGothic" w:cstheme="minorHAnsi"/>
          <w:szCs w:val="20"/>
          <w:lang w:val="sr-Cyrl-CS" w:eastAsia="ja-JP"/>
        </w:rPr>
        <w:t>”</w:t>
      </w:r>
      <w:r w:rsidRPr="008217C6">
        <w:rPr>
          <w:rFonts w:eastAsia="MS PGothic" w:cstheme="minorHAnsi"/>
          <w:szCs w:val="20"/>
          <w:lang w:val="sr-Cyrl-RS" w:eastAsia="ja-JP"/>
        </w:rPr>
        <w:t>. И код осталих ниво</w:t>
      </w:r>
      <w:r w:rsidR="00103068">
        <w:rPr>
          <w:rFonts w:eastAsia="MS PGothic" w:cstheme="minorHAnsi"/>
          <w:szCs w:val="20"/>
          <w:lang w:val="sr-Cyrl-RS" w:eastAsia="ja-JP"/>
        </w:rPr>
        <w:t xml:space="preserve">а власти се бележи увећања ове </w:t>
      </w:r>
      <w:r w:rsidRPr="008217C6">
        <w:rPr>
          <w:rFonts w:eastAsia="MS PGothic" w:cstheme="minorHAnsi"/>
          <w:szCs w:val="20"/>
          <w:lang w:val="sr-Cyrl-RS" w:eastAsia="ja-JP"/>
        </w:rPr>
        <w:t>кат</w:t>
      </w:r>
      <w:r w:rsidR="00103068">
        <w:rPr>
          <w:rFonts w:eastAsia="MS PGothic" w:cstheme="minorHAnsi"/>
          <w:szCs w:val="20"/>
          <w:lang w:val="sr-Cyrl-RS" w:eastAsia="ja-JP"/>
        </w:rPr>
        <w:t xml:space="preserve">егорије расхода, посебно током </w:t>
      </w:r>
      <w:r w:rsidRPr="008217C6">
        <w:rPr>
          <w:rFonts w:eastAsia="MS PGothic" w:cstheme="minorHAnsi"/>
          <w:szCs w:val="20"/>
          <w:lang w:val="sr-Cyrl-RS" w:eastAsia="ja-JP"/>
        </w:rPr>
        <w:t>првог квартала текуће године.</w:t>
      </w:r>
    </w:p>
    <w:p w14:paraId="38F5D08E"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Субвенције су такође значајно повећане у односу на оригинални план и то за 87,9 млрд динара. Са ове категорије расхода биће извршена исплата новог пакета директне помоћи привредним друштвима и предузетницима за превазилажење кризе изазване пандемијом. За ове намене у 2021. години предвиђено је преко 78 млрд динара. Један део повећања расхода за субвенције чини повећано субвенционисање у пољопривреди, дру</w:t>
      </w:r>
      <w:r w:rsidR="00451ACB" w:rsidRPr="008217C6">
        <w:rPr>
          <w:rFonts w:eastAsia="MS PGothic" w:cstheme="minorHAnsi"/>
          <w:szCs w:val="20"/>
          <w:lang w:val="sr-Cyrl-RS" w:eastAsia="ja-JP"/>
        </w:rPr>
        <w:t>мском и железничком саобраћају.</w:t>
      </w:r>
    </w:p>
    <w:p w14:paraId="494EB5EC"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Расходи за социјалну заштиту већи су за 13,9 млрд динара у односу на</w:t>
      </w:r>
      <w:r w:rsidR="00103068">
        <w:rPr>
          <w:rFonts w:eastAsia="MS PGothic" w:cstheme="minorHAnsi"/>
          <w:szCs w:val="20"/>
          <w:lang w:val="sr-Cyrl-RS" w:eastAsia="ja-JP"/>
        </w:rPr>
        <w:t xml:space="preserve"> оригинални план. У оквиру ове </w:t>
      </w:r>
      <w:r w:rsidRPr="008217C6">
        <w:rPr>
          <w:rFonts w:eastAsia="MS PGothic" w:cstheme="minorHAnsi"/>
          <w:szCs w:val="20"/>
          <w:lang w:val="sr-Cyrl-RS" w:eastAsia="ja-JP"/>
        </w:rPr>
        <w:t>категорије расхода, извршиће се исплата дела помоћи становништву у оквиру трећег пакета мера. Конкретно, НСЗ и ПИО фонд исплатиће по 60 и 50 евра у динарској против</w:t>
      </w:r>
      <w:r w:rsidR="00125A87">
        <w:rPr>
          <w:rFonts w:eastAsia="MS PGothic" w:cstheme="minorHAnsi"/>
          <w:szCs w:val="20"/>
          <w:lang w:val="sr-Cyrl-RS" w:eastAsia="ja-JP"/>
        </w:rPr>
        <w:t>в</w:t>
      </w:r>
      <w:r w:rsidRPr="008217C6">
        <w:rPr>
          <w:rFonts w:eastAsia="MS PGothic" w:cstheme="minorHAnsi"/>
          <w:szCs w:val="20"/>
          <w:lang w:val="sr-Cyrl-RS" w:eastAsia="ja-JP"/>
        </w:rPr>
        <w:t>редности, респективно, својим корисницима. Ово представља вид додатне помоћи угроженијим категоријама становништва, поред оне коју добија</w:t>
      </w:r>
      <w:r w:rsidR="00125A87">
        <w:rPr>
          <w:rFonts w:eastAsia="MS PGothic" w:cstheme="minorHAnsi"/>
          <w:szCs w:val="20"/>
          <w:lang w:val="sr-Cyrl-RS" w:eastAsia="ja-JP"/>
        </w:rPr>
        <w:t>ј</w:t>
      </w:r>
      <w:r w:rsidRPr="008217C6">
        <w:rPr>
          <w:rFonts w:eastAsia="MS PGothic" w:cstheme="minorHAnsi"/>
          <w:szCs w:val="20"/>
          <w:lang w:val="sr-Cyrl-RS" w:eastAsia="ja-JP"/>
        </w:rPr>
        <w:t>у сви пунолетни грађани. Расходи за пензије снижени су у односу на оригинални план за 4 млрд динара. Пензије у 2021. години индексиране су према „швајцарској формули</w:t>
      </w:r>
      <w:r w:rsidR="0000208A" w:rsidRPr="00C6085C">
        <w:rPr>
          <w:rFonts w:eastAsia="MS PGothic" w:cstheme="minorHAnsi"/>
          <w:szCs w:val="20"/>
          <w:lang w:val="sr-Cyrl-CS" w:eastAsia="ja-JP"/>
        </w:rPr>
        <w:t>”</w:t>
      </w:r>
      <w:r w:rsidRPr="008217C6">
        <w:rPr>
          <w:rFonts w:eastAsia="MS PGothic" w:cstheme="minorHAnsi"/>
          <w:szCs w:val="20"/>
          <w:lang w:val="sr-Cyrl-RS" w:eastAsia="ja-JP"/>
        </w:rPr>
        <w:t>, чији параметри су били познати у току планирања ове категорије расхода, али је изостао п</w:t>
      </w:r>
      <w:r w:rsidR="00103068">
        <w:rPr>
          <w:rFonts w:eastAsia="MS PGothic" w:cstheme="minorHAnsi"/>
          <w:szCs w:val="20"/>
          <w:lang w:val="sr-Cyrl-RS" w:eastAsia="ja-JP"/>
        </w:rPr>
        <w:t xml:space="preserve">ланиран раст броја пензионера. </w:t>
      </w:r>
      <w:r w:rsidRPr="008217C6">
        <w:rPr>
          <w:rFonts w:eastAsia="MS PGothic" w:cstheme="minorHAnsi"/>
          <w:szCs w:val="20"/>
          <w:lang w:val="sr-Cyrl-RS" w:eastAsia="ja-JP"/>
        </w:rPr>
        <w:t>Учешће расход</w:t>
      </w:r>
      <w:r w:rsidR="008217C6" w:rsidRPr="008217C6">
        <w:rPr>
          <w:rFonts w:eastAsia="MS PGothic" w:cstheme="minorHAnsi"/>
          <w:szCs w:val="20"/>
          <w:lang w:val="sr-Cyrl-RS" w:eastAsia="ja-JP"/>
        </w:rPr>
        <w:t xml:space="preserve">а за </w:t>
      </w:r>
      <w:r w:rsidRPr="008217C6">
        <w:rPr>
          <w:rFonts w:eastAsia="MS PGothic" w:cstheme="minorHAnsi"/>
          <w:szCs w:val="20"/>
          <w:lang w:val="sr-Cyrl-RS" w:eastAsia="ja-JP"/>
        </w:rPr>
        <w:t>пензија у БДП износи 10,4% у 2021. години.</w:t>
      </w:r>
    </w:p>
    <w:p w14:paraId="6BA5EC82"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 xml:space="preserve">Остали текући расходи повећани су за 50,9 млрд динара у односу на оригинални план, првенствено </w:t>
      </w:r>
      <w:r w:rsidRPr="008217C6">
        <w:rPr>
          <w:rFonts w:eastAsia="MS PGothic" w:cstheme="minorHAnsi"/>
          <w:szCs w:val="20"/>
          <w:lang w:val="sr-Cyrl-RS" w:eastAsia="ja-JP"/>
        </w:rPr>
        <w:t>због исплате директне новчане помоћи становништву (50 евра свим пунолетним грађанима</w:t>
      </w:r>
      <w:r w:rsidRPr="008217C6">
        <w:rPr>
          <w:rFonts w:eastAsia="MS PGothic" w:cstheme="minorHAnsi"/>
          <w:szCs w:val="20"/>
          <w:lang w:eastAsia="ja-JP"/>
        </w:rPr>
        <w:t xml:space="preserve"> </w:t>
      </w:r>
      <w:r w:rsidRPr="008217C6">
        <w:rPr>
          <w:rFonts w:eastAsia="MS PGothic" w:cstheme="minorHAnsi"/>
          <w:szCs w:val="20"/>
          <w:lang w:val="sr-Cyrl-RS" w:eastAsia="ja-JP"/>
        </w:rPr>
        <w:t>у динарској противвредности прерачунато по званичном средњем курсу НБС) у укупном износу од 44,7 млрд динара. Остатак повећања се односи набавку дела вакцина за имунизацију становништва против КОВИД-19, к</w:t>
      </w:r>
      <w:r w:rsidR="00451ACB" w:rsidRPr="008217C6">
        <w:rPr>
          <w:rFonts w:eastAsia="MS PGothic" w:cstheme="minorHAnsi"/>
          <w:szCs w:val="20"/>
          <w:lang w:val="sr-Cyrl-RS" w:eastAsia="ja-JP"/>
        </w:rPr>
        <w:t>оја се не реализује преко РФЗО.</w:t>
      </w:r>
    </w:p>
    <w:p w14:paraId="576F25E5"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Процењује се да ће реализација јавних инвестиција бити већа за 99,1 млрд динара од првобитног плана. Извршење капиталних расхода у периоду јануар–март 2021. године у односу на исти период претходне године веће је за 13,7%. Капитални расходи достижу, за сада рекордан, ниво од 7,2% БДП у 2021. години. Планирани су већи издаци и за нове и за постојеће инфраструктурне пројекте, пре свега у путну, железничку и комуналну инфраструктуру. Већа инвестициона улагања ће деловати на убрзање пр</w:t>
      </w:r>
      <w:r w:rsidR="00125A87">
        <w:rPr>
          <w:rFonts w:eastAsia="MS PGothic" w:cstheme="minorHAnsi"/>
          <w:szCs w:val="20"/>
          <w:lang w:val="sr-Cyrl-RS" w:eastAsia="ja-JP"/>
        </w:rPr>
        <w:t>и</w:t>
      </w:r>
      <w:r w:rsidRPr="008217C6">
        <w:rPr>
          <w:rFonts w:eastAsia="MS PGothic" w:cstheme="minorHAnsi"/>
          <w:szCs w:val="20"/>
          <w:lang w:val="sr-Cyrl-RS" w:eastAsia="ja-JP"/>
        </w:rPr>
        <w:t>вредног раста у 2021. години и у средњорочном периоду. Планирана су већа улагања у нове здравствене капацитете и опрему која има дужи век експлоатације. Један део увећаних издатака се односи на даљу епидемиолошку заштиту становништва од COVID-19, а други на побољшање система здравствене заштите у будућности. У ранијим кризним периодима најчешће је долазило до смањења капиталних расхода, међутим то сада није био случај, што представља квалитативну позитивну промену у управљању јавним финансијама. Остатак повећања капиталних расхода представља улагање у обнављање и модернизацију</w:t>
      </w:r>
      <w:r w:rsidR="00451ACB" w:rsidRPr="008217C6">
        <w:rPr>
          <w:rFonts w:eastAsia="MS PGothic" w:cstheme="minorHAnsi"/>
          <w:szCs w:val="20"/>
          <w:lang w:val="sr-Cyrl-RS" w:eastAsia="ja-JP"/>
        </w:rPr>
        <w:t xml:space="preserve"> војне опреме.</w:t>
      </w:r>
    </w:p>
    <w:p w14:paraId="5E0DA6F8" w14:textId="77777777" w:rsidR="001E3E7D" w:rsidRPr="008217C6" w:rsidRDefault="001E3E7D" w:rsidP="00451ACB">
      <w:pPr>
        <w:rPr>
          <w:rFonts w:eastAsia="MS PGothic" w:cstheme="minorHAnsi"/>
          <w:szCs w:val="20"/>
          <w:lang w:val="sr-Cyrl-RS" w:eastAsia="ja-JP"/>
        </w:rPr>
      </w:pPr>
      <w:r w:rsidRPr="008217C6">
        <w:rPr>
          <w:rFonts w:eastAsia="MS PGothic" w:cstheme="minorHAnsi"/>
          <w:szCs w:val="20"/>
          <w:lang w:val="sr-Cyrl-RS" w:eastAsia="ja-JP"/>
        </w:rPr>
        <w:t>Процењен фискални дефицит од</w:t>
      </w:r>
      <w:r w:rsidR="00103068">
        <w:rPr>
          <w:rFonts w:eastAsia="MS PGothic" w:cstheme="minorHAnsi"/>
          <w:szCs w:val="20"/>
          <w:lang w:val="sr-Cyrl-RS" w:eastAsia="ja-JP"/>
        </w:rPr>
        <w:t xml:space="preserve"> 6,9% БДП не одступа од </w:t>
      </w:r>
      <w:r w:rsidRPr="008217C6">
        <w:rPr>
          <w:rFonts w:eastAsia="MS PGothic" w:cstheme="minorHAnsi"/>
          <w:szCs w:val="20"/>
          <w:lang w:val="sr-Cyrl-RS" w:eastAsia="ja-JP"/>
        </w:rPr>
        <w:t>просека фискалних резултата који се очекују у земљама региона и ЕУ. Такав резултат је директна последица спровођења пакета мера помоћи, као и напора да се започети економски опоравак одржи и убрза у наредном периоду. Структурном анализом фискалног резултата идентификовано је да се око 4% БДП односи на једнократне и привремене мере, чиме је утврђено да фискалн</w:t>
      </w:r>
      <w:r w:rsidR="00451ACB" w:rsidRPr="008217C6">
        <w:rPr>
          <w:rFonts w:eastAsia="MS PGothic" w:cstheme="minorHAnsi"/>
          <w:szCs w:val="20"/>
          <w:lang w:val="sr-Cyrl-RS" w:eastAsia="ja-JP"/>
        </w:rPr>
        <w:t>а позиција земље није нарушена.</w:t>
      </w:r>
    </w:p>
    <w:p w14:paraId="4CCB5DB2" w14:textId="77777777" w:rsidR="00451ACB" w:rsidRPr="004A2E36" w:rsidRDefault="00451ACB" w:rsidP="00451ACB">
      <w:pPr>
        <w:rPr>
          <w:rFonts w:eastAsia="MS PGothic" w:cstheme="minorHAnsi"/>
          <w:spacing w:val="-4"/>
          <w:szCs w:val="20"/>
          <w:lang w:val="sr-Cyrl-RS" w:eastAsia="ja-JP"/>
        </w:rPr>
        <w:sectPr w:rsidR="00451ACB" w:rsidRPr="004A2E36" w:rsidSect="00AE40EB">
          <w:type w:val="continuous"/>
          <w:pgSz w:w="12240" w:h="15840" w:code="1"/>
          <w:pgMar w:top="1440" w:right="1440" w:bottom="1440" w:left="1440" w:header="720" w:footer="720" w:gutter="0"/>
          <w:cols w:num="2" w:space="720"/>
          <w:docGrid w:linePitch="360"/>
        </w:sectPr>
      </w:pPr>
    </w:p>
    <w:p w14:paraId="30D65B31" w14:textId="77777777" w:rsidR="00451ACB" w:rsidRPr="004D41DE" w:rsidRDefault="00451ACB">
      <w:pPr>
        <w:jc w:val="left"/>
        <w:rPr>
          <w:rFonts w:eastAsia="MS PGothic" w:cstheme="minorHAnsi"/>
          <w:b/>
          <w:szCs w:val="20"/>
          <w:lang w:val="sr-Cyrl-RS" w:eastAsia="ja-JP"/>
        </w:rPr>
      </w:pPr>
      <w:r>
        <w:rPr>
          <w:rFonts w:eastAsia="MS PGothic" w:cstheme="minorHAnsi"/>
          <w:b/>
          <w:color w:val="FF0000"/>
          <w:szCs w:val="20"/>
          <w:lang w:val="sr-Cyrl-RS" w:eastAsia="ja-JP"/>
        </w:rPr>
        <w:br w:type="page"/>
      </w:r>
    </w:p>
    <w:p w14:paraId="2A75455D" w14:textId="77777777" w:rsidR="001E3E7D" w:rsidRPr="00557A14" w:rsidRDefault="001E3E7D" w:rsidP="00F50273">
      <w:pPr>
        <w:spacing w:before="240" w:after="120" w:line="276" w:lineRule="auto"/>
        <w:jc w:val="center"/>
        <w:rPr>
          <w:rFonts w:eastAsia="MS PGothic" w:cstheme="minorHAnsi"/>
          <w:b/>
          <w:color w:val="002060"/>
          <w:szCs w:val="20"/>
          <w:lang w:val="sr-Cyrl-RS" w:eastAsia="ja-JP"/>
        </w:rPr>
      </w:pPr>
      <w:r w:rsidRPr="00686A25">
        <w:rPr>
          <w:rFonts w:eastAsia="MS PGothic" w:cstheme="minorHAnsi"/>
          <w:b/>
          <w:color w:val="002060"/>
          <w:szCs w:val="20"/>
          <w:lang w:val="sr-Cyrl-RS" w:eastAsia="ja-JP"/>
        </w:rPr>
        <w:lastRenderedPageBreak/>
        <w:t xml:space="preserve">Табела 8. </w:t>
      </w:r>
      <w:r w:rsidRPr="00712755">
        <w:rPr>
          <w:rFonts w:eastAsia="MS PGothic" w:cstheme="minorHAnsi"/>
          <w:b/>
          <w:color w:val="002060"/>
          <w:szCs w:val="20"/>
          <w:lang w:val="sr-Cyrl-RS" w:eastAsia="ja-JP"/>
        </w:rPr>
        <w:t>Приходи, расходи и резултат сектора државе, јануар–март, у млрд динара</w:t>
      </w:r>
    </w:p>
    <w:tbl>
      <w:tblPr>
        <w:tblW w:w="5014" w:type="pct"/>
        <w:jc w:val="right"/>
        <w:tblLook w:val="04A0" w:firstRow="1" w:lastRow="0" w:firstColumn="1" w:lastColumn="0" w:noHBand="0" w:noVBand="1"/>
      </w:tblPr>
      <w:tblGrid>
        <w:gridCol w:w="3478"/>
        <w:gridCol w:w="1477"/>
        <w:gridCol w:w="1477"/>
        <w:gridCol w:w="1477"/>
        <w:gridCol w:w="1477"/>
      </w:tblGrid>
      <w:tr w:rsidR="00451ACB" w:rsidRPr="00451ACB" w14:paraId="251AE1FE" w14:textId="77777777" w:rsidTr="00451ACB">
        <w:trPr>
          <w:trHeight w:val="28"/>
          <w:tblHeader/>
          <w:jc w:val="right"/>
        </w:trPr>
        <w:tc>
          <w:tcPr>
            <w:tcW w:w="1852" w:type="pct"/>
            <w:tcBorders>
              <w:top w:val="single" w:sz="4" w:space="0" w:color="002060"/>
            </w:tcBorders>
            <w:shd w:val="clear" w:color="auto" w:fill="auto"/>
            <w:noWrap/>
            <w:vAlign w:val="center"/>
            <w:hideMark/>
          </w:tcPr>
          <w:p w14:paraId="6FF2BD1A" w14:textId="77777777" w:rsidR="001E3E7D" w:rsidRPr="00451ACB" w:rsidRDefault="001E3E7D" w:rsidP="008265F0">
            <w:pPr>
              <w:spacing w:after="0" w:line="240" w:lineRule="auto"/>
              <w:rPr>
                <w:rFonts w:cstheme="minorHAnsi"/>
                <w:color w:val="002060"/>
                <w:sz w:val="16"/>
                <w:szCs w:val="16"/>
                <w:lang w:val="sr-Cyrl-RS"/>
              </w:rPr>
            </w:pPr>
            <w:r w:rsidRPr="00451ACB">
              <w:rPr>
                <w:rFonts w:eastAsia="MS PGothic" w:cstheme="minorHAnsi"/>
                <w:color w:val="002060"/>
                <w:sz w:val="16"/>
                <w:szCs w:val="16"/>
                <w:lang w:val="sr-Cyrl-RS" w:eastAsia="ja-JP"/>
              </w:rPr>
              <w:tab/>
            </w:r>
          </w:p>
        </w:tc>
        <w:tc>
          <w:tcPr>
            <w:tcW w:w="787" w:type="pct"/>
            <w:tcBorders>
              <w:top w:val="single" w:sz="4" w:space="0" w:color="002060"/>
              <w:bottom w:val="single" w:sz="4" w:space="0" w:color="002060"/>
            </w:tcBorders>
            <w:shd w:val="clear" w:color="auto" w:fill="auto"/>
            <w:vAlign w:val="center"/>
            <w:hideMark/>
          </w:tcPr>
          <w:p w14:paraId="4E4D70C0"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I–III 2020</w:t>
            </w:r>
          </w:p>
        </w:tc>
        <w:tc>
          <w:tcPr>
            <w:tcW w:w="787" w:type="pct"/>
            <w:tcBorders>
              <w:top w:val="single" w:sz="4" w:space="0" w:color="002060"/>
              <w:bottom w:val="single" w:sz="4" w:space="0" w:color="002060"/>
            </w:tcBorders>
            <w:shd w:val="clear" w:color="auto" w:fill="auto"/>
            <w:vAlign w:val="center"/>
            <w:hideMark/>
          </w:tcPr>
          <w:p w14:paraId="0BEB5B95"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I–III 2021</w:t>
            </w:r>
          </w:p>
        </w:tc>
        <w:tc>
          <w:tcPr>
            <w:tcW w:w="787" w:type="pct"/>
            <w:tcBorders>
              <w:top w:val="single" w:sz="4" w:space="0" w:color="002060"/>
              <w:bottom w:val="single" w:sz="4" w:space="0" w:color="002060"/>
            </w:tcBorders>
            <w:vAlign w:val="center"/>
          </w:tcPr>
          <w:p w14:paraId="5F2510D5"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I–III стопа раста/пада %</w:t>
            </w:r>
          </w:p>
        </w:tc>
        <w:tc>
          <w:tcPr>
            <w:tcW w:w="787" w:type="pct"/>
            <w:tcBorders>
              <w:top w:val="single" w:sz="4" w:space="0" w:color="002060"/>
              <w:bottom w:val="single" w:sz="4" w:space="0" w:color="002060"/>
            </w:tcBorders>
            <w:shd w:val="clear" w:color="auto" w:fill="auto"/>
            <w:vAlign w:val="center"/>
            <w:hideMark/>
          </w:tcPr>
          <w:p w14:paraId="2C03B3F1" w14:textId="77777777" w:rsidR="001E3E7D" w:rsidRPr="00CD7EDF" w:rsidRDefault="001E3E7D" w:rsidP="008265F0">
            <w:pPr>
              <w:spacing w:after="0" w:line="240" w:lineRule="auto"/>
              <w:jc w:val="center"/>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2021/2020 стопа раста/пада у %</w:t>
            </w:r>
          </w:p>
        </w:tc>
      </w:tr>
      <w:tr w:rsidR="00451ACB" w:rsidRPr="00451ACB" w14:paraId="5C62A578" w14:textId="77777777" w:rsidTr="00451ACB">
        <w:trPr>
          <w:trHeight w:val="28"/>
          <w:tblHeader/>
          <w:jc w:val="right"/>
        </w:trPr>
        <w:tc>
          <w:tcPr>
            <w:tcW w:w="1852" w:type="pct"/>
            <w:shd w:val="clear" w:color="auto" w:fill="E7E6E6" w:themeFill="background2"/>
            <w:noWrap/>
            <w:vAlign w:val="center"/>
            <w:hideMark/>
          </w:tcPr>
          <w:p w14:paraId="135CA504"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ЈАВНИ ПРИХОДИ</w:t>
            </w:r>
          </w:p>
        </w:tc>
        <w:tc>
          <w:tcPr>
            <w:tcW w:w="787" w:type="pct"/>
            <w:tcBorders>
              <w:top w:val="single" w:sz="4" w:space="0" w:color="002060"/>
            </w:tcBorders>
            <w:shd w:val="clear" w:color="auto" w:fill="E7E6E6" w:themeFill="background2"/>
            <w:hideMark/>
          </w:tcPr>
          <w:p w14:paraId="643358D4"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537,0</w:t>
            </w:r>
          </w:p>
        </w:tc>
        <w:tc>
          <w:tcPr>
            <w:tcW w:w="787" w:type="pct"/>
            <w:tcBorders>
              <w:top w:val="single" w:sz="4" w:space="0" w:color="002060"/>
            </w:tcBorders>
            <w:shd w:val="clear" w:color="auto" w:fill="E7E6E6" w:themeFill="background2"/>
            <w:hideMark/>
          </w:tcPr>
          <w:p w14:paraId="20E396B5"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594,5</w:t>
            </w:r>
          </w:p>
        </w:tc>
        <w:tc>
          <w:tcPr>
            <w:tcW w:w="787" w:type="pct"/>
            <w:tcBorders>
              <w:top w:val="single" w:sz="4" w:space="0" w:color="002060"/>
            </w:tcBorders>
            <w:shd w:val="clear" w:color="auto" w:fill="E7E6E6" w:themeFill="background2"/>
          </w:tcPr>
          <w:p w14:paraId="5619617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10,7</w:t>
            </w:r>
          </w:p>
        </w:tc>
        <w:tc>
          <w:tcPr>
            <w:tcW w:w="787" w:type="pct"/>
            <w:tcBorders>
              <w:top w:val="single" w:sz="4" w:space="0" w:color="002060"/>
            </w:tcBorders>
            <w:shd w:val="clear" w:color="auto" w:fill="E7E6E6" w:themeFill="background2"/>
            <w:hideMark/>
          </w:tcPr>
          <w:p w14:paraId="26BDDA0B"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10,0</w:t>
            </w:r>
          </w:p>
        </w:tc>
      </w:tr>
      <w:tr w:rsidR="00451ACB" w:rsidRPr="00451ACB" w14:paraId="79C26CA8" w14:textId="77777777" w:rsidTr="00451ACB">
        <w:trPr>
          <w:trHeight w:val="28"/>
          <w:tblHeader/>
          <w:jc w:val="right"/>
        </w:trPr>
        <w:tc>
          <w:tcPr>
            <w:tcW w:w="1852" w:type="pct"/>
            <w:shd w:val="clear" w:color="auto" w:fill="auto"/>
            <w:noWrap/>
            <w:vAlign w:val="center"/>
            <w:hideMark/>
          </w:tcPr>
          <w:p w14:paraId="4F72E5C1"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Текући приходи</w:t>
            </w:r>
          </w:p>
        </w:tc>
        <w:tc>
          <w:tcPr>
            <w:tcW w:w="787" w:type="pct"/>
            <w:shd w:val="clear" w:color="auto" w:fill="auto"/>
            <w:hideMark/>
          </w:tcPr>
          <w:p w14:paraId="05E4EBF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534,0</w:t>
            </w:r>
          </w:p>
        </w:tc>
        <w:tc>
          <w:tcPr>
            <w:tcW w:w="787" w:type="pct"/>
            <w:shd w:val="clear" w:color="auto" w:fill="auto"/>
            <w:noWrap/>
            <w:hideMark/>
          </w:tcPr>
          <w:p w14:paraId="3A3C3353"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588,7</w:t>
            </w:r>
          </w:p>
        </w:tc>
        <w:tc>
          <w:tcPr>
            <w:tcW w:w="787" w:type="pct"/>
          </w:tcPr>
          <w:p w14:paraId="3289C887"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10,2</w:t>
            </w:r>
          </w:p>
        </w:tc>
        <w:tc>
          <w:tcPr>
            <w:tcW w:w="787" w:type="pct"/>
            <w:shd w:val="clear" w:color="auto" w:fill="auto"/>
            <w:hideMark/>
          </w:tcPr>
          <w:p w14:paraId="6ADEA08F"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9,7</w:t>
            </w:r>
          </w:p>
        </w:tc>
      </w:tr>
      <w:tr w:rsidR="00451ACB" w:rsidRPr="00451ACB" w14:paraId="2EFDCC41" w14:textId="77777777" w:rsidTr="00451ACB">
        <w:trPr>
          <w:trHeight w:val="28"/>
          <w:tblHeader/>
          <w:jc w:val="right"/>
        </w:trPr>
        <w:tc>
          <w:tcPr>
            <w:tcW w:w="1852" w:type="pct"/>
            <w:shd w:val="clear" w:color="auto" w:fill="auto"/>
            <w:noWrap/>
            <w:vAlign w:val="center"/>
            <w:hideMark/>
          </w:tcPr>
          <w:p w14:paraId="32CF59A6"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Порески приходи</w:t>
            </w:r>
          </w:p>
        </w:tc>
        <w:tc>
          <w:tcPr>
            <w:tcW w:w="787" w:type="pct"/>
            <w:shd w:val="clear" w:color="auto" w:fill="auto"/>
            <w:hideMark/>
          </w:tcPr>
          <w:p w14:paraId="57AF0F7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481,8</w:t>
            </w:r>
          </w:p>
        </w:tc>
        <w:tc>
          <w:tcPr>
            <w:tcW w:w="787" w:type="pct"/>
            <w:shd w:val="clear" w:color="auto" w:fill="auto"/>
            <w:hideMark/>
          </w:tcPr>
          <w:p w14:paraId="71F04F9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531,2</w:t>
            </w:r>
          </w:p>
        </w:tc>
        <w:tc>
          <w:tcPr>
            <w:tcW w:w="787" w:type="pct"/>
          </w:tcPr>
          <w:p w14:paraId="2B2A697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10,3</w:t>
            </w:r>
          </w:p>
        </w:tc>
        <w:tc>
          <w:tcPr>
            <w:tcW w:w="787" w:type="pct"/>
            <w:shd w:val="clear" w:color="auto" w:fill="auto"/>
            <w:hideMark/>
          </w:tcPr>
          <w:p w14:paraId="151DB036"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11,8</w:t>
            </w:r>
          </w:p>
        </w:tc>
      </w:tr>
      <w:tr w:rsidR="00451ACB" w:rsidRPr="00451ACB" w14:paraId="57A5B0F5" w14:textId="77777777" w:rsidTr="00451ACB">
        <w:trPr>
          <w:trHeight w:val="28"/>
          <w:tblHeader/>
          <w:jc w:val="right"/>
        </w:trPr>
        <w:tc>
          <w:tcPr>
            <w:tcW w:w="1852" w:type="pct"/>
            <w:shd w:val="clear" w:color="auto" w:fill="auto"/>
            <w:noWrap/>
            <w:vAlign w:val="center"/>
            <w:hideMark/>
          </w:tcPr>
          <w:p w14:paraId="59919BC6"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Порез на доходак грађана</w:t>
            </w:r>
          </w:p>
        </w:tc>
        <w:tc>
          <w:tcPr>
            <w:tcW w:w="787" w:type="pct"/>
            <w:shd w:val="clear" w:color="auto" w:fill="auto"/>
            <w:hideMark/>
          </w:tcPr>
          <w:p w14:paraId="4211E3A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49,2</w:t>
            </w:r>
          </w:p>
        </w:tc>
        <w:tc>
          <w:tcPr>
            <w:tcW w:w="787" w:type="pct"/>
            <w:shd w:val="clear" w:color="auto" w:fill="auto"/>
            <w:hideMark/>
          </w:tcPr>
          <w:p w14:paraId="4358618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55,6</w:t>
            </w:r>
          </w:p>
        </w:tc>
        <w:tc>
          <w:tcPr>
            <w:tcW w:w="787" w:type="pct"/>
          </w:tcPr>
          <w:p w14:paraId="30A15CCB"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12,9</w:t>
            </w:r>
          </w:p>
        </w:tc>
        <w:tc>
          <w:tcPr>
            <w:tcW w:w="787" w:type="pct"/>
            <w:shd w:val="clear" w:color="auto" w:fill="auto"/>
            <w:hideMark/>
          </w:tcPr>
          <w:p w14:paraId="3971A3C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15,7</w:t>
            </w:r>
          </w:p>
        </w:tc>
      </w:tr>
      <w:tr w:rsidR="00451ACB" w:rsidRPr="00451ACB" w14:paraId="03CCBEDD" w14:textId="77777777" w:rsidTr="00451ACB">
        <w:trPr>
          <w:trHeight w:val="28"/>
          <w:tblHeader/>
          <w:jc w:val="right"/>
        </w:trPr>
        <w:tc>
          <w:tcPr>
            <w:tcW w:w="1852" w:type="pct"/>
            <w:shd w:val="clear" w:color="auto" w:fill="auto"/>
            <w:noWrap/>
            <w:vAlign w:val="center"/>
            <w:hideMark/>
          </w:tcPr>
          <w:p w14:paraId="0A829DC5"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Порез на добит правних лица</w:t>
            </w:r>
          </w:p>
        </w:tc>
        <w:tc>
          <w:tcPr>
            <w:tcW w:w="787" w:type="pct"/>
            <w:shd w:val="clear" w:color="auto" w:fill="auto"/>
            <w:hideMark/>
          </w:tcPr>
          <w:p w14:paraId="4FEB3E3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24,2</w:t>
            </w:r>
          </w:p>
        </w:tc>
        <w:tc>
          <w:tcPr>
            <w:tcW w:w="787" w:type="pct"/>
            <w:shd w:val="clear" w:color="auto" w:fill="auto"/>
            <w:hideMark/>
          </w:tcPr>
          <w:p w14:paraId="0EBED844"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28,5</w:t>
            </w:r>
          </w:p>
        </w:tc>
        <w:tc>
          <w:tcPr>
            <w:tcW w:w="787" w:type="pct"/>
          </w:tcPr>
          <w:p w14:paraId="4A7B6E16"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17,7</w:t>
            </w:r>
          </w:p>
        </w:tc>
        <w:tc>
          <w:tcPr>
            <w:tcW w:w="787" w:type="pct"/>
            <w:shd w:val="clear" w:color="auto" w:fill="auto"/>
            <w:hideMark/>
          </w:tcPr>
          <w:p w14:paraId="7C3B2378"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-12,8</w:t>
            </w:r>
          </w:p>
        </w:tc>
      </w:tr>
      <w:tr w:rsidR="00451ACB" w:rsidRPr="00451ACB" w14:paraId="381F1709" w14:textId="77777777" w:rsidTr="00451ACB">
        <w:trPr>
          <w:trHeight w:val="28"/>
          <w:tblHeader/>
          <w:jc w:val="right"/>
        </w:trPr>
        <w:tc>
          <w:tcPr>
            <w:tcW w:w="1852" w:type="pct"/>
            <w:shd w:val="clear" w:color="auto" w:fill="auto"/>
            <w:noWrap/>
            <w:vAlign w:val="center"/>
            <w:hideMark/>
          </w:tcPr>
          <w:p w14:paraId="60C2D8F5"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ПДВ</w:t>
            </w:r>
          </w:p>
        </w:tc>
        <w:tc>
          <w:tcPr>
            <w:tcW w:w="787" w:type="pct"/>
            <w:shd w:val="clear" w:color="auto" w:fill="auto"/>
            <w:hideMark/>
          </w:tcPr>
          <w:p w14:paraId="2E0A237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134,1</w:t>
            </w:r>
          </w:p>
        </w:tc>
        <w:tc>
          <w:tcPr>
            <w:tcW w:w="787" w:type="pct"/>
            <w:shd w:val="clear" w:color="auto" w:fill="auto"/>
            <w:hideMark/>
          </w:tcPr>
          <w:p w14:paraId="55FE8A3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139,2</w:t>
            </w:r>
          </w:p>
        </w:tc>
        <w:tc>
          <w:tcPr>
            <w:tcW w:w="787" w:type="pct"/>
          </w:tcPr>
          <w:p w14:paraId="2109CDA8"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3,8</w:t>
            </w:r>
          </w:p>
        </w:tc>
        <w:tc>
          <w:tcPr>
            <w:tcW w:w="787" w:type="pct"/>
            <w:shd w:val="clear" w:color="auto" w:fill="auto"/>
            <w:hideMark/>
          </w:tcPr>
          <w:p w14:paraId="10235FCE"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9,3</w:t>
            </w:r>
          </w:p>
        </w:tc>
      </w:tr>
      <w:tr w:rsidR="00451ACB" w:rsidRPr="00451ACB" w14:paraId="499A609C" w14:textId="77777777" w:rsidTr="00451ACB">
        <w:trPr>
          <w:trHeight w:val="28"/>
          <w:tblHeader/>
          <w:jc w:val="right"/>
        </w:trPr>
        <w:tc>
          <w:tcPr>
            <w:tcW w:w="1852" w:type="pct"/>
            <w:shd w:val="clear" w:color="auto" w:fill="auto"/>
            <w:noWrap/>
            <w:vAlign w:val="center"/>
            <w:hideMark/>
          </w:tcPr>
          <w:p w14:paraId="1BC38CC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Акцизе</w:t>
            </w:r>
          </w:p>
        </w:tc>
        <w:tc>
          <w:tcPr>
            <w:tcW w:w="787" w:type="pct"/>
            <w:shd w:val="clear" w:color="auto" w:fill="auto"/>
            <w:hideMark/>
          </w:tcPr>
          <w:p w14:paraId="37FBDC2C"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76,5</w:t>
            </w:r>
          </w:p>
        </w:tc>
        <w:tc>
          <w:tcPr>
            <w:tcW w:w="787" w:type="pct"/>
            <w:shd w:val="clear" w:color="auto" w:fill="auto"/>
            <w:hideMark/>
          </w:tcPr>
          <w:p w14:paraId="543A5AD3"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78,9</w:t>
            </w:r>
          </w:p>
        </w:tc>
        <w:tc>
          <w:tcPr>
            <w:tcW w:w="787" w:type="pct"/>
          </w:tcPr>
          <w:p w14:paraId="5DBB3E7F"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3,2</w:t>
            </w:r>
          </w:p>
        </w:tc>
        <w:tc>
          <w:tcPr>
            <w:tcW w:w="787" w:type="pct"/>
            <w:shd w:val="clear" w:color="auto" w:fill="auto"/>
            <w:hideMark/>
          </w:tcPr>
          <w:p w14:paraId="735972EA"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5,4</w:t>
            </w:r>
          </w:p>
        </w:tc>
      </w:tr>
      <w:tr w:rsidR="00451ACB" w:rsidRPr="00451ACB" w14:paraId="3D4C79B0" w14:textId="77777777" w:rsidTr="00451ACB">
        <w:trPr>
          <w:trHeight w:val="28"/>
          <w:tblHeader/>
          <w:jc w:val="right"/>
        </w:trPr>
        <w:tc>
          <w:tcPr>
            <w:tcW w:w="1852" w:type="pct"/>
            <w:shd w:val="clear" w:color="auto" w:fill="auto"/>
            <w:noWrap/>
            <w:vAlign w:val="center"/>
            <w:hideMark/>
          </w:tcPr>
          <w:p w14:paraId="4279263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Царине</w:t>
            </w:r>
          </w:p>
        </w:tc>
        <w:tc>
          <w:tcPr>
            <w:tcW w:w="787" w:type="pct"/>
            <w:shd w:val="clear" w:color="auto" w:fill="auto"/>
            <w:hideMark/>
          </w:tcPr>
          <w:p w14:paraId="3CBB511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11,9</w:t>
            </w:r>
          </w:p>
        </w:tc>
        <w:tc>
          <w:tcPr>
            <w:tcW w:w="787" w:type="pct"/>
            <w:shd w:val="clear" w:color="auto" w:fill="auto"/>
            <w:hideMark/>
          </w:tcPr>
          <w:p w14:paraId="79229BAB"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13,3</w:t>
            </w:r>
          </w:p>
        </w:tc>
        <w:tc>
          <w:tcPr>
            <w:tcW w:w="787" w:type="pct"/>
          </w:tcPr>
          <w:p w14:paraId="3FBAF7CA"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11,6</w:t>
            </w:r>
          </w:p>
        </w:tc>
        <w:tc>
          <w:tcPr>
            <w:tcW w:w="787" w:type="pct"/>
            <w:shd w:val="clear" w:color="auto" w:fill="auto"/>
            <w:hideMark/>
          </w:tcPr>
          <w:p w14:paraId="02C0E637"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9,0</w:t>
            </w:r>
          </w:p>
        </w:tc>
      </w:tr>
      <w:tr w:rsidR="00451ACB" w:rsidRPr="00451ACB" w14:paraId="31480510" w14:textId="77777777" w:rsidTr="00451ACB">
        <w:trPr>
          <w:trHeight w:val="28"/>
          <w:tblHeader/>
          <w:jc w:val="right"/>
        </w:trPr>
        <w:tc>
          <w:tcPr>
            <w:tcW w:w="1852" w:type="pct"/>
            <w:shd w:val="clear" w:color="auto" w:fill="auto"/>
            <w:noWrap/>
            <w:vAlign w:val="center"/>
            <w:hideMark/>
          </w:tcPr>
          <w:p w14:paraId="39E5272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Остали порески приходи</w:t>
            </w:r>
          </w:p>
        </w:tc>
        <w:tc>
          <w:tcPr>
            <w:tcW w:w="787" w:type="pct"/>
            <w:shd w:val="clear" w:color="auto" w:fill="auto"/>
            <w:hideMark/>
          </w:tcPr>
          <w:p w14:paraId="271B3E29"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18,2</w:t>
            </w:r>
          </w:p>
        </w:tc>
        <w:tc>
          <w:tcPr>
            <w:tcW w:w="787" w:type="pct"/>
            <w:shd w:val="clear" w:color="auto" w:fill="auto"/>
            <w:hideMark/>
          </w:tcPr>
          <w:p w14:paraId="5B2C799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20,9</w:t>
            </w:r>
          </w:p>
        </w:tc>
        <w:tc>
          <w:tcPr>
            <w:tcW w:w="787" w:type="pct"/>
          </w:tcPr>
          <w:p w14:paraId="5440A53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14,7</w:t>
            </w:r>
          </w:p>
        </w:tc>
        <w:tc>
          <w:tcPr>
            <w:tcW w:w="787" w:type="pct"/>
            <w:shd w:val="clear" w:color="auto" w:fill="auto"/>
            <w:hideMark/>
          </w:tcPr>
          <w:p w14:paraId="4F0FEEC6"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4,3</w:t>
            </w:r>
          </w:p>
        </w:tc>
      </w:tr>
      <w:tr w:rsidR="00451ACB" w:rsidRPr="00451ACB" w14:paraId="5FD0C1A3" w14:textId="77777777" w:rsidTr="00451ACB">
        <w:trPr>
          <w:trHeight w:val="28"/>
          <w:tblHeader/>
          <w:jc w:val="right"/>
        </w:trPr>
        <w:tc>
          <w:tcPr>
            <w:tcW w:w="1852" w:type="pct"/>
            <w:shd w:val="clear" w:color="auto" w:fill="auto"/>
            <w:noWrap/>
            <w:vAlign w:val="center"/>
            <w:hideMark/>
          </w:tcPr>
          <w:p w14:paraId="32F6F634"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Доприноси</w:t>
            </w:r>
          </w:p>
        </w:tc>
        <w:tc>
          <w:tcPr>
            <w:tcW w:w="787" w:type="pct"/>
            <w:shd w:val="clear" w:color="auto" w:fill="auto"/>
            <w:hideMark/>
          </w:tcPr>
          <w:p w14:paraId="474FF5F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167,6</w:t>
            </w:r>
          </w:p>
        </w:tc>
        <w:tc>
          <w:tcPr>
            <w:tcW w:w="787" w:type="pct"/>
            <w:shd w:val="clear" w:color="auto" w:fill="auto"/>
            <w:hideMark/>
          </w:tcPr>
          <w:p w14:paraId="619CE797"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194,8</w:t>
            </w:r>
          </w:p>
        </w:tc>
        <w:tc>
          <w:tcPr>
            <w:tcW w:w="787" w:type="pct"/>
          </w:tcPr>
          <w:p w14:paraId="5B6D6F49"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16,2</w:t>
            </w:r>
          </w:p>
        </w:tc>
        <w:tc>
          <w:tcPr>
            <w:tcW w:w="787" w:type="pct"/>
            <w:shd w:val="clear" w:color="auto" w:fill="auto"/>
            <w:hideMark/>
          </w:tcPr>
          <w:p w14:paraId="10531EC9"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21,1</w:t>
            </w:r>
          </w:p>
        </w:tc>
      </w:tr>
      <w:tr w:rsidR="00451ACB" w:rsidRPr="00451ACB" w14:paraId="52FACF7E" w14:textId="77777777" w:rsidTr="00451ACB">
        <w:trPr>
          <w:trHeight w:val="28"/>
          <w:tblHeader/>
          <w:jc w:val="right"/>
        </w:trPr>
        <w:tc>
          <w:tcPr>
            <w:tcW w:w="1852" w:type="pct"/>
            <w:shd w:val="clear" w:color="auto" w:fill="auto"/>
            <w:noWrap/>
            <w:vAlign w:val="center"/>
            <w:hideMark/>
          </w:tcPr>
          <w:p w14:paraId="66A1620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Непорески приходи</w:t>
            </w:r>
          </w:p>
        </w:tc>
        <w:tc>
          <w:tcPr>
            <w:tcW w:w="787" w:type="pct"/>
            <w:shd w:val="clear" w:color="auto" w:fill="auto"/>
            <w:hideMark/>
          </w:tcPr>
          <w:p w14:paraId="583AA24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52,3</w:t>
            </w:r>
          </w:p>
        </w:tc>
        <w:tc>
          <w:tcPr>
            <w:tcW w:w="787" w:type="pct"/>
            <w:shd w:val="clear" w:color="auto" w:fill="auto"/>
            <w:hideMark/>
          </w:tcPr>
          <w:p w14:paraId="5C6F46D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57,6</w:t>
            </w:r>
          </w:p>
        </w:tc>
        <w:tc>
          <w:tcPr>
            <w:tcW w:w="787" w:type="pct"/>
          </w:tcPr>
          <w:p w14:paraId="33FCAA66"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10,2</w:t>
            </w:r>
          </w:p>
        </w:tc>
        <w:tc>
          <w:tcPr>
            <w:tcW w:w="787" w:type="pct"/>
            <w:shd w:val="clear" w:color="auto" w:fill="auto"/>
            <w:hideMark/>
          </w:tcPr>
          <w:p w14:paraId="7F21E929"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-7,1</w:t>
            </w:r>
          </w:p>
        </w:tc>
      </w:tr>
      <w:tr w:rsidR="00451ACB" w:rsidRPr="00451ACB" w14:paraId="50A04CE1" w14:textId="77777777" w:rsidTr="00451ACB">
        <w:trPr>
          <w:trHeight w:val="28"/>
          <w:tblHeader/>
          <w:jc w:val="right"/>
        </w:trPr>
        <w:tc>
          <w:tcPr>
            <w:tcW w:w="1852" w:type="pct"/>
            <w:shd w:val="clear" w:color="auto" w:fill="auto"/>
            <w:noWrap/>
            <w:vAlign w:val="center"/>
            <w:hideMark/>
          </w:tcPr>
          <w:p w14:paraId="7AF6E984"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Донације</w:t>
            </w:r>
          </w:p>
        </w:tc>
        <w:tc>
          <w:tcPr>
            <w:tcW w:w="787" w:type="pct"/>
            <w:shd w:val="clear" w:color="auto" w:fill="auto"/>
            <w:hideMark/>
          </w:tcPr>
          <w:p w14:paraId="6D69578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3,0</w:t>
            </w:r>
          </w:p>
        </w:tc>
        <w:tc>
          <w:tcPr>
            <w:tcW w:w="787" w:type="pct"/>
            <w:shd w:val="clear" w:color="auto" w:fill="auto"/>
            <w:hideMark/>
          </w:tcPr>
          <w:p w14:paraId="7D4EAEBA"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5,7</w:t>
            </w:r>
          </w:p>
        </w:tc>
        <w:tc>
          <w:tcPr>
            <w:tcW w:w="787" w:type="pct"/>
          </w:tcPr>
          <w:p w14:paraId="4E91FEB2"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94,7</w:t>
            </w:r>
          </w:p>
        </w:tc>
        <w:tc>
          <w:tcPr>
            <w:tcW w:w="787" w:type="pct"/>
            <w:shd w:val="clear" w:color="auto" w:fill="auto"/>
            <w:hideMark/>
          </w:tcPr>
          <w:p w14:paraId="51E4C682"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75,8</w:t>
            </w:r>
          </w:p>
        </w:tc>
      </w:tr>
      <w:tr w:rsidR="00451ACB" w:rsidRPr="00451ACB" w14:paraId="216AB924" w14:textId="77777777" w:rsidTr="00451ACB">
        <w:trPr>
          <w:trHeight w:val="28"/>
          <w:tblHeader/>
          <w:jc w:val="right"/>
        </w:trPr>
        <w:tc>
          <w:tcPr>
            <w:tcW w:w="1852" w:type="pct"/>
            <w:shd w:val="clear" w:color="auto" w:fill="E7E6E6" w:themeFill="background2"/>
            <w:noWrap/>
            <w:vAlign w:val="center"/>
            <w:hideMark/>
          </w:tcPr>
          <w:p w14:paraId="30B243E8"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ЈАВНИ РАСХОДИ</w:t>
            </w:r>
          </w:p>
        </w:tc>
        <w:tc>
          <w:tcPr>
            <w:tcW w:w="787" w:type="pct"/>
            <w:shd w:val="clear" w:color="auto" w:fill="E7E6E6" w:themeFill="background2"/>
            <w:hideMark/>
          </w:tcPr>
          <w:p w14:paraId="41E3F1E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589,1</w:t>
            </w:r>
          </w:p>
        </w:tc>
        <w:tc>
          <w:tcPr>
            <w:tcW w:w="787" w:type="pct"/>
            <w:shd w:val="clear" w:color="auto" w:fill="E7E6E6" w:themeFill="background2"/>
            <w:noWrap/>
            <w:hideMark/>
          </w:tcPr>
          <w:p w14:paraId="60C3DD7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607,2</w:t>
            </w:r>
          </w:p>
        </w:tc>
        <w:tc>
          <w:tcPr>
            <w:tcW w:w="787" w:type="pct"/>
            <w:shd w:val="clear" w:color="auto" w:fill="E7E6E6" w:themeFill="background2"/>
          </w:tcPr>
          <w:p w14:paraId="55151BEA"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3,1</w:t>
            </w:r>
          </w:p>
        </w:tc>
        <w:tc>
          <w:tcPr>
            <w:tcW w:w="787" w:type="pct"/>
            <w:shd w:val="clear" w:color="auto" w:fill="E7E6E6" w:themeFill="background2"/>
            <w:hideMark/>
          </w:tcPr>
          <w:p w14:paraId="25DCC47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7,2</w:t>
            </w:r>
          </w:p>
        </w:tc>
      </w:tr>
      <w:tr w:rsidR="00451ACB" w:rsidRPr="00451ACB" w14:paraId="62974E49" w14:textId="77777777" w:rsidTr="00451ACB">
        <w:trPr>
          <w:trHeight w:val="28"/>
          <w:tblHeader/>
          <w:jc w:val="right"/>
        </w:trPr>
        <w:tc>
          <w:tcPr>
            <w:tcW w:w="1852" w:type="pct"/>
            <w:shd w:val="clear" w:color="auto" w:fill="auto"/>
            <w:noWrap/>
            <w:vAlign w:val="center"/>
            <w:hideMark/>
          </w:tcPr>
          <w:p w14:paraId="164D69BB"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Текући расходи</w:t>
            </w:r>
          </w:p>
        </w:tc>
        <w:tc>
          <w:tcPr>
            <w:tcW w:w="787" w:type="pct"/>
            <w:shd w:val="clear" w:color="auto" w:fill="auto"/>
            <w:hideMark/>
          </w:tcPr>
          <w:p w14:paraId="32DDE1A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530,6</w:t>
            </w:r>
          </w:p>
        </w:tc>
        <w:tc>
          <w:tcPr>
            <w:tcW w:w="787" w:type="pct"/>
            <w:shd w:val="clear" w:color="auto" w:fill="auto"/>
            <w:noWrap/>
            <w:hideMark/>
          </w:tcPr>
          <w:p w14:paraId="0525CE4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542,0</w:t>
            </w:r>
          </w:p>
        </w:tc>
        <w:tc>
          <w:tcPr>
            <w:tcW w:w="787" w:type="pct"/>
          </w:tcPr>
          <w:p w14:paraId="16667B9E"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2,1</w:t>
            </w:r>
          </w:p>
        </w:tc>
        <w:tc>
          <w:tcPr>
            <w:tcW w:w="787" w:type="pct"/>
            <w:shd w:val="clear" w:color="auto" w:fill="auto"/>
            <w:hideMark/>
          </w:tcPr>
          <w:p w14:paraId="74A1145E"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3,2</w:t>
            </w:r>
          </w:p>
        </w:tc>
      </w:tr>
      <w:tr w:rsidR="00451ACB" w:rsidRPr="00451ACB" w14:paraId="1785A7FC" w14:textId="77777777" w:rsidTr="00451ACB">
        <w:trPr>
          <w:trHeight w:val="28"/>
          <w:tblHeader/>
          <w:jc w:val="right"/>
        </w:trPr>
        <w:tc>
          <w:tcPr>
            <w:tcW w:w="1852" w:type="pct"/>
            <w:shd w:val="clear" w:color="auto" w:fill="auto"/>
            <w:noWrap/>
            <w:vAlign w:val="center"/>
            <w:hideMark/>
          </w:tcPr>
          <w:p w14:paraId="61A33556"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Расходи за запослене</w:t>
            </w:r>
          </w:p>
        </w:tc>
        <w:tc>
          <w:tcPr>
            <w:tcW w:w="787" w:type="pct"/>
            <w:shd w:val="clear" w:color="auto" w:fill="auto"/>
            <w:hideMark/>
          </w:tcPr>
          <w:p w14:paraId="4D4216E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139,9</w:t>
            </w:r>
          </w:p>
        </w:tc>
        <w:tc>
          <w:tcPr>
            <w:tcW w:w="787" w:type="pct"/>
            <w:shd w:val="clear" w:color="auto" w:fill="auto"/>
            <w:hideMark/>
          </w:tcPr>
          <w:p w14:paraId="7B74B27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153,1</w:t>
            </w:r>
          </w:p>
        </w:tc>
        <w:tc>
          <w:tcPr>
            <w:tcW w:w="787" w:type="pct"/>
          </w:tcPr>
          <w:p w14:paraId="46F0762C"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9,4</w:t>
            </w:r>
          </w:p>
        </w:tc>
        <w:tc>
          <w:tcPr>
            <w:tcW w:w="787" w:type="pct"/>
            <w:shd w:val="clear" w:color="auto" w:fill="auto"/>
            <w:hideMark/>
          </w:tcPr>
          <w:p w14:paraId="11F24D21"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6,4</w:t>
            </w:r>
          </w:p>
        </w:tc>
      </w:tr>
      <w:tr w:rsidR="00451ACB" w:rsidRPr="00451ACB" w14:paraId="3FBE9C7C" w14:textId="77777777" w:rsidTr="00451ACB">
        <w:trPr>
          <w:trHeight w:val="28"/>
          <w:tblHeader/>
          <w:jc w:val="right"/>
        </w:trPr>
        <w:tc>
          <w:tcPr>
            <w:tcW w:w="1852" w:type="pct"/>
            <w:shd w:val="clear" w:color="auto" w:fill="auto"/>
            <w:noWrap/>
            <w:vAlign w:val="center"/>
            <w:hideMark/>
          </w:tcPr>
          <w:p w14:paraId="7D8A1C79"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Куповина робе и услуга</w:t>
            </w:r>
          </w:p>
        </w:tc>
        <w:tc>
          <w:tcPr>
            <w:tcW w:w="787" w:type="pct"/>
            <w:shd w:val="clear" w:color="auto" w:fill="auto"/>
            <w:hideMark/>
          </w:tcPr>
          <w:p w14:paraId="36735B6C"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96,2</w:t>
            </w:r>
          </w:p>
        </w:tc>
        <w:tc>
          <w:tcPr>
            <w:tcW w:w="787" w:type="pct"/>
            <w:shd w:val="clear" w:color="auto" w:fill="auto"/>
            <w:hideMark/>
          </w:tcPr>
          <w:p w14:paraId="028715AE"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96,8</w:t>
            </w:r>
          </w:p>
        </w:tc>
        <w:tc>
          <w:tcPr>
            <w:tcW w:w="787" w:type="pct"/>
          </w:tcPr>
          <w:p w14:paraId="135766B7"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0,6</w:t>
            </w:r>
          </w:p>
        </w:tc>
        <w:tc>
          <w:tcPr>
            <w:tcW w:w="787" w:type="pct"/>
            <w:shd w:val="clear" w:color="auto" w:fill="auto"/>
            <w:hideMark/>
          </w:tcPr>
          <w:p w14:paraId="1B0C3E4C"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9,6</w:t>
            </w:r>
          </w:p>
        </w:tc>
      </w:tr>
      <w:tr w:rsidR="00451ACB" w:rsidRPr="00451ACB" w14:paraId="10DA3E29" w14:textId="77777777" w:rsidTr="00451ACB">
        <w:trPr>
          <w:trHeight w:val="28"/>
          <w:tblHeader/>
          <w:jc w:val="right"/>
        </w:trPr>
        <w:tc>
          <w:tcPr>
            <w:tcW w:w="1852" w:type="pct"/>
            <w:shd w:val="clear" w:color="auto" w:fill="auto"/>
            <w:noWrap/>
            <w:vAlign w:val="center"/>
            <w:hideMark/>
          </w:tcPr>
          <w:p w14:paraId="0E8627B4"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Отплата камата</w:t>
            </w:r>
          </w:p>
        </w:tc>
        <w:tc>
          <w:tcPr>
            <w:tcW w:w="787" w:type="pct"/>
            <w:shd w:val="clear" w:color="auto" w:fill="auto"/>
            <w:hideMark/>
          </w:tcPr>
          <w:p w14:paraId="4BADD206"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47,3</w:t>
            </w:r>
          </w:p>
        </w:tc>
        <w:tc>
          <w:tcPr>
            <w:tcW w:w="787" w:type="pct"/>
            <w:shd w:val="clear" w:color="auto" w:fill="auto"/>
            <w:hideMark/>
          </w:tcPr>
          <w:p w14:paraId="665EFB68"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48,2</w:t>
            </w:r>
          </w:p>
        </w:tc>
        <w:tc>
          <w:tcPr>
            <w:tcW w:w="787" w:type="pct"/>
          </w:tcPr>
          <w:p w14:paraId="64DFACB4"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1,8</w:t>
            </w:r>
          </w:p>
        </w:tc>
        <w:tc>
          <w:tcPr>
            <w:tcW w:w="787" w:type="pct"/>
            <w:shd w:val="clear" w:color="auto" w:fill="auto"/>
            <w:hideMark/>
          </w:tcPr>
          <w:p w14:paraId="73F1731E"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3,1</w:t>
            </w:r>
          </w:p>
        </w:tc>
      </w:tr>
      <w:tr w:rsidR="00451ACB" w:rsidRPr="00451ACB" w14:paraId="1F69B352" w14:textId="77777777" w:rsidTr="00451ACB">
        <w:trPr>
          <w:trHeight w:val="28"/>
          <w:tblHeader/>
          <w:jc w:val="right"/>
        </w:trPr>
        <w:tc>
          <w:tcPr>
            <w:tcW w:w="1852" w:type="pct"/>
            <w:shd w:val="clear" w:color="auto" w:fill="auto"/>
            <w:noWrap/>
            <w:vAlign w:val="center"/>
            <w:hideMark/>
          </w:tcPr>
          <w:p w14:paraId="1F8F72E7"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Субвенције</w:t>
            </w:r>
          </w:p>
        </w:tc>
        <w:tc>
          <w:tcPr>
            <w:tcW w:w="787" w:type="pct"/>
            <w:shd w:val="clear" w:color="auto" w:fill="auto"/>
            <w:hideMark/>
          </w:tcPr>
          <w:p w14:paraId="5D37D0B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25,9</w:t>
            </w:r>
          </w:p>
        </w:tc>
        <w:tc>
          <w:tcPr>
            <w:tcW w:w="787" w:type="pct"/>
            <w:shd w:val="clear" w:color="auto" w:fill="auto"/>
            <w:hideMark/>
          </w:tcPr>
          <w:p w14:paraId="41501E81"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25,5</w:t>
            </w:r>
          </w:p>
        </w:tc>
        <w:tc>
          <w:tcPr>
            <w:tcW w:w="787" w:type="pct"/>
          </w:tcPr>
          <w:p w14:paraId="39AF2304"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-1,6</w:t>
            </w:r>
          </w:p>
        </w:tc>
        <w:tc>
          <w:tcPr>
            <w:tcW w:w="787" w:type="pct"/>
            <w:shd w:val="clear" w:color="auto" w:fill="auto"/>
            <w:hideMark/>
          </w:tcPr>
          <w:p w14:paraId="0EDF165D"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-13,1</w:t>
            </w:r>
          </w:p>
        </w:tc>
      </w:tr>
      <w:tr w:rsidR="00451ACB" w:rsidRPr="00451ACB" w14:paraId="08C886E8" w14:textId="77777777" w:rsidTr="00451ACB">
        <w:trPr>
          <w:trHeight w:val="28"/>
          <w:tblHeader/>
          <w:jc w:val="right"/>
        </w:trPr>
        <w:tc>
          <w:tcPr>
            <w:tcW w:w="1852" w:type="pct"/>
            <w:shd w:val="clear" w:color="auto" w:fill="auto"/>
            <w:noWrap/>
            <w:vAlign w:val="center"/>
            <w:hideMark/>
          </w:tcPr>
          <w:p w14:paraId="351119D8"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Социјална помоћ и трансфери</w:t>
            </w:r>
          </w:p>
        </w:tc>
        <w:tc>
          <w:tcPr>
            <w:tcW w:w="787" w:type="pct"/>
            <w:shd w:val="clear" w:color="auto" w:fill="auto"/>
            <w:hideMark/>
          </w:tcPr>
          <w:p w14:paraId="6C19512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194,6</w:t>
            </w:r>
          </w:p>
        </w:tc>
        <w:tc>
          <w:tcPr>
            <w:tcW w:w="787" w:type="pct"/>
            <w:shd w:val="clear" w:color="auto" w:fill="auto"/>
            <w:hideMark/>
          </w:tcPr>
          <w:p w14:paraId="224A3AC7"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202,4</w:t>
            </w:r>
          </w:p>
        </w:tc>
        <w:tc>
          <w:tcPr>
            <w:tcW w:w="787" w:type="pct"/>
          </w:tcPr>
          <w:p w14:paraId="14BDAB67"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4,0</w:t>
            </w:r>
          </w:p>
        </w:tc>
        <w:tc>
          <w:tcPr>
            <w:tcW w:w="787" w:type="pct"/>
            <w:shd w:val="clear" w:color="auto" w:fill="auto"/>
            <w:hideMark/>
          </w:tcPr>
          <w:p w14:paraId="4B65505B"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6,9</w:t>
            </w:r>
          </w:p>
        </w:tc>
      </w:tr>
      <w:tr w:rsidR="00451ACB" w:rsidRPr="00451ACB" w14:paraId="7EE59E59" w14:textId="77777777" w:rsidTr="00451ACB">
        <w:trPr>
          <w:trHeight w:val="28"/>
          <w:tblHeader/>
          <w:jc w:val="right"/>
        </w:trPr>
        <w:tc>
          <w:tcPr>
            <w:tcW w:w="1852" w:type="pct"/>
            <w:shd w:val="clear" w:color="auto" w:fill="auto"/>
            <w:noWrap/>
            <w:vAlign w:val="center"/>
            <w:hideMark/>
          </w:tcPr>
          <w:p w14:paraId="0FEC2F93"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од чега пензије</w:t>
            </w:r>
          </w:p>
        </w:tc>
        <w:tc>
          <w:tcPr>
            <w:tcW w:w="787" w:type="pct"/>
            <w:shd w:val="clear" w:color="auto" w:fill="auto"/>
            <w:hideMark/>
          </w:tcPr>
          <w:p w14:paraId="72E9E434"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144,9</w:t>
            </w:r>
          </w:p>
        </w:tc>
        <w:tc>
          <w:tcPr>
            <w:tcW w:w="787" w:type="pct"/>
            <w:shd w:val="clear" w:color="auto" w:fill="auto"/>
            <w:hideMark/>
          </w:tcPr>
          <w:p w14:paraId="11E49BE0"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151,1</w:t>
            </w:r>
          </w:p>
        </w:tc>
        <w:tc>
          <w:tcPr>
            <w:tcW w:w="787" w:type="pct"/>
          </w:tcPr>
          <w:p w14:paraId="0A3C92F5"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4,3</w:t>
            </w:r>
          </w:p>
        </w:tc>
        <w:tc>
          <w:tcPr>
            <w:tcW w:w="787" w:type="pct"/>
            <w:shd w:val="clear" w:color="auto" w:fill="auto"/>
            <w:hideMark/>
          </w:tcPr>
          <w:p w14:paraId="50DE656B"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5,7</w:t>
            </w:r>
          </w:p>
        </w:tc>
      </w:tr>
      <w:tr w:rsidR="00451ACB" w:rsidRPr="00451ACB" w14:paraId="2352EAF4" w14:textId="77777777" w:rsidTr="00451ACB">
        <w:trPr>
          <w:trHeight w:val="28"/>
          <w:tblHeader/>
          <w:jc w:val="right"/>
        </w:trPr>
        <w:tc>
          <w:tcPr>
            <w:tcW w:w="1852" w:type="pct"/>
            <w:shd w:val="clear" w:color="auto" w:fill="auto"/>
            <w:noWrap/>
            <w:vAlign w:val="center"/>
            <w:hideMark/>
          </w:tcPr>
          <w:p w14:paraId="49F8AC6D"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Остали текући расходи</w:t>
            </w:r>
          </w:p>
        </w:tc>
        <w:tc>
          <w:tcPr>
            <w:tcW w:w="787" w:type="pct"/>
            <w:shd w:val="clear" w:color="auto" w:fill="auto"/>
            <w:hideMark/>
          </w:tcPr>
          <w:p w14:paraId="63FBA13F"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26,7</w:t>
            </w:r>
          </w:p>
        </w:tc>
        <w:tc>
          <w:tcPr>
            <w:tcW w:w="787" w:type="pct"/>
            <w:shd w:val="clear" w:color="auto" w:fill="auto"/>
            <w:hideMark/>
          </w:tcPr>
          <w:p w14:paraId="4765CAF3"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16,1</w:t>
            </w:r>
          </w:p>
        </w:tc>
        <w:tc>
          <w:tcPr>
            <w:tcW w:w="787" w:type="pct"/>
          </w:tcPr>
          <w:p w14:paraId="272796AF"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-39,8</w:t>
            </w:r>
          </w:p>
        </w:tc>
        <w:tc>
          <w:tcPr>
            <w:tcW w:w="787" w:type="pct"/>
            <w:shd w:val="clear" w:color="auto" w:fill="auto"/>
            <w:hideMark/>
          </w:tcPr>
          <w:p w14:paraId="34CC7936"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-18,1</w:t>
            </w:r>
          </w:p>
        </w:tc>
      </w:tr>
      <w:tr w:rsidR="00451ACB" w:rsidRPr="00451ACB" w14:paraId="49D382CF" w14:textId="77777777" w:rsidTr="00451ACB">
        <w:trPr>
          <w:trHeight w:val="28"/>
          <w:tblHeader/>
          <w:jc w:val="right"/>
        </w:trPr>
        <w:tc>
          <w:tcPr>
            <w:tcW w:w="1852" w:type="pct"/>
            <w:shd w:val="clear" w:color="auto" w:fill="auto"/>
            <w:noWrap/>
            <w:vAlign w:val="center"/>
            <w:hideMark/>
          </w:tcPr>
          <w:p w14:paraId="3F0C606B"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Капитални расходи</w:t>
            </w:r>
          </w:p>
        </w:tc>
        <w:tc>
          <w:tcPr>
            <w:tcW w:w="787" w:type="pct"/>
            <w:shd w:val="clear" w:color="auto" w:fill="auto"/>
            <w:hideMark/>
          </w:tcPr>
          <w:p w14:paraId="58DBB12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54,9</w:t>
            </w:r>
          </w:p>
        </w:tc>
        <w:tc>
          <w:tcPr>
            <w:tcW w:w="787" w:type="pct"/>
            <w:shd w:val="clear" w:color="auto" w:fill="auto"/>
            <w:hideMark/>
          </w:tcPr>
          <w:p w14:paraId="7F28F00C"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62,4</w:t>
            </w:r>
          </w:p>
        </w:tc>
        <w:tc>
          <w:tcPr>
            <w:tcW w:w="787" w:type="pct"/>
          </w:tcPr>
          <w:p w14:paraId="608E015B"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13,7</w:t>
            </w:r>
          </w:p>
        </w:tc>
        <w:tc>
          <w:tcPr>
            <w:tcW w:w="787" w:type="pct"/>
            <w:shd w:val="clear" w:color="auto" w:fill="auto"/>
            <w:hideMark/>
          </w:tcPr>
          <w:p w14:paraId="42D6E9C8"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46,5</w:t>
            </w:r>
          </w:p>
        </w:tc>
      </w:tr>
      <w:tr w:rsidR="00451ACB" w:rsidRPr="00451ACB" w14:paraId="14C93B0C" w14:textId="77777777" w:rsidTr="00451ACB">
        <w:trPr>
          <w:trHeight w:val="28"/>
          <w:tblHeader/>
          <w:jc w:val="right"/>
        </w:trPr>
        <w:tc>
          <w:tcPr>
            <w:tcW w:w="1852" w:type="pct"/>
            <w:shd w:val="clear" w:color="auto" w:fill="auto"/>
            <w:noWrap/>
            <w:vAlign w:val="center"/>
            <w:hideMark/>
          </w:tcPr>
          <w:p w14:paraId="524E2148"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Нето буџетске позајмице</w:t>
            </w:r>
          </w:p>
        </w:tc>
        <w:tc>
          <w:tcPr>
            <w:tcW w:w="787" w:type="pct"/>
            <w:shd w:val="clear" w:color="auto" w:fill="auto"/>
            <w:hideMark/>
          </w:tcPr>
          <w:p w14:paraId="1A5F9815"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2,0</w:t>
            </w:r>
          </w:p>
        </w:tc>
        <w:tc>
          <w:tcPr>
            <w:tcW w:w="787" w:type="pct"/>
            <w:shd w:val="clear" w:color="auto" w:fill="auto"/>
            <w:hideMark/>
          </w:tcPr>
          <w:p w14:paraId="605A17B2"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1,0</w:t>
            </w:r>
          </w:p>
        </w:tc>
        <w:tc>
          <w:tcPr>
            <w:tcW w:w="787" w:type="pct"/>
          </w:tcPr>
          <w:p w14:paraId="7B4BFF19"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-50,6</w:t>
            </w:r>
          </w:p>
        </w:tc>
        <w:tc>
          <w:tcPr>
            <w:tcW w:w="787" w:type="pct"/>
            <w:shd w:val="clear" w:color="auto" w:fill="auto"/>
            <w:hideMark/>
          </w:tcPr>
          <w:p w14:paraId="2D865074"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-49,4</w:t>
            </w:r>
          </w:p>
        </w:tc>
      </w:tr>
      <w:tr w:rsidR="00451ACB" w:rsidRPr="00451ACB" w14:paraId="19BF3926" w14:textId="77777777" w:rsidTr="00451ACB">
        <w:trPr>
          <w:trHeight w:val="28"/>
          <w:tblHeader/>
          <w:jc w:val="right"/>
        </w:trPr>
        <w:tc>
          <w:tcPr>
            <w:tcW w:w="1852" w:type="pct"/>
            <w:shd w:val="clear" w:color="auto" w:fill="auto"/>
            <w:noWrap/>
            <w:vAlign w:val="center"/>
            <w:hideMark/>
          </w:tcPr>
          <w:p w14:paraId="06EB0B16" w14:textId="77777777" w:rsidR="001E3E7D" w:rsidRPr="00CD7EDF" w:rsidRDefault="001E3E7D" w:rsidP="008265F0">
            <w:pPr>
              <w:spacing w:after="0" w:line="240" w:lineRule="auto"/>
              <w:jc w:val="left"/>
              <w:rPr>
                <w:rFonts w:eastAsia="MS PGothic" w:cstheme="minorHAnsi"/>
                <w:color w:val="002060"/>
                <w:sz w:val="18"/>
                <w:szCs w:val="18"/>
                <w:lang w:val="sr-Cyrl-RS" w:eastAsia="ja-JP"/>
              </w:rPr>
            </w:pPr>
            <w:r w:rsidRPr="00CD7EDF">
              <w:rPr>
                <w:rFonts w:eastAsia="MS PGothic" w:cstheme="minorHAnsi"/>
                <w:color w:val="002060"/>
                <w:sz w:val="18"/>
                <w:szCs w:val="18"/>
                <w:lang w:val="sr-Cyrl-RS" w:eastAsia="ja-JP"/>
              </w:rPr>
              <w:t>Активиране гаранције</w:t>
            </w:r>
          </w:p>
        </w:tc>
        <w:tc>
          <w:tcPr>
            <w:tcW w:w="787" w:type="pct"/>
            <w:shd w:val="clear" w:color="auto" w:fill="auto"/>
            <w:hideMark/>
          </w:tcPr>
          <w:p w14:paraId="021508AA"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1,6</w:t>
            </w:r>
          </w:p>
        </w:tc>
        <w:tc>
          <w:tcPr>
            <w:tcW w:w="787" w:type="pct"/>
            <w:shd w:val="clear" w:color="auto" w:fill="auto"/>
            <w:hideMark/>
          </w:tcPr>
          <w:p w14:paraId="7BFA01AD"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1,8</w:t>
            </w:r>
          </w:p>
        </w:tc>
        <w:tc>
          <w:tcPr>
            <w:tcW w:w="787" w:type="pct"/>
          </w:tcPr>
          <w:p w14:paraId="411F323A"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7,8</w:t>
            </w:r>
          </w:p>
        </w:tc>
        <w:tc>
          <w:tcPr>
            <w:tcW w:w="787" w:type="pct"/>
            <w:shd w:val="clear" w:color="auto" w:fill="auto"/>
            <w:hideMark/>
          </w:tcPr>
          <w:p w14:paraId="64D6A685" w14:textId="77777777" w:rsidR="001E3E7D" w:rsidRPr="00CD7EDF" w:rsidRDefault="001E3E7D" w:rsidP="008265F0">
            <w:pPr>
              <w:spacing w:after="0" w:line="240" w:lineRule="auto"/>
              <w:ind w:right="510"/>
              <w:jc w:val="right"/>
              <w:rPr>
                <w:rFonts w:cstheme="minorHAnsi"/>
                <w:color w:val="002060"/>
                <w:sz w:val="18"/>
                <w:szCs w:val="18"/>
                <w:lang w:val="sr-Cyrl-RS"/>
              </w:rPr>
            </w:pPr>
            <w:r w:rsidRPr="00CD7EDF">
              <w:rPr>
                <w:rFonts w:cstheme="minorHAnsi"/>
                <w:color w:val="002060"/>
                <w:sz w:val="18"/>
                <w:szCs w:val="18"/>
              </w:rPr>
              <w:t>57,0</w:t>
            </w:r>
          </w:p>
        </w:tc>
      </w:tr>
      <w:tr w:rsidR="00451ACB" w:rsidRPr="00451ACB" w14:paraId="5B1F3A48" w14:textId="77777777" w:rsidTr="00451ACB">
        <w:trPr>
          <w:trHeight w:val="28"/>
          <w:tblHeader/>
          <w:jc w:val="right"/>
        </w:trPr>
        <w:tc>
          <w:tcPr>
            <w:tcW w:w="1852" w:type="pct"/>
            <w:tcBorders>
              <w:bottom w:val="single" w:sz="4" w:space="0" w:color="002060"/>
            </w:tcBorders>
            <w:shd w:val="clear" w:color="auto" w:fill="E7E6E6" w:themeFill="background2"/>
            <w:noWrap/>
            <w:vAlign w:val="center"/>
            <w:hideMark/>
          </w:tcPr>
          <w:p w14:paraId="580031CF" w14:textId="77777777" w:rsidR="001E3E7D" w:rsidRPr="00CD7EDF" w:rsidRDefault="001E3E7D" w:rsidP="008265F0">
            <w:pPr>
              <w:spacing w:after="0" w:line="240" w:lineRule="auto"/>
              <w:jc w:val="left"/>
              <w:rPr>
                <w:rFonts w:cstheme="minorHAnsi"/>
                <w:color w:val="002060"/>
                <w:sz w:val="18"/>
                <w:szCs w:val="18"/>
                <w:lang w:val="sr-Cyrl-RS"/>
              </w:rPr>
            </w:pPr>
            <w:r w:rsidRPr="00CD7EDF">
              <w:rPr>
                <w:rFonts w:eastAsia="MS PGothic" w:cstheme="minorHAnsi"/>
                <w:color w:val="002060"/>
                <w:sz w:val="18"/>
                <w:szCs w:val="18"/>
                <w:lang w:val="sr-Cyrl-RS" w:eastAsia="ja-JP"/>
              </w:rPr>
              <w:t>Фискални резултат</w:t>
            </w:r>
          </w:p>
        </w:tc>
        <w:tc>
          <w:tcPr>
            <w:tcW w:w="787" w:type="pct"/>
            <w:tcBorders>
              <w:bottom w:val="single" w:sz="4" w:space="0" w:color="002060"/>
            </w:tcBorders>
            <w:shd w:val="clear" w:color="auto" w:fill="E7E6E6" w:themeFill="background2"/>
            <w:hideMark/>
          </w:tcPr>
          <w:p w14:paraId="1A83A539"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-52,2</w:t>
            </w:r>
          </w:p>
        </w:tc>
        <w:tc>
          <w:tcPr>
            <w:tcW w:w="787" w:type="pct"/>
            <w:tcBorders>
              <w:bottom w:val="single" w:sz="4" w:space="0" w:color="002060"/>
            </w:tcBorders>
            <w:shd w:val="clear" w:color="auto" w:fill="E7E6E6" w:themeFill="background2"/>
            <w:hideMark/>
          </w:tcPr>
          <w:p w14:paraId="47663913" w14:textId="77777777" w:rsidR="001E3E7D" w:rsidRPr="00CD7EDF" w:rsidRDefault="001E3E7D" w:rsidP="008265F0">
            <w:pPr>
              <w:spacing w:after="0" w:line="240" w:lineRule="auto"/>
              <w:ind w:right="340"/>
              <w:jc w:val="right"/>
              <w:rPr>
                <w:rFonts w:cstheme="minorHAnsi"/>
                <w:color w:val="002060"/>
                <w:sz w:val="18"/>
                <w:szCs w:val="18"/>
                <w:lang w:val="sr-Cyrl-RS"/>
              </w:rPr>
            </w:pPr>
            <w:r w:rsidRPr="00CD7EDF">
              <w:rPr>
                <w:rFonts w:cstheme="minorHAnsi"/>
                <w:color w:val="002060"/>
                <w:sz w:val="18"/>
                <w:szCs w:val="18"/>
              </w:rPr>
              <w:t>-12,7</w:t>
            </w:r>
          </w:p>
        </w:tc>
        <w:tc>
          <w:tcPr>
            <w:tcW w:w="787" w:type="pct"/>
            <w:tcBorders>
              <w:bottom w:val="single" w:sz="4" w:space="0" w:color="002060"/>
            </w:tcBorders>
            <w:shd w:val="clear" w:color="auto" w:fill="E7E6E6" w:themeFill="background2"/>
          </w:tcPr>
          <w:p w14:paraId="37A85EAD" w14:textId="77777777" w:rsidR="001E3E7D" w:rsidRPr="00CD7EDF" w:rsidRDefault="001E3E7D" w:rsidP="008265F0">
            <w:pPr>
              <w:spacing w:after="0" w:line="240" w:lineRule="auto"/>
              <w:ind w:right="737"/>
              <w:jc w:val="right"/>
              <w:rPr>
                <w:rFonts w:cstheme="minorHAnsi"/>
                <w:color w:val="002060"/>
                <w:sz w:val="18"/>
                <w:szCs w:val="18"/>
                <w:lang w:val="sr-Cyrl-RS"/>
              </w:rPr>
            </w:pPr>
          </w:p>
        </w:tc>
        <w:tc>
          <w:tcPr>
            <w:tcW w:w="787" w:type="pct"/>
            <w:tcBorders>
              <w:bottom w:val="single" w:sz="4" w:space="0" w:color="002060"/>
            </w:tcBorders>
            <w:shd w:val="clear" w:color="auto" w:fill="E7E6E6" w:themeFill="background2"/>
            <w:hideMark/>
          </w:tcPr>
          <w:p w14:paraId="5144E558" w14:textId="77777777" w:rsidR="001E3E7D" w:rsidRPr="00CD7EDF" w:rsidRDefault="001E3E7D" w:rsidP="008265F0">
            <w:pPr>
              <w:spacing w:after="0" w:line="240" w:lineRule="auto"/>
              <w:ind w:right="737"/>
              <w:jc w:val="right"/>
              <w:rPr>
                <w:rFonts w:cstheme="minorHAnsi"/>
                <w:color w:val="002060"/>
                <w:sz w:val="18"/>
                <w:szCs w:val="18"/>
                <w:lang w:val="sr-Cyrl-RS"/>
              </w:rPr>
            </w:pPr>
          </w:p>
        </w:tc>
      </w:tr>
    </w:tbl>
    <w:p w14:paraId="580BC9C6" w14:textId="77777777" w:rsidR="001E3E7D" w:rsidRPr="00557A14" w:rsidRDefault="001E3E7D" w:rsidP="00F50273">
      <w:pPr>
        <w:tabs>
          <w:tab w:val="left" w:pos="623"/>
        </w:tabs>
        <w:spacing w:line="240" w:lineRule="auto"/>
        <w:rPr>
          <w:lang w:val="sr-Cyrl-RS" w:eastAsia="ja-JP"/>
        </w:rPr>
      </w:pPr>
      <w:r w:rsidRPr="00557A14">
        <w:rPr>
          <w:rFonts w:eastAsia="Calibri" w:cstheme="minorHAnsi"/>
          <w:bCs/>
          <w:sz w:val="16"/>
          <w:szCs w:val="16"/>
          <w:lang w:val="sr-Cyrl-RS" w:eastAsia="ja-JP"/>
        </w:rPr>
        <w:t xml:space="preserve">Извор: </w:t>
      </w:r>
      <w:r w:rsidRPr="00557A14">
        <w:rPr>
          <w:rFonts w:cstheme="minorHAnsi"/>
          <w:sz w:val="16"/>
          <w:szCs w:val="16"/>
          <w:lang w:val="sr-Cyrl-RS"/>
        </w:rPr>
        <w:t>Министарство финансија</w:t>
      </w:r>
    </w:p>
    <w:p w14:paraId="5748A72A" w14:textId="77777777" w:rsidR="001E3E7D" w:rsidRPr="00557A14" w:rsidRDefault="001E3E7D" w:rsidP="00F50273">
      <w:pPr>
        <w:rPr>
          <w:lang w:val="sr-Cyrl-RS" w:eastAsia="ja-JP"/>
        </w:rPr>
        <w:sectPr w:rsidR="001E3E7D" w:rsidRPr="00557A14" w:rsidSect="00AE40EB">
          <w:type w:val="continuous"/>
          <w:pgSz w:w="12240" w:h="15840" w:code="1"/>
          <w:pgMar w:top="1440" w:right="1440" w:bottom="1440" w:left="1440" w:header="720" w:footer="720" w:gutter="0"/>
          <w:cols w:space="720"/>
          <w:docGrid w:linePitch="360"/>
        </w:sectPr>
      </w:pPr>
    </w:p>
    <w:p w14:paraId="1941E83A" w14:textId="77777777" w:rsidR="001E3E7D" w:rsidRPr="00557A14" w:rsidRDefault="001E3E7D" w:rsidP="008217C6">
      <w:pPr>
        <w:rPr>
          <w:rFonts w:eastAsia="MS PGothic" w:cstheme="minorHAnsi"/>
          <w:szCs w:val="20"/>
          <w:lang w:val="sr-Cyrl-RS" w:eastAsia="ja-JP"/>
        </w:rPr>
      </w:pPr>
      <w:r w:rsidRPr="00984ABE">
        <w:rPr>
          <w:rFonts w:eastAsia="MS PGothic" w:cstheme="minorHAnsi"/>
          <w:szCs w:val="20"/>
          <w:lang w:val="sr-Cyrl-RS" w:eastAsia="ja-JP"/>
        </w:rPr>
        <w:t xml:space="preserve">Стање доцњи (преко 60 дана кашњења)* буџетских корисника и организација обавезног социјалног осигурања последњег дана марта 2021. године износило је 2,1 млрд динара (око 0,05% БДП), и смањено је у односу на крај 2020. године </w:t>
      </w:r>
      <w:r w:rsidRPr="00984ABE">
        <w:rPr>
          <w:rFonts w:eastAsia="MS PGothic" w:cstheme="minorHAnsi"/>
          <w:szCs w:val="20"/>
          <w:lang w:val="sr-Cyrl-RS" w:eastAsia="ja-JP"/>
        </w:rPr>
        <w:t>за 0,5 млрд динара. Корисници буџета и ЈП „Путеви Србије” креирали су доцње у плаћању од 0,7 млрд динара, док је стање доцњи организација обавезног социјалног осигурања 1,4 млрд динара.</w:t>
      </w:r>
    </w:p>
    <w:p w14:paraId="1076B71D" w14:textId="77777777" w:rsidR="001E3E7D" w:rsidRPr="00EA3D8C" w:rsidRDefault="001E3E7D" w:rsidP="00D81397">
      <w:pPr>
        <w:spacing w:before="480" w:after="120" w:line="276" w:lineRule="auto"/>
        <w:rPr>
          <w:rFonts w:eastAsia="MS PGothic" w:cstheme="minorHAnsi"/>
          <w:b/>
          <w:color w:val="2F5496" w:themeColor="accent1" w:themeShade="BF"/>
          <w:szCs w:val="20"/>
          <w:lang w:val="sr-Cyrl-RS" w:eastAsia="ja-JP"/>
        </w:rPr>
        <w:sectPr w:rsidR="001E3E7D" w:rsidRPr="00EA3D8C" w:rsidSect="008265F0">
          <w:headerReference w:type="even" r:id="rId103"/>
          <w:headerReference w:type="default" r:id="rId104"/>
          <w:footerReference w:type="even" r:id="rId105"/>
          <w:footerReference w:type="default" r:id="rId106"/>
          <w:headerReference w:type="first" r:id="rId107"/>
          <w:type w:val="continuous"/>
          <w:pgSz w:w="12240" w:h="15840" w:code="1"/>
          <w:pgMar w:top="1440" w:right="1440" w:bottom="1440" w:left="1440" w:header="720" w:footer="720" w:gutter="0"/>
          <w:cols w:num="2" w:space="720"/>
          <w:docGrid w:linePitch="360"/>
        </w:sectPr>
      </w:pPr>
    </w:p>
    <w:p w14:paraId="355B964C" w14:textId="77777777" w:rsidR="001E3E7D" w:rsidRPr="00EA3D8C" w:rsidRDefault="001E3E7D" w:rsidP="00FE1A26">
      <w:pPr>
        <w:rPr>
          <w:rFonts w:eastAsia="MS PGothic" w:cstheme="minorHAnsi"/>
          <w:b/>
          <w:color w:val="002060"/>
          <w:szCs w:val="20"/>
          <w:highlight w:val="yellow"/>
          <w:lang w:val="sr-Cyrl-RS" w:eastAsia="ja-JP"/>
        </w:rPr>
        <w:sectPr w:rsidR="001E3E7D" w:rsidRPr="00EA3D8C" w:rsidSect="00AE40EB">
          <w:headerReference w:type="even" r:id="rId108"/>
          <w:headerReference w:type="default" r:id="rId109"/>
          <w:footerReference w:type="even" r:id="rId110"/>
          <w:footerReference w:type="default" r:id="rId111"/>
          <w:headerReference w:type="first" r:id="rId112"/>
          <w:type w:val="continuous"/>
          <w:pgSz w:w="12240" w:h="15840" w:code="1"/>
          <w:pgMar w:top="1440" w:right="1440" w:bottom="1440" w:left="1440" w:header="720" w:footer="720" w:gutter="0"/>
          <w:cols w:num="2" w:space="332"/>
          <w:docGrid w:linePitch="360"/>
        </w:sectPr>
      </w:pPr>
    </w:p>
    <w:p w14:paraId="15A1B562" w14:textId="77777777" w:rsidR="001E3E7D" w:rsidRPr="00EA3D8C" w:rsidRDefault="001E3E7D" w:rsidP="005E54B2">
      <w:pPr>
        <w:spacing w:before="360" w:after="120"/>
        <w:jc w:val="center"/>
        <w:rPr>
          <w:rFonts w:eastAsia="MS PGothic" w:cstheme="minorHAnsi"/>
          <w:b/>
          <w:color w:val="002060"/>
          <w:szCs w:val="20"/>
          <w:lang w:val="sr-Cyrl-RS" w:eastAsia="ja-JP"/>
        </w:rPr>
      </w:pPr>
      <w:r w:rsidRPr="00686A25">
        <w:rPr>
          <w:rFonts w:eastAsia="MS PGothic" w:cstheme="minorHAnsi"/>
          <w:b/>
          <w:color w:val="002060"/>
          <w:szCs w:val="20"/>
          <w:lang w:val="sr-Cyrl-RS" w:eastAsia="ja-JP"/>
        </w:rPr>
        <w:t xml:space="preserve">Табела 9. </w:t>
      </w:r>
      <w:r w:rsidRPr="00EA3D8C">
        <w:rPr>
          <w:rFonts w:eastAsia="MS PGothic" w:cstheme="minorHAnsi"/>
          <w:b/>
          <w:color w:val="002060"/>
          <w:szCs w:val="20"/>
          <w:lang w:val="sr-Cyrl-RS" w:eastAsia="ja-JP"/>
        </w:rPr>
        <w:t xml:space="preserve">Стање доцни буџетских корисника и ООСО, </w:t>
      </w:r>
      <w:r>
        <w:rPr>
          <w:rFonts w:eastAsia="MS PGothic" w:cstheme="minorHAnsi"/>
          <w:b/>
          <w:color w:val="002060"/>
          <w:szCs w:val="20"/>
          <w:lang w:val="sr-Cyrl-RS" w:eastAsia="ja-JP"/>
        </w:rPr>
        <w:t xml:space="preserve">крај </w:t>
      </w:r>
      <w:r w:rsidRPr="00EA3D8C">
        <w:rPr>
          <w:rFonts w:eastAsia="MS PGothic" w:cstheme="minorHAnsi"/>
          <w:b/>
          <w:color w:val="002060"/>
          <w:szCs w:val="20"/>
          <w:lang w:val="sr-Cyrl-RS" w:eastAsia="ja-JP"/>
        </w:rPr>
        <w:t>20</w:t>
      </w:r>
      <w:r>
        <w:rPr>
          <w:rFonts w:eastAsia="MS PGothic" w:cstheme="minorHAnsi"/>
          <w:b/>
          <w:color w:val="002060"/>
          <w:szCs w:val="20"/>
          <w:lang w:val="sr-Cyrl-RS" w:eastAsia="ja-JP"/>
        </w:rPr>
        <w:t>20</w:t>
      </w:r>
      <w:r w:rsidRPr="00EA3D8C">
        <w:rPr>
          <w:rFonts w:eastAsia="MS PGothic" w:cstheme="minorHAnsi"/>
          <w:b/>
          <w:color w:val="002060"/>
          <w:szCs w:val="20"/>
          <w:lang w:val="sr-Cyrl-RS" w:eastAsia="ja-JP"/>
        </w:rPr>
        <w:t>.</w:t>
      </w:r>
      <w:r>
        <w:rPr>
          <w:rFonts w:eastAsia="MS PGothic" w:cstheme="minorHAnsi"/>
          <w:b/>
          <w:color w:val="002060"/>
          <w:szCs w:val="20"/>
          <w:lang w:val="sr-Cyrl-RS" w:eastAsia="ja-JP"/>
        </w:rPr>
        <w:t xml:space="preserve"> године</w:t>
      </w:r>
      <w:r w:rsidRPr="00EA3D8C">
        <w:rPr>
          <w:rFonts w:eastAsia="MS PGothic" w:cstheme="minorHAnsi"/>
          <w:b/>
          <w:color w:val="002060"/>
          <w:szCs w:val="20"/>
          <w:lang w:val="sr-Cyrl-RS" w:eastAsia="ja-JP"/>
        </w:rPr>
        <w:t xml:space="preserve"> и јануар–</w:t>
      </w:r>
      <w:r>
        <w:rPr>
          <w:rFonts w:eastAsia="MS PGothic" w:cstheme="minorHAnsi"/>
          <w:b/>
          <w:color w:val="002060"/>
          <w:szCs w:val="20"/>
          <w:lang w:val="sr-Cyrl-RS" w:eastAsia="ja-JP"/>
        </w:rPr>
        <w:t>март 2021</w:t>
      </w:r>
      <w:r w:rsidRPr="00EA3D8C">
        <w:rPr>
          <w:rFonts w:eastAsia="MS PGothic" w:cstheme="minorHAnsi"/>
          <w:b/>
          <w:color w:val="002060"/>
          <w:szCs w:val="20"/>
          <w:lang w:val="sr-Cyrl-RS" w:eastAsia="ja-JP"/>
        </w:rPr>
        <w:t>. године, у млрд динара</w:t>
      </w:r>
    </w:p>
    <w:tbl>
      <w:tblPr>
        <w:tblStyle w:val="LightShading-Accent335"/>
        <w:tblpPr w:leftFromText="180" w:rightFromText="180" w:vertAnchor="text" w:horzAnchor="margin" w:tblpY="56"/>
        <w:tblW w:w="4879" w:type="pct"/>
        <w:tblBorders>
          <w:top w:val="none" w:sz="0" w:space="0" w:color="auto"/>
          <w:bottom w:val="none" w:sz="0" w:space="0" w:color="auto"/>
        </w:tblBorders>
        <w:tblLook w:val="04A0" w:firstRow="1" w:lastRow="0" w:firstColumn="1" w:lastColumn="0" w:noHBand="0" w:noVBand="1"/>
      </w:tblPr>
      <w:tblGrid>
        <w:gridCol w:w="5451"/>
        <w:gridCol w:w="1841"/>
        <w:gridCol w:w="1841"/>
      </w:tblGrid>
      <w:tr w:rsidR="001E3E7D" w:rsidRPr="003907FA" w14:paraId="32C577C6" w14:textId="77777777" w:rsidTr="00FE1A26">
        <w:trPr>
          <w:cnfStyle w:val="100000000000" w:firstRow="1" w:lastRow="0" w:firstColumn="0" w:lastColumn="0" w:oddVBand="0" w:evenVBand="0" w:oddHBand="0"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tcBorders>
              <w:top w:val="single" w:sz="4" w:space="0" w:color="002060"/>
              <w:left w:val="none" w:sz="0" w:space="0" w:color="auto"/>
              <w:bottom w:val="none" w:sz="0" w:space="0" w:color="auto"/>
              <w:right w:val="none" w:sz="0" w:space="0" w:color="auto"/>
            </w:tcBorders>
            <w:shd w:val="clear" w:color="auto" w:fill="auto"/>
            <w:noWrap/>
            <w:hideMark/>
          </w:tcPr>
          <w:p w14:paraId="77B826EC" w14:textId="77777777" w:rsidR="001E3E7D" w:rsidRPr="003907FA" w:rsidRDefault="001E3E7D" w:rsidP="00FE1A26">
            <w:pPr>
              <w:rPr>
                <w:rFonts w:asciiTheme="minorHAnsi" w:hAnsiTheme="minorHAnsi" w:cstheme="minorHAnsi"/>
                <w:b w:val="0"/>
                <w:color w:val="002060"/>
                <w:sz w:val="16"/>
                <w:szCs w:val="16"/>
                <w:lang w:val="sr-Cyrl-RS"/>
              </w:rPr>
            </w:pPr>
            <w:r w:rsidRPr="003907FA">
              <w:rPr>
                <w:rFonts w:asciiTheme="minorHAnsi" w:hAnsiTheme="minorHAnsi" w:cstheme="minorHAnsi"/>
                <w:b w:val="0"/>
                <w:color w:val="002060"/>
                <w:sz w:val="16"/>
                <w:szCs w:val="16"/>
                <w:lang w:val="sr-Cyrl-RS"/>
              </w:rPr>
              <w:t> </w:t>
            </w:r>
          </w:p>
        </w:tc>
        <w:tc>
          <w:tcPr>
            <w:tcW w:w="1008" w:type="pct"/>
            <w:tcBorders>
              <w:top w:val="single" w:sz="4" w:space="0" w:color="002060"/>
              <w:left w:val="none" w:sz="0" w:space="0" w:color="auto"/>
              <w:bottom w:val="single" w:sz="4" w:space="0" w:color="002060"/>
              <w:right w:val="none" w:sz="0" w:space="0" w:color="auto"/>
            </w:tcBorders>
            <w:shd w:val="clear" w:color="auto" w:fill="auto"/>
          </w:tcPr>
          <w:p w14:paraId="6EBA2005" w14:textId="77777777" w:rsidR="001E3E7D" w:rsidRPr="00CD7EDF" w:rsidRDefault="001E3E7D"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RS"/>
              </w:rPr>
            </w:pPr>
            <w:r w:rsidRPr="00CD7EDF">
              <w:rPr>
                <w:rFonts w:asciiTheme="minorHAnsi" w:hAnsiTheme="minorHAnsi" w:cstheme="minorHAnsi"/>
                <w:b w:val="0"/>
                <w:color w:val="002060"/>
                <w:sz w:val="18"/>
                <w:szCs w:val="18"/>
                <w:lang w:val="sr-Cyrl-RS"/>
              </w:rPr>
              <w:t>31.12.2020.</w:t>
            </w:r>
          </w:p>
        </w:tc>
        <w:tc>
          <w:tcPr>
            <w:tcW w:w="1008" w:type="pct"/>
            <w:tcBorders>
              <w:top w:val="single" w:sz="4" w:space="0" w:color="002060"/>
              <w:left w:val="none" w:sz="0" w:space="0" w:color="auto"/>
              <w:bottom w:val="single" w:sz="4" w:space="0" w:color="002060"/>
              <w:right w:val="none" w:sz="0" w:space="0" w:color="auto"/>
            </w:tcBorders>
            <w:shd w:val="clear" w:color="auto" w:fill="auto"/>
          </w:tcPr>
          <w:p w14:paraId="756B5C6B" w14:textId="77777777" w:rsidR="001E3E7D" w:rsidRPr="00CD7EDF" w:rsidRDefault="001E3E7D" w:rsidP="00FE1A26">
            <w:pPr>
              <w:jc w:val="right"/>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color w:val="002060"/>
                <w:sz w:val="18"/>
                <w:szCs w:val="18"/>
                <w:lang w:val="sr-Cyrl-RS"/>
              </w:rPr>
            </w:pPr>
            <w:r w:rsidRPr="00CD7EDF">
              <w:rPr>
                <w:rFonts w:asciiTheme="minorHAnsi" w:hAnsiTheme="minorHAnsi" w:cstheme="minorHAnsi"/>
                <w:b w:val="0"/>
                <w:color w:val="002060"/>
                <w:sz w:val="18"/>
                <w:szCs w:val="18"/>
                <w:lang w:val="sr-Cyrl-RS"/>
              </w:rPr>
              <w:t>31.03.2021.</w:t>
            </w:r>
          </w:p>
        </w:tc>
      </w:tr>
      <w:tr w:rsidR="001E3E7D" w:rsidRPr="003907FA" w14:paraId="6B6E21B2" w14:textId="77777777" w:rsidTr="00FE1A26">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right w:val="none" w:sz="0" w:space="0" w:color="auto"/>
            </w:tcBorders>
            <w:shd w:val="clear" w:color="auto" w:fill="auto"/>
            <w:noWrap/>
            <w:hideMark/>
          </w:tcPr>
          <w:p w14:paraId="5C90A6FE" w14:textId="77777777" w:rsidR="001E3E7D" w:rsidRPr="00CD7EDF" w:rsidRDefault="001E3E7D" w:rsidP="00FE1A26">
            <w:pPr>
              <w:rPr>
                <w:rFonts w:asciiTheme="minorHAnsi" w:hAnsiTheme="minorHAnsi" w:cstheme="minorHAnsi"/>
                <w:b w:val="0"/>
                <w:color w:val="002060"/>
                <w:sz w:val="18"/>
                <w:szCs w:val="18"/>
                <w:lang w:val="sr-Cyrl-RS"/>
              </w:rPr>
            </w:pPr>
            <w:r w:rsidRPr="00CD7EDF">
              <w:rPr>
                <w:rFonts w:asciiTheme="minorHAnsi" w:hAnsiTheme="minorHAnsi" w:cstheme="minorHAnsi"/>
                <w:b w:val="0"/>
                <w:color w:val="002060"/>
                <w:sz w:val="18"/>
                <w:szCs w:val="18"/>
                <w:lang w:val="sr-Cyrl-RS"/>
              </w:rPr>
              <w:t>Буџетски корисници и ЈП „Путеви Србије</w:t>
            </w:r>
            <w:r w:rsidR="0000208A" w:rsidRPr="00CD7EDF">
              <w:rPr>
                <w:rFonts w:asciiTheme="minorHAnsi" w:hAnsiTheme="minorHAnsi" w:cstheme="minorHAnsi"/>
                <w:b w:val="0"/>
                <w:color w:val="002060"/>
                <w:sz w:val="18"/>
                <w:szCs w:val="18"/>
                <w:lang w:val="sr-Cyrl-RS"/>
              </w:rPr>
              <w:t>”</w:t>
            </w:r>
            <w:r w:rsidRPr="00CD7EDF">
              <w:rPr>
                <w:rFonts w:asciiTheme="minorHAnsi" w:hAnsiTheme="minorHAnsi" w:cstheme="minorHAnsi"/>
                <w:b w:val="0"/>
                <w:color w:val="002060"/>
                <w:sz w:val="18"/>
                <w:szCs w:val="18"/>
                <w:lang w:val="sr-Cyrl-RS"/>
              </w:rPr>
              <w:t xml:space="preserve"> </w:t>
            </w:r>
          </w:p>
        </w:tc>
        <w:tc>
          <w:tcPr>
            <w:tcW w:w="1008" w:type="pct"/>
            <w:tcBorders>
              <w:top w:val="single" w:sz="4" w:space="0" w:color="002060"/>
              <w:left w:val="none" w:sz="0" w:space="0" w:color="auto"/>
              <w:right w:val="none" w:sz="0" w:space="0" w:color="auto"/>
            </w:tcBorders>
            <w:shd w:val="clear" w:color="auto" w:fill="auto"/>
          </w:tcPr>
          <w:p w14:paraId="346343BA" w14:textId="77777777" w:rsidR="001E3E7D" w:rsidRPr="00CD7EDF" w:rsidRDefault="001E3E7D"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1,2</w:t>
            </w:r>
          </w:p>
        </w:tc>
        <w:tc>
          <w:tcPr>
            <w:tcW w:w="1008" w:type="pct"/>
            <w:tcBorders>
              <w:top w:val="single" w:sz="4" w:space="0" w:color="002060"/>
              <w:left w:val="none" w:sz="0" w:space="0" w:color="auto"/>
              <w:right w:val="none" w:sz="0" w:space="0" w:color="auto"/>
            </w:tcBorders>
            <w:shd w:val="clear" w:color="auto" w:fill="auto"/>
          </w:tcPr>
          <w:p w14:paraId="5F2A0E29" w14:textId="77777777" w:rsidR="001E3E7D" w:rsidRPr="00CD7EDF" w:rsidRDefault="001E3E7D"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0,7</w:t>
            </w:r>
          </w:p>
        </w:tc>
      </w:tr>
      <w:tr w:rsidR="001E3E7D" w:rsidRPr="003907FA" w14:paraId="1E05B4C8" w14:textId="77777777" w:rsidTr="00FE1A26">
        <w:trPr>
          <w:trHeight w:val="154"/>
        </w:trPr>
        <w:tc>
          <w:tcPr>
            <w:cnfStyle w:val="001000000000" w:firstRow="0" w:lastRow="0" w:firstColumn="1" w:lastColumn="0" w:oddVBand="0" w:evenVBand="0" w:oddHBand="0" w:evenHBand="0" w:firstRowFirstColumn="0" w:firstRowLastColumn="0" w:lastRowFirstColumn="0" w:lastRowLastColumn="0"/>
            <w:tcW w:w="2984" w:type="pct"/>
            <w:shd w:val="clear" w:color="auto" w:fill="auto"/>
            <w:noWrap/>
            <w:hideMark/>
          </w:tcPr>
          <w:p w14:paraId="7B0F8B98" w14:textId="77777777" w:rsidR="001E3E7D" w:rsidRPr="00CD7EDF" w:rsidRDefault="001E3E7D" w:rsidP="00FE1A26">
            <w:pPr>
              <w:rPr>
                <w:rFonts w:asciiTheme="minorHAnsi" w:hAnsiTheme="minorHAnsi" w:cstheme="minorHAnsi"/>
                <w:b w:val="0"/>
                <w:color w:val="002060"/>
                <w:sz w:val="18"/>
                <w:szCs w:val="18"/>
                <w:lang w:val="sr-Cyrl-RS"/>
              </w:rPr>
            </w:pPr>
            <w:r w:rsidRPr="00CD7EDF">
              <w:rPr>
                <w:rFonts w:asciiTheme="minorHAnsi" w:hAnsiTheme="minorHAnsi" w:cstheme="minorHAnsi"/>
                <w:b w:val="0"/>
                <w:color w:val="002060"/>
                <w:sz w:val="18"/>
                <w:szCs w:val="18"/>
                <w:lang w:val="sr-Cyrl-RS"/>
              </w:rPr>
              <w:t>ООСО</w:t>
            </w:r>
          </w:p>
        </w:tc>
        <w:tc>
          <w:tcPr>
            <w:tcW w:w="1008" w:type="pct"/>
            <w:shd w:val="clear" w:color="auto" w:fill="auto"/>
          </w:tcPr>
          <w:p w14:paraId="1E6B2FA5" w14:textId="77777777" w:rsidR="001E3E7D" w:rsidRPr="00CD7EDF" w:rsidRDefault="001E3E7D"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1,4</w:t>
            </w:r>
          </w:p>
        </w:tc>
        <w:tc>
          <w:tcPr>
            <w:tcW w:w="1008" w:type="pct"/>
            <w:shd w:val="clear" w:color="auto" w:fill="auto"/>
          </w:tcPr>
          <w:p w14:paraId="110F964D" w14:textId="77777777" w:rsidR="001E3E7D" w:rsidRPr="00CD7EDF" w:rsidRDefault="001E3E7D" w:rsidP="00FE1A26">
            <w:pPr>
              <w:ind w:firstLine="709"/>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1,4</w:t>
            </w:r>
          </w:p>
        </w:tc>
      </w:tr>
      <w:tr w:rsidR="001E3E7D" w:rsidRPr="003907FA" w14:paraId="1362BCBF" w14:textId="77777777" w:rsidTr="00FE1A26">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984" w:type="pct"/>
            <w:tcBorders>
              <w:left w:val="none" w:sz="0" w:space="0" w:color="auto"/>
              <w:bottom w:val="single" w:sz="4" w:space="0" w:color="002060"/>
              <w:right w:val="none" w:sz="0" w:space="0" w:color="auto"/>
            </w:tcBorders>
            <w:shd w:val="clear" w:color="auto" w:fill="auto"/>
            <w:noWrap/>
            <w:hideMark/>
          </w:tcPr>
          <w:p w14:paraId="5BF527F5" w14:textId="77777777" w:rsidR="001E3E7D" w:rsidRPr="00CD7EDF" w:rsidRDefault="001E3E7D" w:rsidP="00FE1A26">
            <w:pPr>
              <w:rPr>
                <w:rFonts w:asciiTheme="minorHAnsi" w:hAnsiTheme="minorHAnsi" w:cstheme="minorHAnsi"/>
                <w:b w:val="0"/>
                <w:color w:val="002060"/>
                <w:sz w:val="18"/>
                <w:szCs w:val="18"/>
                <w:lang w:val="sr-Cyrl-RS"/>
              </w:rPr>
            </w:pPr>
            <w:r w:rsidRPr="00CD7EDF">
              <w:rPr>
                <w:rFonts w:asciiTheme="minorHAnsi" w:hAnsiTheme="minorHAnsi" w:cstheme="minorHAnsi"/>
                <w:b w:val="0"/>
                <w:color w:val="002060"/>
                <w:sz w:val="18"/>
                <w:szCs w:val="18"/>
                <w:lang w:val="sr-Cyrl-RS"/>
              </w:rPr>
              <w:t>УКУПНО</w:t>
            </w:r>
          </w:p>
        </w:tc>
        <w:tc>
          <w:tcPr>
            <w:tcW w:w="1008" w:type="pct"/>
            <w:tcBorders>
              <w:left w:val="none" w:sz="0" w:space="0" w:color="auto"/>
              <w:bottom w:val="single" w:sz="4" w:space="0" w:color="002060"/>
              <w:right w:val="none" w:sz="0" w:space="0" w:color="auto"/>
            </w:tcBorders>
            <w:shd w:val="clear" w:color="auto" w:fill="auto"/>
          </w:tcPr>
          <w:p w14:paraId="670AD0E5" w14:textId="77777777" w:rsidR="001E3E7D" w:rsidRPr="00CD7EDF" w:rsidRDefault="001E3E7D"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2,6</w:t>
            </w:r>
          </w:p>
        </w:tc>
        <w:tc>
          <w:tcPr>
            <w:tcW w:w="1008" w:type="pct"/>
            <w:tcBorders>
              <w:left w:val="none" w:sz="0" w:space="0" w:color="auto"/>
              <w:bottom w:val="single" w:sz="4" w:space="0" w:color="002060"/>
              <w:right w:val="none" w:sz="0" w:space="0" w:color="auto"/>
            </w:tcBorders>
            <w:shd w:val="clear" w:color="auto" w:fill="auto"/>
          </w:tcPr>
          <w:p w14:paraId="24FCDACD" w14:textId="77777777" w:rsidR="001E3E7D" w:rsidRPr="00CD7EDF" w:rsidRDefault="001E3E7D" w:rsidP="00FE1A26">
            <w:pPr>
              <w:ind w:firstLine="709"/>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2060"/>
                <w:sz w:val="18"/>
                <w:szCs w:val="18"/>
                <w:lang w:val="sr-Cyrl-RS"/>
              </w:rPr>
            </w:pPr>
            <w:r w:rsidRPr="00CD7EDF">
              <w:rPr>
                <w:rFonts w:asciiTheme="minorHAnsi" w:hAnsiTheme="minorHAnsi" w:cstheme="minorHAnsi"/>
                <w:color w:val="002060"/>
                <w:sz w:val="18"/>
                <w:szCs w:val="18"/>
                <w:lang w:val="sr-Cyrl-RS"/>
              </w:rPr>
              <w:t>2,1</w:t>
            </w:r>
          </w:p>
        </w:tc>
      </w:tr>
    </w:tbl>
    <w:p w14:paraId="4DEFAFCC" w14:textId="77777777" w:rsidR="001E3E7D" w:rsidRPr="00EA3D8C" w:rsidRDefault="001E3E7D" w:rsidP="00FE1A26">
      <w:pPr>
        <w:spacing w:before="40" w:after="0" w:line="240" w:lineRule="auto"/>
        <w:rPr>
          <w:rFonts w:cstheme="minorHAnsi"/>
          <w:sz w:val="16"/>
          <w:szCs w:val="20"/>
          <w:lang w:val="sr-Cyrl-RS"/>
        </w:rPr>
      </w:pPr>
      <w:r w:rsidRPr="00EA3D8C">
        <w:rPr>
          <w:rFonts w:eastAsia="Calibri" w:cstheme="minorHAnsi"/>
          <w:bCs/>
          <w:sz w:val="16"/>
          <w:szCs w:val="20"/>
          <w:lang w:val="sr-Cyrl-RS" w:eastAsia="ja-JP"/>
        </w:rPr>
        <w:t xml:space="preserve">Извор: </w:t>
      </w:r>
      <w:r w:rsidRPr="00EA3D8C">
        <w:rPr>
          <w:rFonts w:cstheme="minorHAnsi"/>
          <w:sz w:val="16"/>
          <w:szCs w:val="20"/>
          <w:lang w:val="sr-Cyrl-RS"/>
        </w:rPr>
        <w:t>Министарство финансија</w:t>
      </w:r>
    </w:p>
    <w:p w14:paraId="7F37F8BA" w14:textId="77777777" w:rsidR="001E3E7D" w:rsidRPr="00EA3D8C" w:rsidRDefault="001E3E7D" w:rsidP="00FE1A26">
      <w:pPr>
        <w:spacing w:after="0" w:line="240" w:lineRule="auto"/>
        <w:rPr>
          <w:rFonts w:eastAsia="MS PGothic" w:cstheme="minorHAnsi"/>
          <w:b/>
          <w:color w:val="002060"/>
          <w:szCs w:val="20"/>
          <w:highlight w:val="yellow"/>
          <w:lang w:val="sr-Cyrl-RS" w:eastAsia="ja-JP"/>
        </w:rPr>
      </w:pPr>
      <w:r w:rsidRPr="00EA3D8C">
        <w:rPr>
          <w:rFonts w:eastAsia="MS PGothic" w:cstheme="minorHAnsi"/>
          <w:sz w:val="16"/>
          <w:szCs w:val="16"/>
          <w:lang w:val="sr-Cyrl-RS" w:eastAsia="ja-JP"/>
        </w:rPr>
        <w:t xml:space="preserve">* У складу </w:t>
      </w:r>
      <w:r>
        <w:rPr>
          <w:rFonts w:eastAsia="MS PGothic" w:cstheme="minorHAnsi"/>
          <w:sz w:val="16"/>
          <w:szCs w:val="16"/>
          <w:lang w:val="sr-Cyrl-RS" w:eastAsia="ja-JP"/>
        </w:rPr>
        <w:t>са дефиницијом која се користила</w:t>
      </w:r>
      <w:r w:rsidRPr="00EA3D8C">
        <w:rPr>
          <w:rFonts w:eastAsia="MS PGothic" w:cstheme="minorHAnsi"/>
          <w:sz w:val="16"/>
          <w:szCs w:val="16"/>
          <w:lang w:val="sr-Cyrl-RS" w:eastAsia="ja-JP"/>
        </w:rPr>
        <w:t xml:space="preserve"> за потребе праћења спровођења аранжмана са ММФ.</w:t>
      </w:r>
    </w:p>
    <w:p w14:paraId="214DECAF" w14:textId="77777777" w:rsidR="001E3E7D" w:rsidRPr="00EA3D8C" w:rsidRDefault="001E3E7D" w:rsidP="00FE1A26">
      <w:pPr>
        <w:spacing w:after="240" w:line="240" w:lineRule="auto"/>
        <w:rPr>
          <w:rFonts w:eastAsia="MS PGothic" w:cstheme="minorHAnsi"/>
          <w:b/>
          <w:color w:val="002060"/>
          <w:szCs w:val="20"/>
          <w:highlight w:val="yellow"/>
          <w:lang w:val="sr-Cyrl-RS" w:eastAsia="ja-JP"/>
        </w:rPr>
      </w:pPr>
    </w:p>
    <w:p w14:paraId="457DCBD1" w14:textId="77777777" w:rsidR="001E3E7D" w:rsidRPr="00EA3D8C" w:rsidRDefault="001E3E7D" w:rsidP="00FE1A26">
      <w:pPr>
        <w:spacing w:after="240" w:line="240" w:lineRule="auto"/>
        <w:rPr>
          <w:rFonts w:eastAsia="MS PGothic" w:cstheme="minorHAnsi"/>
          <w:b/>
          <w:color w:val="002060"/>
          <w:szCs w:val="20"/>
          <w:highlight w:val="yellow"/>
          <w:lang w:val="sr-Cyrl-RS" w:eastAsia="ja-JP"/>
        </w:rPr>
        <w:sectPr w:rsidR="001E3E7D" w:rsidRPr="00EA3D8C" w:rsidSect="00AE40EB">
          <w:type w:val="continuous"/>
          <w:pgSz w:w="12240" w:h="15840" w:code="1"/>
          <w:pgMar w:top="1440" w:right="1440" w:bottom="1440" w:left="1440" w:header="720" w:footer="720" w:gutter="0"/>
          <w:cols w:space="332"/>
          <w:docGrid w:linePitch="360"/>
        </w:sectPr>
      </w:pPr>
    </w:p>
    <w:p w14:paraId="0600ED64" w14:textId="77777777" w:rsidR="001E3E7D" w:rsidRPr="00EA3D8C" w:rsidRDefault="001E3E7D" w:rsidP="00A251B9">
      <w:pPr>
        <w:spacing w:before="40" w:after="0" w:line="240" w:lineRule="auto"/>
        <w:rPr>
          <w:rFonts w:eastAsia="Calibri" w:cstheme="minorHAnsi"/>
          <w:bCs/>
          <w:sz w:val="16"/>
          <w:szCs w:val="20"/>
          <w:lang w:val="sr-Cyrl-RS" w:eastAsia="ja-JP"/>
        </w:rPr>
      </w:pPr>
    </w:p>
    <w:p w14:paraId="6C9FCE59" w14:textId="77777777" w:rsidR="00F50273" w:rsidRDefault="00F50273">
      <w:pPr>
        <w:jc w:val="left"/>
        <w:rPr>
          <w:rFonts w:ascii="Calibri" w:eastAsia="Calibri" w:hAnsi="Calibri" w:cs="Calibri"/>
          <w:b/>
          <w:color w:val="2F5496" w:themeColor="accent1" w:themeShade="BF"/>
          <w:sz w:val="24"/>
          <w:szCs w:val="24"/>
          <w:lang w:val="sr-Cyrl-CS"/>
        </w:rPr>
      </w:pPr>
      <w:bookmarkStart w:id="26" w:name="_Toc530635107"/>
      <w:r>
        <w:rPr>
          <w:rFonts w:ascii="Calibri" w:eastAsia="Calibri" w:hAnsi="Calibri" w:cs="Calibri"/>
          <w:b/>
          <w:color w:val="2F5496" w:themeColor="accent1" w:themeShade="BF"/>
          <w:sz w:val="24"/>
          <w:szCs w:val="24"/>
          <w:lang w:val="sr-Cyrl-CS"/>
        </w:rPr>
        <w:br w:type="page"/>
      </w:r>
    </w:p>
    <w:p w14:paraId="49BC0EF0" w14:textId="77777777" w:rsidR="001E3E7D" w:rsidRPr="008F478F" w:rsidRDefault="001E3E7D" w:rsidP="008265F0">
      <w:pPr>
        <w:spacing w:after="0" w:line="240" w:lineRule="auto"/>
        <w:jc w:val="center"/>
        <w:rPr>
          <w:rFonts w:ascii="Calibri" w:eastAsia="Calibri" w:hAnsi="Calibri" w:cs="Calibri"/>
          <w:b/>
          <w:color w:val="2F5496" w:themeColor="accent1" w:themeShade="BF"/>
          <w:sz w:val="24"/>
          <w:szCs w:val="24"/>
          <w:lang w:val="sr-Cyrl-CS"/>
        </w:rPr>
      </w:pPr>
      <w:r w:rsidRPr="008F478F">
        <w:rPr>
          <w:rFonts w:ascii="Calibri" w:eastAsia="Calibri" w:hAnsi="Calibri" w:cs="Calibri"/>
          <w:noProof/>
          <w:color w:val="2F5496" w:themeColor="accent1" w:themeShade="BF"/>
        </w:rPr>
        <w:lastRenderedPageBreak/>
        <mc:AlternateContent>
          <mc:Choice Requires="wps">
            <w:drawing>
              <wp:anchor distT="0" distB="0" distL="114300" distR="114300" simplePos="0" relativeHeight="251682304" behindDoc="1" locked="0" layoutInCell="1" allowOverlap="1" wp14:anchorId="01239120" wp14:editId="4C831A91">
                <wp:simplePos x="0" y="0"/>
                <wp:positionH relativeFrom="margin">
                  <wp:posOffset>-189781</wp:posOffset>
                </wp:positionH>
                <wp:positionV relativeFrom="paragraph">
                  <wp:posOffset>-69011</wp:posOffset>
                </wp:positionV>
                <wp:extent cx="6276975" cy="8086569"/>
                <wp:effectExtent l="0" t="0" r="9525" b="0"/>
                <wp:wrapNone/>
                <wp:docPr id="3" name="Rectangle 3"/>
                <wp:cNvGraphicFramePr/>
                <a:graphic xmlns:a="http://schemas.openxmlformats.org/drawingml/2006/main">
                  <a:graphicData uri="http://schemas.microsoft.com/office/word/2010/wordprocessingShape">
                    <wps:wsp>
                      <wps:cNvSpPr/>
                      <wps:spPr>
                        <a:xfrm>
                          <a:off x="0" y="0"/>
                          <a:ext cx="6276975" cy="8086569"/>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6932BC" id="Rectangle 3" o:spid="_x0000_s1026" style="position:absolute;margin-left:-14.95pt;margin-top:-5.45pt;width:494.25pt;height:636.75pt;z-index:-251634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" fillcolor="#d9d9d9" stroked="f" strokeweight="1pt">
                <v:fill r:id="rId10" o:title="" color2="window" type="pattern"/>
                <w10:wrap anchorx="margin"/>
              </v:rect>
            </w:pict>
          </mc:Fallback>
        </mc:AlternateContent>
      </w:r>
      <w:r w:rsidRPr="008F478F">
        <w:rPr>
          <w:rFonts w:ascii="Calibri" w:eastAsia="Calibri" w:hAnsi="Calibri" w:cs="Calibri"/>
          <w:b/>
          <w:color w:val="2F5496" w:themeColor="accent1" w:themeShade="BF"/>
          <w:sz w:val="24"/>
          <w:szCs w:val="24"/>
          <w:lang w:val="sr-Cyrl-CS"/>
        </w:rPr>
        <w:t>S0 индикатор краткорочне фискалне одрживости</w:t>
      </w:r>
    </w:p>
    <w:p w14:paraId="4E95E886" w14:textId="77777777" w:rsidR="001E3E7D" w:rsidRPr="008F478F" w:rsidRDefault="001E3E7D" w:rsidP="008265F0">
      <w:pPr>
        <w:spacing w:after="60"/>
        <w:rPr>
          <w:rFonts w:ascii="Calibri" w:eastAsia="Calibri" w:hAnsi="Calibri" w:cs="Calibri"/>
          <w:color w:val="auto"/>
          <w:szCs w:val="20"/>
          <w:lang w:val="sr-Cyrl-CS"/>
        </w:rPr>
      </w:pPr>
    </w:p>
    <w:p w14:paraId="680646A0" w14:textId="77777777" w:rsidR="001E3E7D" w:rsidRPr="008F478F" w:rsidRDefault="001E3E7D" w:rsidP="008265F0">
      <w:pPr>
        <w:spacing w:after="60"/>
        <w:rPr>
          <w:rFonts w:ascii="Calibri" w:eastAsia="Calibri" w:hAnsi="Calibri" w:cs="Calibri"/>
          <w:color w:val="auto"/>
          <w:szCs w:val="20"/>
          <w:lang w:val="sr-Cyrl-CS"/>
        </w:rPr>
        <w:sectPr w:rsidR="001E3E7D" w:rsidRPr="008F478F" w:rsidSect="008265F0">
          <w:headerReference w:type="even" r:id="rId113"/>
          <w:headerReference w:type="default" r:id="rId114"/>
          <w:footerReference w:type="even" r:id="rId115"/>
          <w:footerReference w:type="default" r:id="rId116"/>
          <w:headerReference w:type="first" r:id="rId117"/>
          <w:type w:val="continuous"/>
          <w:pgSz w:w="12240" w:h="15840"/>
          <w:pgMar w:top="1440" w:right="1440" w:bottom="1440" w:left="1440" w:header="720" w:footer="720" w:gutter="0"/>
          <w:cols w:space="720"/>
          <w:docGrid w:linePitch="360"/>
        </w:sectPr>
      </w:pPr>
    </w:p>
    <w:p w14:paraId="53D0622F" w14:textId="77777777" w:rsidR="001E3E7D" w:rsidRPr="008F478F" w:rsidRDefault="001E3E7D" w:rsidP="008265F0">
      <w:pPr>
        <w:rPr>
          <w:rFonts w:ascii="Calibri" w:eastAsia="Calibri" w:hAnsi="Calibri" w:cs="Calibri"/>
          <w:color w:val="44546A"/>
          <w:szCs w:val="20"/>
          <w:lang w:val="sr-Cyrl-RS"/>
        </w:rPr>
      </w:pPr>
      <w:r w:rsidRPr="008F478F">
        <w:rPr>
          <w:rFonts w:ascii="Calibri" w:eastAsia="Calibri" w:hAnsi="Calibri" w:cs="Calibri"/>
          <w:color w:val="44546A"/>
          <w:szCs w:val="20"/>
          <w:lang w:val="sr-Cyrl-RS"/>
        </w:rPr>
        <w:t>Европска комисија је за оцену краткорочне фискалне одрживости дизајнирала композитни индикатор S0 којим се кроз идентификацију потенцијалних краткорочних ризика у текућој години настоји антиципирати фискални стрес у наредној години. Уколико вредност S0 индикатора прелази дефинисани праг сматра се да је земља у краткорочном ризику од фискалног стреса. Поред вредности за целокупан индикатор, ради лоцирања извора из ког ризик потиче, разматрају се и вредности подиндекса и њихових компоненти. S0 композитни индикатор се састоји од два подиндекса, који у себи садрже низ варијабли фискалне и макро-финансијске одрживости. Вредност ових подиндекса испод дефинисаног прага указују на одсуство краткорочног фискалног ризика.</w:t>
      </w:r>
    </w:p>
    <w:p w14:paraId="7C537ACA" w14:textId="77777777" w:rsidR="001E3E7D" w:rsidRPr="008F478F" w:rsidRDefault="001E3E7D" w:rsidP="008265F0">
      <w:pPr>
        <w:rPr>
          <w:rFonts w:ascii="Calibri" w:eastAsia="Calibri" w:hAnsi="Calibri" w:cs="Calibri"/>
          <w:color w:val="44546A"/>
          <w:szCs w:val="20"/>
          <w:lang w:val="sr-Cyrl-RS"/>
        </w:rPr>
      </w:pPr>
      <w:r w:rsidRPr="008F478F">
        <w:rPr>
          <w:rFonts w:ascii="Calibri" w:eastAsia="Calibri" w:hAnsi="Calibri" w:cs="Calibri"/>
          <w:color w:val="44546A"/>
          <w:szCs w:val="20"/>
          <w:lang w:val="sr-Cyrl-RS"/>
        </w:rPr>
        <w:t>У 2020. години вредност целокупног S0 индикатора за Републику Србију се налазила испод дефинисаног прага што начелно указује да не постоји опасност од појаве макроекономске нестабилности у наредном средњорочном периоду. М</w:t>
      </w:r>
      <w:r w:rsidR="00A10EF7">
        <w:rPr>
          <w:rFonts w:ascii="Calibri" w:eastAsia="Calibri" w:hAnsi="Calibri" w:cs="Calibri"/>
          <w:color w:val="44546A"/>
          <w:szCs w:val="20"/>
          <w:lang w:val="sr-Cyrl-RS"/>
        </w:rPr>
        <w:t>е</w:t>
      </w:r>
      <w:r w:rsidRPr="008F478F">
        <w:rPr>
          <w:rFonts w:ascii="Calibri" w:eastAsia="Calibri" w:hAnsi="Calibri" w:cs="Calibri"/>
          <w:color w:val="44546A"/>
          <w:szCs w:val="20"/>
          <w:lang w:val="sr-Cyrl-RS"/>
        </w:rPr>
        <w:t>ђут</w:t>
      </w:r>
      <w:r w:rsidR="00A10EF7">
        <w:rPr>
          <w:rFonts w:ascii="Calibri" w:eastAsia="Calibri" w:hAnsi="Calibri" w:cs="Calibri"/>
          <w:color w:val="44546A"/>
          <w:szCs w:val="20"/>
          <w:lang w:val="sr-Cyrl-RS"/>
        </w:rPr>
        <w:t>и</w:t>
      </w:r>
      <w:r w:rsidRPr="008F478F">
        <w:rPr>
          <w:rFonts w:ascii="Calibri" w:eastAsia="Calibri" w:hAnsi="Calibri" w:cs="Calibri"/>
          <w:color w:val="44546A"/>
          <w:szCs w:val="20"/>
          <w:lang w:val="sr-Cyrl-RS"/>
        </w:rPr>
        <w:t>м,</w:t>
      </w:r>
      <w:r w:rsidRPr="008F478F">
        <w:rPr>
          <w:rFonts w:ascii="Calibri" w:eastAsia="Calibri" w:hAnsi="Calibri" w:cs="Times New Roman"/>
          <w:color w:val="44546A"/>
        </w:rPr>
        <w:t xml:space="preserve"> </w:t>
      </w:r>
      <w:r w:rsidR="00A10EF7">
        <w:rPr>
          <w:rFonts w:ascii="Calibri" w:eastAsia="Calibri" w:hAnsi="Calibri" w:cs="Calibri"/>
          <w:color w:val="44546A"/>
          <w:szCs w:val="20"/>
          <w:lang w:val="sr-Cyrl-RS"/>
        </w:rPr>
        <w:t>као последица кризе изаз</w:t>
      </w:r>
      <w:r w:rsidRPr="008F478F">
        <w:rPr>
          <w:rFonts w:ascii="Calibri" w:eastAsia="Calibri" w:hAnsi="Calibri" w:cs="Calibri"/>
          <w:color w:val="44546A"/>
          <w:szCs w:val="20"/>
          <w:lang w:val="sr-Cyrl-RS"/>
        </w:rPr>
        <w:t>ва</w:t>
      </w:r>
      <w:r>
        <w:rPr>
          <w:rFonts w:ascii="Calibri" w:eastAsia="Calibri" w:hAnsi="Calibri" w:cs="Calibri"/>
          <w:color w:val="44546A"/>
          <w:szCs w:val="20"/>
          <w:lang w:val="sr-Cyrl-RS"/>
        </w:rPr>
        <w:t xml:space="preserve">не пандемијом вируса COVID-19 </w:t>
      </w:r>
      <w:r w:rsidRPr="008F478F">
        <w:rPr>
          <w:rFonts w:ascii="Calibri" w:eastAsia="Calibri" w:hAnsi="Calibri" w:cs="Calibri"/>
          <w:color w:val="44546A"/>
          <w:szCs w:val="20"/>
          <w:lang w:val="sr-Cyrl-RS"/>
        </w:rPr>
        <w:t>вредност фискалног подиндекса (0,48) је изнад за њега дефинисаног прага (0,36) што указује да би се могли јавити изазови у фискалној сфери</w:t>
      </w:r>
      <w:r w:rsidRPr="008F478F">
        <w:rPr>
          <w:rFonts w:ascii="Calibri" w:eastAsia="Calibri" w:hAnsi="Calibri" w:cs="Calibri"/>
          <w:color w:val="44546A"/>
          <w:szCs w:val="20"/>
          <w:lang w:val="sr-Latn-RS"/>
        </w:rPr>
        <w:t>.</w:t>
      </w:r>
      <w:r w:rsidRPr="008F478F">
        <w:rPr>
          <w:rFonts w:ascii="Calibri" w:eastAsia="Calibri" w:hAnsi="Calibri" w:cs="Calibri"/>
          <w:color w:val="44546A"/>
          <w:szCs w:val="20"/>
          <w:lang w:val="sr-Cyrl-RS"/>
        </w:rPr>
        <w:t xml:space="preserve"> Вредност финансијског подиндекса у </w:t>
      </w:r>
      <w:r w:rsidR="00F50273">
        <w:rPr>
          <w:rFonts w:ascii="Calibri" w:eastAsia="Calibri" w:hAnsi="Calibri" w:cs="Calibri"/>
          <w:color w:val="44546A"/>
          <w:szCs w:val="20"/>
          <w:lang w:val="sr-Cyrl-RS"/>
        </w:rPr>
        <w:t xml:space="preserve">2020. години </w:t>
      </w:r>
      <w:r w:rsidRPr="008F478F">
        <w:rPr>
          <w:rFonts w:ascii="Calibri" w:eastAsia="Calibri" w:hAnsi="Calibri" w:cs="Calibri"/>
          <w:color w:val="44546A"/>
          <w:szCs w:val="20"/>
          <w:lang w:val="sr-Cyrl-RS"/>
        </w:rPr>
        <w:t>(0,42) је унутар за</w:t>
      </w:r>
      <w:r w:rsidR="00F50273">
        <w:rPr>
          <w:rFonts w:ascii="Calibri" w:eastAsia="Calibri" w:hAnsi="Calibri" w:cs="Calibri"/>
          <w:color w:val="44546A"/>
          <w:szCs w:val="20"/>
          <w:lang w:val="sr-Cyrl-RS"/>
        </w:rPr>
        <w:t xml:space="preserve"> њега дефинисаног прага (0,49).</w:t>
      </w:r>
    </w:p>
    <w:p w14:paraId="299A8FCB" w14:textId="77777777" w:rsidR="001E3E7D" w:rsidRPr="008F478F" w:rsidRDefault="001E3E7D" w:rsidP="008265F0">
      <w:pPr>
        <w:rPr>
          <w:rFonts w:ascii="Calibri" w:eastAsia="Calibri" w:hAnsi="Calibri" w:cs="Calibri"/>
          <w:color w:val="auto"/>
          <w:szCs w:val="20"/>
          <w:lang w:val="sr-Cyrl-CS"/>
        </w:rPr>
      </w:pPr>
      <w:r w:rsidRPr="008F478F">
        <w:rPr>
          <w:rFonts w:ascii="Calibri" w:eastAsia="Calibri" w:hAnsi="Calibri" w:cs="Times New Roman"/>
          <w:noProof/>
          <w:color w:val="44546A"/>
        </w:rPr>
        <w:drawing>
          <wp:inline distT="0" distB="0" distL="0" distR="0" wp14:anchorId="5C9F1161" wp14:editId="5D6AA056">
            <wp:extent cx="2724150" cy="3648075"/>
            <wp:effectExtent l="0" t="0" r="0"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298B34B1" w14:textId="77777777" w:rsidR="001E3E7D" w:rsidRPr="008F478F" w:rsidRDefault="001E3E7D" w:rsidP="008265F0">
      <w:pPr>
        <w:rPr>
          <w:rFonts w:ascii="Calibri" w:eastAsia="Calibri" w:hAnsi="Calibri" w:cs="Calibri"/>
          <w:color w:val="auto"/>
          <w:szCs w:val="20"/>
          <w:lang w:val="sr-Cyrl-CS"/>
        </w:rPr>
      </w:pPr>
    </w:p>
    <w:p w14:paraId="5C712AE3" w14:textId="77777777" w:rsidR="001E3E7D" w:rsidRPr="008F478F" w:rsidRDefault="001E3E7D" w:rsidP="008265F0">
      <w:pPr>
        <w:rPr>
          <w:rFonts w:ascii="Calibri" w:eastAsia="Calibri" w:hAnsi="Calibri" w:cs="Calibri"/>
          <w:color w:val="auto"/>
          <w:szCs w:val="20"/>
          <w:lang w:val="sr-Cyrl-CS"/>
        </w:rPr>
      </w:pPr>
    </w:p>
    <w:p w14:paraId="7C873654" w14:textId="77777777" w:rsidR="001E3E7D" w:rsidRPr="008F478F" w:rsidRDefault="001E3E7D" w:rsidP="008265F0">
      <w:pPr>
        <w:rPr>
          <w:rFonts w:ascii="Calibri" w:eastAsia="Calibri" w:hAnsi="Calibri" w:cs="Calibri"/>
          <w:color w:val="auto"/>
          <w:szCs w:val="20"/>
          <w:lang w:val="sr-Cyrl-CS"/>
        </w:rPr>
      </w:pPr>
    </w:p>
    <w:p w14:paraId="6A3C3BFC" w14:textId="77777777" w:rsidR="001E3E7D" w:rsidRPr="008F478F" w:rsidRDefault="001E3E7D" w:rsidP="008265F0">
      <w:pPr>
        <w:rPr>
          <w:rFonts w:ascii="Calibri" w:eastAsia="Calibri" w:hAnsi="Calibri" w:cs="Calibri"/>
          <w:b/>
          <w:color w:val="auto"/>
          <w:sz w:val="24"/>
          <w:szCs w:val="26"/>
          <w:lang w:val="sr-Cyrl-CS"/>
        </w:rPr>
        <w:sectPr w:rsidR="001E3E7D" w:rsidRPr="008F478F" w:rsidSect="008265F0">
          <w:type w:val="continuous"/>
          <w:pgSz w:w="12240" w:h="15840"/>
          <w:pgMar w:top="1440" w:right="1440" w:bottom="1440" w:left="1440" w:header="720" w:footer="720" w:gutter="0"/>
          <w:cols w:num="2" w:space="720"/>
          <w:docGrid w:linePitch="360"/>
        </w:sectPr>
      </w:pPr>
    </w:p>
    <w:p w14:paraId="23D61BF9" w14:textId="77777777" w:rsidR="001E3E7D" w:rsidRPr="008F478F" w:rsidRDefault="001E3E7D" w:rsidP="008265F0">
      <w:pPr>
        <w:rPr>
          <w:rFonts w:ascii="Calibri" w:eastAsia="Calibri" w:hAnsi="Calibri" w:cs="Calibri"/>
          <w:color w:val="auto"/>
          <w:szCs w:val="20"/>
          <w:lang w:val="sr-Cyrl-CS"/>
        </w:rPr>
      </w:pPr>
      <w:r w:rsidRPr="008F478F">
        <w:rPr>
          <w:rFonts w:ascii="Calibri" w:eastAsia="Calibri" w:hAnsi="Calibri" w:cs="Times New Roman"/>
          <w:noProof/>
          <w:color w:val="44546A"/>
        </w:rPr>
        <w:drawing>
          <wp:inline distT="0" distB="0" distL="0" distR="0" wp14:anchorId="5E95E4DF" wp14:editId="377A32DA">
            <wp:extent cx="5943600" cy="2574290"/>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67FBE8BC" w14:textId="77777777" w:rsidR="001E3E7D" w:rsidRPr="008F478F" w:rsidRDefault="00F50273" w:rsidP="008265F0">
      <w:pPr>
        <w:rPr>
          <w:rFonts w:ascii="Calibri" w:eastAsia="Calibri" w:hAnsi="Calibri" w:cs="Calibri"/>
          <w:color w:val="auto"/>
          <w:szCs w:val="20"/>
          <w:lang w:val="sr-Cyrl-CS"/>
        </w:rPr>
      </w:pPr>
      <w:r w:rsidRPr="008F478F">
        <w:rPr>
          <w:rFonts w:ascii="Calibri" w:eastAsia="Calibri" w:hAnsi="Calibri" w:cs="Calibri"/>
          <w:noProof/>
          <w:color w:val="auto"/>
        </w:rPr>
        <w:lastRenderedPageBreak/>
        <mc:AlternateContent>
          <mc:Choice Requires="wps">
            <w:drawing>
              <wp:anchor distT="0" distB="0" distL="114300" distR="114300" simplePos="0" relativeHeight="251683328" behindDoc="1" locked="0" layoutInCell="1" allowOverlap="1" wp14:anchorId="65FDA7FD" wp14:editId="4F228A19">
                <wp:simplePos x="0" y="0"/>
                <wp:positionH relativeFrom="margin">
                  <wp:posOffset>-301925</wp:posOffset>
                </wp:positionH>
                <wp:positionV relativeFrom="paragraph">
                  <wp:posOffset>120770</wp:posOffset>
                </wp:positionV>
                <wp:extent cx="6564702" cy="4382219"/>
                <wp:effectExtent l="0" t="0" r="7620" b="0"/>
                <wp:wrapNone/>
                <wp:docPr id="9" name="Rectangle 9"/>
                <wp:cNvGraphicFramePr/>
                <a:graphic xmlns:a="http://schemas.openxmlformats.org/drawingml/2006/main">
                  <a:graphicData uri="http://schemas.microsoft.com/office/word/2010/wordprocessingShape">
                    <wps:wsp>
                      <wps:cNvSpPr/>
                      <wps:spPr>
                        <a:xfrm>
                          <a:off x="0" y="0"/>
                          <a:ext cx="6564702" cy="4382219"/>
                        </a:xfrm>
                        <a:prstGeom prst="rect">
                          <a:avLst/>
                        </a:prstGeom>
                        <a:pattFill prst="pct25">
                          <a:fgClr>
                            <a:sysClr val="window" lastClr="FFFFFF">
                              <a:lumMod val="85000"/>
                            </a:sysClr>
                          </a:fgClr>
                          <a:bgClr>
                            <a:sysClr val="window" lastClr="FFFFFF"/>
                          </a:bgClr>
                        </a:patt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0028FC" id="Rectangle 9" o:spid="_x0000_s1026" style="position:absolute;margin-left:-23.75pt;margin-top:9.5pt;width:516.9pt;height:345.05pt;z-index:-251633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" fillcolor="#d9d9d9" stroked="f" strokeweight="1pt">
                <v:fill r:id="rId10" o:title="" color2="window" type="pattern"/>
                <w10:wrap anchorx="margin"/>
              </v:rect>
            </w:pict>
          </mc:Fallback>
        </mc:AlternateContent>
      </w:r>
    </w:p>
    <w:p w14:paraId="461C66DD" w14:textId="77777777" w:rsidR="001E3E7D" w:rsidRPr="008F478F" w:rsidRDefault="001E3E7D" w:rsidP="008265F0">
      <w:pPr>
        <w:rPr>
          <w:rFonts w:ascii="Calibri" w:eastAsia="Calibri" w:hAnsi="Calibri" w:cs="Calibri"/>
          <w:color w:val="auto"/>
          <w:szCs w:val="20"/>
          <w:lang w:val="sr-Cyrl-CS"/>
        </w:rPr>
        <w:sectPr w:rsidR="001E3E7D" w:rsidRPr="008F478F" w:rsidSect="008265F0">
          <w:type w:val="continuous"/>
          <w:pgSz w:w="12240" w:h="15840"/>
          <w:pgMar w:top="1440" w:right="1440" w:bottom="1440" w:left="1440" w:header="720" w:footer="720" w:gutter="0"/>
          <w:cols w:space="720"/>
          <w:docGrid w:linePitch="360"/>
        </w:sectPr>
      </w:pPr>
    </w:p>
    <w:p w14:paraId="4AA2FBB5" w14:textId="77777777" w:rsidR="004D41DE" w:rsidRDefault="004D41DE" w:rsidP="008265F0">
      <w:pPr>
        <w:rPr>
          <w:rFonts w:ascii="Calibri" w:eastAsia="Calibri" w:hAnsi="Calibri" w:cs="Calibri"/>
          <w:color w:val="44546A"/>
          <w:szCs w:val="20"/>
          <w:lang w:val="sr-Cyrl-CS"/>
        </w:rPr>
      </w:pPr>
    </w:p>
    <w:p w14:paraId="699F3D45" w14:textId="77777777" w:rsidR="001E3E7D" w:rsidRPr="008F478F" w:rsidRDefault="001E3E7D" w:rsidP="008265F0">
      <w:pPr>
        <w:rPr>
          <w:rFonts w:ascii="Calibri" w:eastAsia="Calibri" w:hAnsi="Calibri" w:cs="Calibri"/>
          <w:color w:val="44546A"/>
          <w:szCs w:val="20"/>
          <w:lang w:val="sr-Cyrl-CS"/>
        </w:rPr>
      </w:pPr>
      <w:r w:rsidRPr="008F478F">
        <w:rPr>
          <w:rFonts w:ascii="Calibri" w:eastAsia="Calibri" w:hAnsi="Calibri" w:cs="Calibri"/>
          <w:color w:val="44546A"/>
          <w:szCs w:val="20"/>
          <w:lang w:val="sr-Cyrl-CS"/>
        </w:rPr>
        <w:t>Обрачун S0 индикатора за Републику Србију, урађен је од стране Министарства финансија, и базира се на методологији ЕК.</w:t>
      </w:r>
    </w:p>
    <w:p w14:paraId="1CFE7D33" w14:textId="77777777" w:rsidR="001E3E7D" w:rsidRPr="00F50273" w:rsidRDefault="001E3E7D" w:rsidP="008265F0">
      <w:pPr>
        <w:rPr>
          <w:rFonts w:ascii="Calibri" w:eastAsia="Calibri" w:hAnsi="Calibri" w:cs="Calibri"/>
          <w:color w:val="44546A"/>
          <w:spacing w:val="2"/>
          <w:szCs w:val="20"/>
          <w:lang w:val="sr-Cyrl-CS"/>
        </w:rPr>
      </w:pPr>
      <w:r w:rsidRPr="00F50273">
        <w:rPr>
          <w:rFonts w:ascii="Calibri" w:eastAsia="Calibri" w:hAnsi="Calibri" w:cs="Calibri"/>
          <w:color w:val="44546A"/>
          <w:spacing w:val="2"/>
          <w:szCs w:val="20"/>
          <w:lang w:val="sr-Cyrl-CS"/>
        </w:rPr>
        <w:t>На основу података ЕК за земље ЕУ за 2020. годину и о</w:t>
      </w:r>
      <w:r w:rsidRPr="00F50273">
        <w:rPr>
          <w:rFonts w:ascii="Calibri" w:eastAsia="Calibri" w:hAnsi="Calibri" w:cs="Calibri"/>
          <w:color w:val="44546A"/>
          <w:spacing w:val="2"/>
          <w:szCs w:val="20"/>
          <w:lang w:val="sr-Cyrl-RS"/>
        </w:rPr>
        <w:t>б</w:t>
      </w:r>
      <w:r w:rsidRPr="00F50273">
        <w:rPr>
          <w:rFonts w:ascii="Calibri" w:eastAsia="Calibri" w:hAnsi="Calibri" w:cs="Calibri"/>
          <w:color w:val="44546A"/>
          <w:spacing w:val="2"/>
          <w:szCs w:val="20"/>
          <w:lang w:val="sr-Cyrl-CS"/>
        </w:rPr>
        <w:t>рачуна Министарства финансија за Републику Србију, закључујемо да се већина посматраних земаља, као и Србија, нашла у зони где би могла бити изложена некој врсти фискалног стреса у наредном средњорочном периоду. Минимизирање потенцијалних ризика за настанак фискалног стреса у посматраним земљама ће бити неопходно ради стварања простора за доношење мера економске политике као одговор на здравствену кризу која се прелила у све сфере економије.</w:t>
      </w:r>
    </w:p>
    <w:p w14:paraId="6A15CE0A" w14:textId="77777777" w:rsidR="001E3E7D" w:rsidRDefault="001E3E7D" w:rsidP="008265F0">
      <w:pPr>
        <w:rPr>
          <w:rFonts w:ascii="Calibri" w:eastAsia="Calibri" w:hAnsi="Calibri" w:cs="Calibri"/>
          <w:color w:val="44546A"/>
          <w:szCs w:val="20"/>
          <w:lang w:val="sr-Cyrl-CS"/>
        </w:rPr>
      </w:pPr>
    </w:p>
    <w:p w14:paraId="618E3E88" w14:textId="77777777" w:rsidR="001E3E7D" w:rsidRDefault="001E3E7D" w:rsidP="008265F0">
      <w:pPr>
        <w:rPr>
          <w:rFonts w:ascii="Calibri" w:eastAsia="Calibri" w:hAnsi="Calibri" w:cs="Calibri"/>
          <w:color w:val="44546A"/>
          <w:szCs w:val="20"/>
          <w:lang w:val="sr-Cyrl-CS"/>
        </w:rPr>
      </w:pPr>
    </w:p>
    <w:p w14:paraId="2901CCA3" w14:textId="77777777" w:rsidR="001E3E7D" w:rsidRDefault="001E3E7D" w:rsidP="008265F0">
      <w:pPr>
        <w:rPr>
          <w:rFonts w:ascii="Calibri" w:eastAsia="Calibri" w:hAnsi="Calibri" w:cs="Calibri"/>
          <w:color w:val="44546A"/>
          <w:szCs w:val="20"/>
          <w:lang w:val="sr-Cyrl-CS"/>
        </w:rPr>
      </w:pPr>
    </w:p>
    <w:p w14:paraId="45144BE7" w14:textId="77777777" w:rsidR="001E3E7D" w:rsidRDefault="001E3E7D" w:rsidP="008265F0">
      <w:pPr>
        <w:rPr>
          <w:rFonts w:ascii="Calibri" w:eastAsia="Calibri" w:hAnsi="Calibri" w:cs="Calibri"/>
          <w:color w:val="44546A"/>
          <w:szCs w:val="20"/>
          <w:lang w:val="sr-Cyrl-CS"/>
        </w:rPr>
      </w:pPr>
    </w:p>
    <w:p w14:paraId="36B0A9B8" w14:textId="77777777" w:rsidR="001E3E7D" w:rsidRDefault="001E3E7D" w:rsidP="008265F0">
      <w:pPr>
        <w:rPr>
          <w:rFonts w:ascii="Calibri" w:eastAsia="Calibri" w:hAnsi="Calibri" w:cs="Calibri"/>
          <w:color w:val="44546A"/>
          <w:szCs w:val="20"/>
          <w:lang w:val="sr-Cyrl-CS"/>
        </w:rPr>
      </w:pPr>
    </w:p>
    <w:p w14:paraId="326BD8A7" w14:textId="77777777" w:rsidR="001E3E7D" w:rsidRDefault="001E3E7D" w:rsidP="008265F0">
      <w:pPr>
        <w:rPr>
          <w:rFonts w:ascii="Calibri" w:eastAsia="Calibri" w:hAnsi="Calibri" w:cs="Calibri"/>
          <w:color w:val="44546A"/>
          <w:szCs w:val="20"/>
          <w:lang w:val="sr-Cyrl-CS"/>
        </w:rPr>
      </w:pPr>
    </w:p>
    <w:p w14:paraId="6E634C37" w14:textId="77777777" w:rsidR="001E3E7D" w:rsidRPr="008F478F" w:rsidRDefault="001E3E7D" w:rsidP="008265F0">
      <w:pPr>
        <w:rPr>
          <w:rFonts w:ascii="Calibri" w:eastAsia="Calibri" w:hAnsi="Calibri" w:cs="Calibri"/>
          <w:color w:val="44546A"/>
          <w:szCs w:val="20"/>
          <w:lang w:val="sr-Cyrl-CS"/>
        </w:rPr>
      </w:pPr>
      <w:r>
        <w:rPr>
          <w:noProof/>
        </w:rPr>
        <w:drawing>
          <wp:inline distT="0" distB="0" distL="0" distR="0" wp14:anchorId="7B18BE37" wp14:editId="7F463BB6">
            <wp:extent cx="2857500" cy="4181475"/>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726FDA1B" w14:textId="77777777" w:rsidR="001E3E7D" w:rsidRPr="00EA3D8C" w:rsidRDefault="001E3E7D" w:rsidP="00FE1A26">
      <w:pPr>
        <w:jc w:val="right"/>
        <w:rPr>
          <w:color w:val="auto"/>
          <w:lang w:val="sr-Cyrl-RS"/>
        </w:rPr>
        <w:sectPr w:rsidR="001E3E7D" w:rsidRPr="00EA3D8C" w:rsidSect="008265F0">
          <w:type w:val="continuous"/>
          <w:pgSz w:w="12240" w:h="15840" w:code="1"/>
          <w:pgMar w:top="1440" w:right="1440" w:bottom="1440" w:left="1440" w:header="720" w:footer="720" w:gutter="0"/>
          <w:cols w:num="2" w:space="720"/>
          <w:docGrid w:linePitch="360"/>
        </w:sectPr>
      </w:pPr>
    </w:p>
    <w:p w14:paraId="480F2F06" w14:textId="77777777" w:rsidR="001E3E7D" w:rsidRPr="00EA3D8C" w:rsidRDefault="001E3E7D" w:rsidP="005D42AC">
      <w:pPr>
        <w:pStyle w:val="Heading2"/>
        <w:spacing w:before="240" w:after="240"/>
        <w:jc w:val="center"/>
        <w:rPr>
          <w:rFonts w:asciiTheme="minorHAnsi" w:eastAsia="Calibri" w:hAnsiTheme="minorHAnsi" w:cstheme="minorHAnsi"/>
          <w:b/>
          <w:sz w:val="24"/>
          <w:lang w:val="sr-Cyrl-RS"/>
        </w:rPr>
      </w:pPr>
      <w:bookmarkStart w:id="27" w:name="_Toc56667078"/>
      <w:bookmarkStart w:id="28" w:name="_Toc73364970"/>
      <w:bookmarkEnd w:id="26"/>
      <w:r w:rsidRPr="00EA3D8C">
        <w:rPr>
          <w:rFonts w:asciiTheme="minorHAnsi" w:eastAsia="Calibri" w:hAnsiTheme="minorHAnsi" w:cstheme="minorHAnsi"/>
          <w:b/>
          <w:sz w:val="24"/>
          <w:lang w:val="sr-Cyrl-RS"/>
        </w:rPr>
        <w:lastRenderedPageBreak/>
        <w:t>4. Фи</w:t>
      </w:r>
      <w:r>
        <w:rPr>
          <w:rFonts w:asciiTheme="minorHAnsi" w:eastAsia="Calibri" w:hAnsiTheme="minorHAnsi" w:cstheme="minorHAnsi"/>
          <w:b/>
          <w:sz w:val="24"/>
          <w:lang w:val="sr-Cyrl-RS"/>
        </w:rPr>
        <w:t>скалне пројекције у периоду 2022–2024</w:t>
      </w:r>
      <w:r w:rsidRPr="00EA3D8C">
        <w:rPr>
          <w:rFonts w:asciiTheme="minorHAnsi" w:eastAsia="Calibri" w:hAnsiTheme="minorHAnsi" w:cstheme="minorHAnsi"/>
          <w:b/>
          <w:sz w:val="24"/>
          <w:lang w:val="sr-Cyrl-RS"/>
        </w:rPr>
        <w:t>. године</w:t>
      </w:r>
      <w:bookmarkEnd w:id="24"/>
      <w:bookmarkEnd w:id="27"/>
      <w:bookmarkEnd w:id="28"/>
    </w:p>
    <w:p w14:paraId="098BE4B5" w14:textId="77777777" w:rsidR="001E3E7D" w:rsidRPr="00EA3D8C" w:rsidRDefault="001E3E7D" w:rsidP="005D42AC">
      <w:pPr>
        <w:pStyle w:val="Heading2"/>
        <w:spacing w:before="240" w:after="240"/>
        <w:rPr>
          <w:rFonts w:eastAsia="MS PGothic" w:cstheme="minorHAnsi"/>
          <w:color w:val="44546A" w:themeColor="text2"/>
          <w:sz w:val="20"/>
          <w:szCs w:val="20"/>
          <w:lang w:val="sr-Cyrl-RS" w:eastAsia="ja-JP"/>
        </w:rPr>
        <w:sectPr w:rsidR="001E3E7D" w:rsidRPr="00EA3D8C" w:rsidSect="00AE40EB">
          <w:footerReference w:type="even" r:id="rId121"/>
          <w:footerReference w:type="default" r:id="rId122"/>
          <w:headerReference w:type="first" r:id="rId123"/>
          <w:pgSz w:w="12240" w:h="15840" w:code="1"/>
          <w:pgMar w:top="1440" w:right="1440" w:bottom="1440" w:left="1440" w:header="720" w:footer="720" w:gutter="0"/>
          <w:cols w:space="720"/>
          <w:docGrid w:linePitch="360"/>
        </w:sectPr>
      </w:pPr>
    </w:p>
    <w:p w14:paraId="56D199F7" w14:textId="77777777" w:rsidR="001E3E7D" w:rsidRPr="00EA3D8C" w:rsidRDefault="001E3E7D" w:rsidP="00333B2E">
      <w:pPr>
        <w:rPr>
          <w:lang w:val="sr-Cyrl-RS" w:eastAsia="ja-JP"/>
        </w:rPr>
      </w:pPr>
      <w:r w:rsidRPr="00EA3D8C">
        <w:rPr>
          <w:lang w:val="sr-Cyrl-RS" w:eastAsia="ja-JP"/>
        </w:rPr>
        <w:t>У наредном средњорочном периоду економска и фискална политика зависиће од развоја пандемије и успеха на пољу борбе против ње. Циљеви фискалне политике свакако су усмерени на одржање фискалне стабилности и смањење учешћа јавног дуга у БДП. Средњорочни фискални оквир предвиђа постепено смањење дефицита опште др</w:t>
      </w:r>
      <w:r>
        <w:rPr>
          <w:lang w:val="sr-Cyrl-RS" w:eastAsia="ja-JP"/>
        </w:rPr>
        <w:t>жаве на ниво од 1,0% БДП до 2024</w:t>
      </w:r>
      <w:r w:rsidRPr="00EA3D8C">
        <w:rPr>
          <w:lang w:val="sr-Cyrl-RS" w:eastAsia="ja-JP"/>
        </w:rPr>
        <w:t xml:space="preserve">. године и пад учешћа јавног дуга на </w:t>
      </w:r>
      <w:r w:rsidRPr="0090315D">
        <w:rPr>
          <w:lang w:val="sr-Latn-RS" w:eastAsia="ja-JP"/>
        </w:rPr>
        <w:t>55,5</w:t>
      </w:r>
      <w:r w:rsidRPr="0090315D">
        <w:rPr>
          <w:lang w:val="sr-Cyrl-RS" w:eastAsia="ja-JP"/>
        </w:rPr>
        <w:t xml:space="preserve">% БДП. </w:t>
      </w:r>
      <w:r w:rsidRPr="00EA3D8C">
        <w:rPr>
          <w:lang w:val="sr-Cyrl-RS" w:eastAsia="ja-JP"/>
        </w:rPr>
        <w:t>Пројекције фискалних агрегата у периоду од 20</w:t>
      </w:r>
      <w:r>
        <w:rPr>
          <w:lang w:val="sr-Cyrl-RS" w:eastAsia="ja-JP"/>
        </w:rPr>
        <w:t>21. до 2024</w:t>
      </w:r>
      <w:r w:rsidRPr="00EA3D8C">
        <w:rPr>
          <w:lang w:val="sr-Cyrl-RS" w:eastAsia="ja-JP"/>
        </w:rPr>
        <w:t>. године заснивају се на пројекцијама макроекономских показатеља за наведени период, планираној пореској политици која подразумева даље усаглашавање са законима и директивама ЕУ и фискалним и структурним мерама, укључујући и даљу реформу великих јавних предузећа.</w:t>
      </w:r>
    </w:p>
    <w:p w14:paraId="420C8AFF" w14:textId="77777777" w:rsidR="001E3E7D" w:rsidRPr="00EA3D8C" w:rsidRDefault="001E3E7D" w:rsidP="005D42AC">
      <w:pPr>
        <w:spacing w:line="276" w:lineRule="auto"/>
        <w:rPr>
          <w:lang w:val="sr-Cyrl-RS" w:eastAsia="ja-JP"/>
        </w:rPr>
      </w:pPr>
      <w:r w:rsidRPr="00EA3D8C">
        <w:rPr>
          <w:lang w:val="sr-Cyrl-RS" w:eastAsia="ja-JP"/>
        </w:rPr>
        <w:t xml:space="preserve">Захваљујући мерама фискалне консолидације у претходном периоду створен је фискални простор </w:t>
      </w:r>
      <w:r w:rsidRPr="00EA3D8C">
        <w:rPr>
          <w:lang w:val="sr-Cyrl-RS" w:eastAsia="ja-JP"/>
        </w:rPr>
        <w:t>који је омогућио богат</w:t>
      </w:r>
      <w:r>
        <w:rPr>
          <w:lang w:val="sr-Latn-RS" w:eastAsia="ja-JP"/>
        </w:rPr>
        <w:t>e</w:t>
      </w:r>
      <w:r w:rsidRPr="00EA3D8C">
        <w:rPr>
          <w:lang w:val="sr-Cyrl-RS" w:eastAsia="ja-JP"/>
        </w:rPr>
        <w:t xml:space="preserve"> пакет</w:t>
      </w:r>
      <w:r>
        <w:rPr>
          <w:lang w:val="sr-Latn-RS" w:eastAsia="ja-JP"/>
        </w:rPr>
        <w:t>e</w:t>
      </w:r>
      <w:r w:rsidRPr="00EA3D8C">
        <w:rPr>
          <w:lang w:val="sr-Cyrl-RS" w:eastAsia="ja-JP"/>
        </w:rPr>
        <w:t xml:space="preserve"> мера у склопу борбе против ефеката кризе изазване пандемијом током 2020. </w:t>
      </w:r>
      <w:r>
        <w:rPr>
          <w:lang w:val="sr-Cyrl-RS" w:eastAsia="ja-JP"/>
        </w:rPr>
        <w:t xml:space="preserve">и 2021. </w:t>
      </w:r>
      <w:r w:rsidRPr="00EA3D8C">
        <w:rPr>
          <w:lang w:val="sr-Cyrl-RS" w:eastAsia="ja-JP"/>
        </w:rPr>
        <w:t>године. У наредној години не очекује се истоветан утицај пандемије који би захтевао сличан пакет мера, али биће обезбеђене одређене резерве у случају новог погоршања економских кре</w:t>
      </w:r>
      <w:r>
        <w:rPr>
          <w:lang w:val="sr-Cyrl-RS" w:eastAsia="ja-JP"/>
        </w:rPr>
        <w:t>тања. У 2022</w:t>
      </w:r>
      <w:r w:rsidRPr="00EA3D8C">
        <w:rPr>
          <w:lang w:val="sr-Cyrl-RS" w:eastAsia="ja-JP"/>
        </w:rPr>
        <w:t xml:space="preserve">. години </w:t>
      </w:r>
      <w:r>
        <w:rPr>
          <w:lang w:val="sr-Cyrl-RS" w:eastAsia="ja-JP"/>
        </w:rPr>
        <w:t>се очекује</w:t>
      </w:r>
      <w:r w:rsidRPr="00EA3D8C">
        <w:rPr>
          <w:lang w:val="sr-Cyrl-RS" w:eastAsia="ja-JP"/>
        </w:rPr>
        <w:t xml:space="preserve"> </w:t>
      </w:r>
      <w:r w:rsidR="00103068">
        <w:rPr>
          <w:lang w:val="sr-Cyrl-RS" w:eastAsia="ja-JP"/>
        </w:rPr>
        <w:t xml:space="preserve">наставак улагања у </w:t>
      </w:r>
      <w:r>
        <w:rPr>
          <w:lang w:val="sr-Cyrl-RS" w:eastAsia="ja-JP"/>
        </w:rPr>
        <w:t xml:space="preserve">капиталне инвестиције и </w:t>
      </w:r>
      <w:r w:rsidRPr="00EA3D8C">
        <w:rPr>
          <w:lang w:val="sr-Cyrl-RS" w:eastAsia="ja-JP"/>
        </w:rPr>
        <w:t xml:space="preserve">здравствени систем, умерено повећање пензија и плата у јавном сектору, </w:t>
      </w:r>
      <w:r>
        <w:rPr>
          <w:lang w:val="sr-Cyrl-RS" w:eastAsia="ja-JP"/>
        </w:rPr>
        <w:t xml:space="preserve">а могуће је и </w:t>
      </w:r>
      <w:r w:rsidRPr="00EA3D8C">
        <w:rPr>
          <w:lang w:val="sr-Cyrl-RS" w:eastAsia="ja-JP"/>
        </w:rPr>
        <w:t>пореско растерећење привреде</w:t>
      </w:r>
      <w:r>
        <w:rPr>
          <w:lang w:val="sr-Cyrl-RS" w:eastAsia="ja-JP"/>
        </w:rPr>
        <w:t>, у случају расположивог фискалног простора</w:t>
      </w:r>
      <w:r w:rsidRPr="00EA3D8C">
        <w:rPr>
          <w:lang w:val="sr-Cyrl-RS" w:eastAsia="ja-JP"/>
        </w:rPr>
        <w:t>. Ове мере и њихове фискалне импликације дизајниране су тако да не угрозе стабилност јавних финансија и темпо смањења јавног дуга, затим да одрже животни стандард становништва и помогну привредни развој, али и да осигурају флексибилност реакције на евентуалне нове ударе кризе.</w:t>
      </w:r>
    </w:p>
    <w:p w14:paraId="763D328C" w14:textId="77777777" w:rsidR="001E3E7D" w:rsidRPr="00EA3D8C" w:rsidRDefault="001E3E7D" w:rsidP="00C130D2">
      <w:pPr>
        <w:spacing w:line="276" w:lineRule="auto"/>
        <w:rPr>
          <w:lang w:val="sr-Cyrl-RS" w:eastAsia="ja-JP"/>
        </w:rPr>
        <w:sectPr w:rsidR="001E3E7D" w:rsidRPr="00EA3D8C" w:rsidSect="00AE40EB">
          <w:type w:val="continuous"/>
          <w:pgSz w:w="12240" w:h="15840" w:code="1"/>
          <w:pgMar w:top="1440" w:right="1440" w:bottom="1440" w:left="1440" w:header="720" w:footer="720" w:gutter="0"/>
          <w:cols w:num="2" w:space="720"/>
          <w:docGrid w:linePitch="360"/>
        </w:sectPr>
      </w:pPr>
    </w:p>
    <w:p w14:paraId="24C923DD" w14:textId="77777777" w:rsidR="001E3E7D" w:rsidRPr="00EA3D8C" w:rsidRDefault="001E3E7D" w:rsidP="005D42AC">
      <w:pPr>
        <w:widowControl w:val="0"/>
        <w:spacing w:before="360" w:after="120" w:line="276" w:lineRule="auto"/>
        <w:jc w:val="center"/>
        <w:rPr>
          <w:rFonts w:eastAsia="MS PGothic" w:cstheme="minorHAnsi"/>
          <w:b/>
          <w:color w:val="002060"/>
          <w:szCs w:val="20"/>
          <w:lang w:val="sr-Cyrl-RS" w:eastAsia="ja-JP"/>
        </w:rPr>
      </w:pPr>
      <w:r>
        <w:rPr>
          <w:rFonts w:eastAsia="MS PGothic" w:cstheme="minorHAnsi"/>
          <w:b/>
          <w:color w:val="002060"/>
          <w:szCs w:val="20"/>
          <w:lang w:val="sr-Cyrl-RS" w:eastAsia="ja-JP"/>
        </w:rPr>
        <w:t>Табела 10</w:t>
      </w:r>
      <w:r w:rsidRPr="00EA3D8C">
        <w:rPr>
          <w:rFonts w:eastAsia="MS PGothic" w:cstheme="minorHAnsi"/>
          <w:b/>
          <w:color w:val="002060"/>
          <w:szCs w:val="20"/>
          <w:lang w:val="sr-Cyrl-RS" w:eastAsia="ja-JP"/>
        </w:rPr>
        <w:t>. Фискални агрегати у периоду 20</w:t>
      </w:r>
      <w:r>
        <w:rPr>
          <w:rFonts w:eastAsia="MS PGothic" w:cstheme="minorHAnsi"/>
          <w:b/>
          <w:color w:val="002060"/>
          <w:szCs w:val="20"/>
          <w:lang w:val="sr-Cyrl-RS" w:eastAsia="ja-JP"/>
        </w:rPr>
        <w:t>20–2024</w:t>
      </w:r>
      <w:r w:rsidRPr="00EA3D8C">
        <w:rPr>
          <w:rFonts w:eastAsia="MS PGothic" w:cstheme="minorHAnsi"/>
          <w:b/>
          <w:color w:val="002060"/>
          <w:szCs w:val="20"/>
          <w:lang w:val="sr-Cyrl-RS" w:eastAsia="ja-JP"/>
        </w:rPr>
        <w:t>. године, % БДП</w:t>
      </w:r>
    </w:p>
    <w:tbl>
      <w:tblPr>
        <w:tblStyle w:val="LightShading-Accent1221"/>
        <w:tblW w:w="5000" w:type="pct"/>
        <w:tblBorders>
          <w:top w:val="none" w:sz="0" w:space="0" w:color="auto"/>
          <w:bottom w:val="none" w:sz="0" w:space="0" w:color="auto"/>
        </w:tblBorders>
        <w:tblLook w:val="0420" w:firstRow="1" w:lastRow="0" w:firstColumn="0" w:lastColumn="0" w:noHBand="0" w:noVBand="1"/>
      </w:tblPr>
      <w:tblGrid>
        <w:gridCol w:w="3971"/>
        <w:gridCol w:w="1133"/>
        <w:gridCol w:w="1133"/>
        <w:gridCol w:w="1041"/>
        <w:gridCol w:w="1041"/>
        <w:gridCol w:w="1041"/>
      </w:tblGrid>
      <w:tr w:rsidR="001E3E7D" w:rsidRPr="00EA3D8C" w14:paraId="63E7ADAE" w14:textId="77777777" w:rsidTr="005D42AC">
        <w:trPr>
          <w:cnfStyle w:val="100000000000" w:firstRow="1" w:lastRow="0" w:firstColumn="0" w:lastColumn="0" w:oddVBand="0" w:evenVBand="0" w:oddHBand="0" w:evenHBand="0" w:firstRowFirstColumn="0" w:firstRowLastColumn="0" w:lastRowFirstColumn="0" w:lastRowLastColumn="0"/>
          <w:trHeight w:val="253"/>
        </w:trPr>
        <w:tc>
          <w:tcPr>
            <w:tcW w:w="2121" w:type="pct"/>
            <w:tcBorders>
              <w:top w:val="single" w:sz="4" w:space="0" w:color="002060"/>
              <w:bottom w:val="single" w:sz="4" w:space="0" w:color="002060"/>
            </w:tcBorders>
            <w:shd w:val="clear" w:color="auto" w:fill="auto"/>
            <w:noWrap/>
            <w:vAlign w:val="center"/>
          </w:tcPr>
          <w:p w14:paraId="5371AAA1" w14:textId="77777777" w:rsidR="001E3E7D" w:rsidRPr="00EA3D8C" w:rsidRDefault="001E3E7D" w:rsidP="00C130D2">
            <w:pPr>
              <w:spacing w:line="276" w:lineRule="auto"/>
              <w:rPr>
                <w:rFonts w:asciiTheme="minorHAnsi" w:hAnsiTheme="minorHAnsi" w:cstheme="minorHAnsi"/>
                <w:b w:val="0"/>
                <w:color w:val="002060"/>
                <w:sz w:val="18"/>
                <w:lang w:val="sr-Cyrl-RS"/>
              </w:rPr>
            </w:pPr>
            <w:r w:rsidRPr="00EA3D8C">
              <w:rPr>
                <w:rFonts w:asciiTheme="minorHAnsi" w:hAnsiTheme="minorHAnsi" w:cstheme="minorHAnsi"/>
                <w:b w:val="0"/>
                <w:color w:val="002060"/>
                <w:sz w:val="18"/>
                <w:lang w:val="sr-Cyrl-RS"/>
              </w:rPr>
              <w:t>Опис</w:t>
            </w:r>
          </w:p>
        </w:tc>
        <w:tc>
          <w:tcPr>
            <w:tcW w:w="605" w:type="pct"/>
            <w:tcBorders>
              <w:top w:val="single" w:sz="4" w:space="0" w:color="002060"/>
              <w:bottom w:val="single" w:sz="4" w:space="0" w:color="002060"/>
            </w:tcBorders>
            <w:shd w:val="clear" w:color="auto" w:fill="auto"/>
            <w:vAlign w:val="center"/>
          </w:tcPr>
          <w:p w14:paraId="4AABB80E" w14:textId="77777777" w:rsidR="001E3E7D" w:rsidRPr="00EA3D8C" w:rsidRDefault="001E3E7D" w:rsidP="00C130D2">
            <w:pPr>
              <w:spacing w:line="276" w:lineRule="auto"/>
              <w:jc w:val="right"/>
              <w:rPr>
                <w:rFonts w:asciiTheme="minorHAnsi" w:hAnsiTheme="minorHAnsi" w:cstheme="minorHAnsi"/>
                <w:b w:val="0"/>
                <w:color w:val="002060"/>
                <w:sz w:val="18"/>
                <w:lang w:val="sr-Cyrl-RS"/>
              </w:rPr>
            </w:pPr>
            <w:r w:rsidRPr="00EA3D8C">
              <w:rPr>
                <w:rFonts w:asciiTheme="minorHAnsi" w:hAnsiTheme="minorHAnsi" w:cstheme="minorHAnsi"/>
                <w:b w:val="0"/>
                <w:color w:val="002060"/>
                <w:sz w:val="18"/>
                <w:lang w:val="sr-Cyrl-RS"/>
              </w:rPr>
              <w:t>Извршење</w:t>
            </w:r>
          </w:p>
        </w:tc>
        <w:tc>
          <w:tcPr>
            <w:tcW w:w="605" w:type="pct"/>
            <w:tcBorders>
              <w:top w:val="single" w:sz="4" w:space="0" w:color="002060"/>
              <w:bottom w:val="single" w:sz="4" w:space="0" w:color="002060"/>
            </w:tcBorders>
            <w:shd w:val="clear" w:color="auto" w:fill="auto"/>
            <w:vAlign w:val="center"/>
          </w:tcPr>
          <w:p w14:paraId="38C0DB8F" w14:textId="77777777" w:rsidR="001E3E7D" w:rsidRPr="00EA3D8C" w:rsidRDefault="001E3E7D" w:rsidP="00C130D2">
            <w:pPr>
              <w:spacing w:line="276" w:lineRule="auto"/>
              <w:jc w:val="right"/>
              <w:rPr>
                <w:rFonts w:asciiTheme="minorHAnsi" w:hAnsiTheme="minorHAnsi" w:cstheme="minorHAnsi"/>
                <w:b w:val="0"/>
                <w:color w:val="002060"/>
                <w:sz w:val="18"/>
                <w:lang w:val="sr-Cyrl-RS"/>
              </w:rPr>
            </w:pPr>
            <w:r w:rsidRPr="00EA3D8C">
              <w:rPr>
                <w:rFonts w:asciiTheme="minorHAnsi" w:hAnsiTheme="minorHAnsi" w:cstheme="minorHAnsi"/>
                <w:b w:val="0"/>
                <w:color w:val="002060"/>
                <w:sz w:val="18"/>
                <w:lang w:val="sr-Cyrl-RS"/>
              </w:rPr>
              <w:t>Процена</w:t>
            </w:r>
          </w:p>
        </w:tc>
        <w:tc>
          <w:tcPr>
            <w:tcW w:w="1668" w:type="pct"/>
            <w:gridSpan w:val="3"/>
            <w:tcBorders>
              <w:top w:val="single" w:sz="4" w:space="0" w:color="002060"/>
              <w:bottom w:val="single" w:sz="4" w:space="0" w:color="002060"/>
            </w:tcBorders>
            <w:shd w:val="clear" w:color="auto" w:fill="auto"/>
            <w:vAlign w:val="center"/>
          </w:tcPr>
          <w:p w14:paraId="59B3DB0F" w14:textId="77777777" w:rsidR="001E3E7D" w:rsidRPr="00EA3D8C" w:rsidRDefault="001E3E7D" w:rsidP="00C130D2">
            <w:pPr>
              <w:spacing w:line="276" w:lineRule="auto"/>
              <w:jc w:val="center"/>
              <w:rPr>
                <w:rFonts w:asciiTheme="minorHAnsi" w:hAnsiTheme="minorHAnsi" w:cstheme="minorHAnsi"/>
                <w:b w:val="0"/>
                <w:color w:val="002060"/>
                <w:sz w:val="18"/>
                <w:lang w:val="sr-Cyrl-RS"/>
              </w:rPr>
            </w:pPr>
            <w:r w:rsidRPr="00EA3D8C">
              <w:rPr>
                <w:rFonts w:asciiTheme="minorHAnsi" w:hAnsiTheme="minorHAnsi" w:cstheme="minorHAnsi"/>
                <w:b w:val="0"/>
                <w:color w:val="002060"/>
                <w:sz w:val="18"/>
                <w:lang w:val="sr-Cyrl-RS"/>
              </w:rPr>
              <w:t>Пројекција</w:t>
            </w:r>
          </w:p>
        </w:tc>
      </w:tr>
      <w:tr w:rsidR="001E3E7D" w:rsidRPr="00EA3D8C" w14:paraId="244873F1"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tcBorders>
              <w:top w:val="single" w:sz="4" w:space="0" w:color="002060"/>
              <w:left w:val="none" w:sz="0" w:space="0" w:color="auto"/>
              <w:right w:val="none" w:sz="0" w:space="0" w:color="auto"/>
            </w:tcBorders>
            <w:shd w:val="clear" w:color="auto" w:fill="auto"/>
            <w:noWrap/>
            <w:vAlign w:val="center"/>
          </w:tcPr>
          <w:p w14:paraId="49FEE73E"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 </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52FA191A"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2020</w:t>
            </w:r>
          </w:p>
        </w:tc>
        <w:tc>
          <w:tcPr>
            <w:tcW w:w="605" w:type="pct"/>
            <w:tcBorders>
              <w:top w:val="single" w:sz="4" w:space="0" w:color="002060"/>
              <w:left w:val="none" w:sz="0" w:space="0" w:color="auto"/>
              <w:bottom w:val="single" w:sz="4" w:space="0" w:color="002060"/>
              <w:right w:val="none" w:sz="0" w:space="0" w:color="auto"/>
            </w:tcBorders>
            <w:shd w:val="clear" w:color="auto" w:fill="auto"/>
            <w:vAlign w:val="center"/>
          </w:tcPr>
          <w:p w14:paraId="5FA1E3A5"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2021</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60A70BAE"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2022</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0377EAC8"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2023</w:t>
            </w:r>
          </w:p>
        </w:tc>
        <w:tc>
          <w:tcPr>
            <w:tcW w:w="556" w:type="pct"/>
            <w:tcBorders>
              <w:top w:val="single" w:sz="4" w:space="0" w:color="002060"/>
              <w:left w:val="none" w:sz="0" w:space="0" w:color="auto"/>
              <w:bottom w:val="single" w:sz="4" w:space="0" w:color="002060"/>
              <w:right w:val="none" w:sz="0" w:space="0" w:color="auto"/>
            </w:tcBorders>
            <w:shd w:val="clear" w:color="auto" w:fill="auto"/>
            <w:vAlign w:val="center"/>
          </w:tcPr>
          <w:p w14:paraId="2A76A298" w14:textId="77777777" w:rsidR="001E3E7D" w:rsidRPr="00EA3D8C" w:rsidRDefault="001E3E7D" w:rsidP="005D42AC">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2024</w:t>
            </w:r>
          </w:p>
        </w:tc>
      </w:tr>
      <w:tr w:rsidR="001E3E7D" w:rsidRPr="00EA3D8C" w14:paraId="458ABAF1" w14:textId="77777777" w:rsidTr="005D42AC">
        <w:trPr>
          <w:trHeight w:val="253"/>
        </w:trPr>
        <w:tc>
          <w:tcPr>
            <w:tcW w:w="2121" w:type="pct"/>
            <w:shd w:val="clear" w:color="auto" w:fill="auto"/>
            <w:vAlign w:val="center"/>
          </w:tcPr>
          <w:p w14:paraId="0A94AC69"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Јавни приходи</w:t>
            </w:r>
          </w:p>
        </w:tc>
        <w:tc>
          <w:tcPr>
            <w:tcW w:w="605" w:type="pct"/>
            <w:tcBorders>
              <w:top w:val="single" w:sz="4" w:space="0" w:color="002060"/>
            </w:tcBorders>
            <w:shd w:val="clear" w:color="auto" w:fill="auto"/>
            <w:vAlign w:val="center"/>
          </w:tcPr>
          <w:p w14:paraId="04A6F30B"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41,3</w:t>
            </w:r>
          </w:p>
        </w:tc>
        <w:tc>
          <w:tcPr>
            <w:tcW w:w="605" w:type="pct"/>
            <w:tcBorders>
              <w:top w:val="single" w:sz="4" w:space="0" w:color="002060"/>
            </w:tcBorders>
            <w:shd w:val="clear" w:color="auto" w:fill="auto"/>
            <w:vAlign w:val="center"/>
          </w:tcPr>
          <w:p w14:paraId="13C697A2"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41,8</w:t>
            </w:r>
          </w:p>
        </w:tc>
        <w:tc>
          <w:tcPr>
            <w:tcW w:w="556" w:type="pct"/>
            <w:tcBorders>
              <w:top w:val="single" w:sz="4" w:space="0" w:color="002060"/>
            </w:tcBorders>
            <w:shd w:val="clear" w:color="auto" w:fill="auto"/>
            <w:vAlign w:val="center"/>
          </w:tcPr>
          <w:p w14:paraId="44B3E2E4"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41,8</w:t>
            </w:r>
          </w:p>
        </w:tc>
        <w:tc>
          <w:tcPr>
            <w:tcW w:w="556" w:type="pct"/>
            <w:tcBorders>
              <w:top w:val="single" w:sz="4" w:space="0" w:color="002060"/>
            </w:tcBorders>
            <w:shd w:val="clear" w:color="auto" w:fill="auto"/>
            <w:vAlign w:val="center"/>
          </w:tcPr>
          <w:p w14:paraId="441411C8"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40,8</w:t>
            </w:r>
          </w:p>
        </w:tc>
        <w:tc>
          <w:tcPr>
            <w:tcW w:w="556" w:type="pct"/>
            <w:tcBorders>
              <w:top w:val="single" w:sz="4" w:space="0" w:color="002060"/>
            </w:tcBorders>
            <w:shd w:val="clear" w:color="auto" w:fill="auto"/>
            <w:vAlign w:val="center"/>
          </w:tcPr>
          <w:p w14:paraId="50FAEE09"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40,6</w:t>
            </w:r>
          </w:p>
        </w:tc>
      </w:tr>
      <w:tr w:rsidR="001E3E7D" w:rsidRPr="00EA3D8C" w14:paraId="31B34BC6"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76328A10"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Јавни расходи</w:t>
            </w:r>
          </w:p>
        </w:tc>
        <w:tc>
          <w:tcPr>
            <w:tcW w:w="605" w:type="pct"/>
            <w:shd w:val="clear" w:color="auto" w:fill="auto"/>
            <w:vAlign w:val="center"/>
          </w:tcPr>
          <w:p w14:paraId="0BE771D7"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49,4</w:t>
            </w:r>
          </w:p>
        </w:tc>
        <w:tc>
          <w:tcPr>
            <w:tcW w:w="605" w:type="pct"/>
            <w:shd w:val="clear" w:color="auto" w:fill="auto"/>
            <w:vAlign w:val="center"/>
          </w:tcPr>
          <w:p w14:paraId="4906F97B"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48,7</w:t>
            </w:r>
          </w:p>
        </w:tc>
        <w:tc>
          <w:tcPr>
            <w:tcW w:w="556" w:type="pct"/>
            <w:shd w:val="clear" w:color="auto" w:fill="auto"/>
            <w:vAlign w:val="center"/>
          </w:tcPr>
          <w:p w14:paraId="2B9DBC40" w14:textId="77777777" w:rsidR="001E3E7D" w:rsidRPr="00EA3D8C" w:rsidRDefault="001E3E7D" w:rsidP="005D42AC">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44,7</w:t>
            </w:r>
          </w:p>
        </w:tc>
        <w:tc>
          <w:tcPr>
            <w:tcW w:w="556" w:type="pct"/>
            <w:shd w:val="clear" w:color="auto" w:fill="auto"/>
            <w:vAlign w:val="center"/>
          </w:tcPr>
          <w:p w14:paraId="5D4BB18C"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42,4</w:t>
            </w:r>
          </w:p>
        </w:tc>
        <w:tc>
          <w:tcPr>
            <w:tcW w:w="556" w:type="pct"/>
            <w:shd w:val="clear" w:color="auto" w:fill="auto"/>
            <w:vAlign w:val="center"/>
          </w:tcPr>
          <w:p w14:paraId="3BE740F2"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41,6</w:t>
            </w:r>
          </w:p>
        </w:tc>
      </w:tr>
      <w:tr w:rsidR="001E3E7D" w:rsidRPr="00EA3D8C" w14:paraId="32634FC5" w14:textId="77777777" w:rsidTr="005D42AC">
        <w:trPr>
          <w:trHeight w:val="253"/>
        </w:trPr>
        <w:tc>
          <w:tcPr>
            <w:tcW w:w="2121" w:type="pct"/>
            <w:shd w:val="clear" w:color="auto" w:fill="auto"/>
            <w:vAlign w:val="center"/>
          </w:tcPr>
          <w:p w14:paraId="466EA5D3" w14:textId="77777777" w:rsidR="001E3E7D" w:rsidRPr="00EA3D8C" w:rsidRDefault="001E3E7D" w:rsidP="00C130D2">
            <w:pPr>
              <w:spacing w:line="276" w:lineRule="auto"/>
              <w:rPr>
                <w:rFonts w:asciiTheme="minorHAnsi" w:hAnsiTheme="minorHAnsi" w:cstheme="minorHAnsi"/>
                <w:color w:val="002060"/>
                <w:sz w:val="18"/>
                <w:szCs w:val="18"/>
                <w:lang w:val="sr-Cyrl-RS"/>
              </w:rPr>
            </w:pPr>
          </w:p>
        </w:tc>
        <w:tc>
          <w:tcPr>
            <w:tcW w:w="605" w:type="pct"/>
            <w:shd w:val="clear" w:color="auto" w:fill="auto"/>
            <w:vAlign w:val="center"/>
          </w:tcPr>
          <w:p w14:paraId="1DDC60A7"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605" w:type="pct"/>
            <w:shd w:val="clear" w:color="auto" w:fill="auto"/>
            <w:vAlign w:val="center"/>
          </w:tcPr>
          <w:p w14:paraId="2A74A7B5"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585297B4"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7392C322"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6054DB06"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r>
      <w:tr w:rsidR="001E3E7D" w:rsidRPr="00EA3D8C" w14:paraId="5F94F50C"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26F80332"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Консолидовани фискални резултат</w:t>
            </w:r>
          </w:p>
        </w:tc>
        <w:tc>
          <w:tcPr>
            <w:tcW w:w="605" w:type="pct"/>
            <w:shd w:val="clear" w:color="auto" w:fill="auto"/>
            <w:vAlign w:val="center"/>
          </w:tcPr>
          <w:p w14:paraId="139F6BB6" w14:textId="77777777" w:rsidR="001E3E7D" w:rsidRPr="00EA3D8C" w:rsidRDefault="001E3E7D" w:rsidP="008265F0">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w:t>
            </w:r>
            <w:r>
              <w:rPr>
                <w:rFonts w:asciiTheme="minorHAnsi" w:hAnsiTheme="minorHAnsi" w:cstheme="minorHAnsi"/>
                <w:color w:val="002060"/>
                <w:sz w:val="18"/>
                <w:szCs w:val="18"/>
                <w:lang w:val="sr-Cyrl-RS"/>
              </w:rPr>
              <w:t>8,1</w:t>
            </w:r>
          </w:p>
        </w:tc>
        <w:tc>
          <w:tcPr>
            <w:tcW w:w="605" w:type="pct"/>
            <w:shd w:val="clear" w:color="auto" w:fill="auto"/>
            <w:vAlign w:val="center"/>
          </w:tcPr>
          <w:p w14:paraId="65F3D0B9" w14:textId="77777777" w:rsidR="001E3E7D" w:rsidRPr="00EA3D8C" w:rsidRDefault="001E3E7D" w:rsidP="008265F0">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w:t>
            </w:r>
            <w:r>
              <w:rPr>
                <w:rFonts w:asciiTheme="minorHAnsi" w:hAnsiTheme="minorHAnsi" w:cstheme="minorHAnsi"/>
                <w:color w:val="002060"/>
                <w:sz w:val="18"/>
                <w:szCs w:val="18"/>
                <w:lang w:val="sr-Cyrl-RS"/>
              </w:rPr>
              <w:t>6</w:t>
            </w:r>
            <w:r w:rsidRPr="00EA3D8C">
              <w:rPr>
                <w:rFonts w:asciiTheme="minorHAnsi" w:hAnsiTheme="minorHAnsi" w:cstheme="minorHAnsi"/>
                <w:color w:val="002060"/>
                <w:sz w:val="18"/>
                <w:szCs w:val="18"/>
                <w:lang w:val="sr-Cyrl-RS"/>
              </w:rPr>
              <w:t>,9</w:t>
            </w:r>
          </w:p>
        </w:tc>
        <w:tc>
          <w:tcPr>
            <w:tcW w:w="556" w:type="pct"/>
            <w:shd w:val="clear" w:color="auto" w:fill="auto"/>
            <w:vAlign w:val="center"/>
          </w:tcPr>
          <w:p w14:paraId="559B3E78"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-3,0</w:t>
            </w:r>
          </w:p>
        </w:tc>
        <w:tc>
          <w:tcPr>
            <w:tcW w:w="556" w:type="pct"/>
            <w:shd w:val="clear" w:color="auto" w:fill="auto"/>
            <w:vAlign w:val="center"/>
          </w:tcPr>
          <w:p w14:paraId="3FB865B3"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-1,5</w:t>
            </w:r>
          </w:p>
        </w:tc>
        <w:tc>
          <w:tcPr>
            <w:tcW w:w="556" w:type="pct"/>
            <w:shd w:val="clear" w:color="auto" w:fill="auto"/>
            <w:vAlign w:val="center"/>
          </w:tcPr>
          <w:p w14:paraId="20225148"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-1,0</w:t>
            </w:r>
          </w:p>
        </w:tc>
      </w:tr>
      <w:tr w:rsidR="001E3E7D" w:rsidRPr="00EA3D8C" w14:paraId="2D5EB637" w14:textId="77777777" w:rsidTr="005D42AC">
        <w:trPr>
          <w:trHeight w:val="253"/>
        </w:trPr>
        <w:tc>
          <w:tcPr>
            <w:tcW w:w="2121" w:type="pct"/>
            <w:shd w:val="clear" w:color="auto" w:fill="auto"/>
            <w:vAlign w:val="center"/>
          </w:tcPr>
          <w:p w14:paraId="7089A88B"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Примарни консолидовани резултат</w:t>
            </w:r>
          </w:p>
        </w:tc>
        <w:tc>
          <w:tcPr>
            <w:tcW w:w="605" w:type="pct"/>
            <w:shd w:val="clear" w:color="auto" w:fill="auto"/>
            <w:vAlign w:val="center"/>
          </w:tcPr>
          <w:p w14:paraId="6C13DEDE"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-6,1</w:t>
            </w:r>
          </w:p>
        </w:tc>
        <w:tc>
          <w:tcPr>
            <w:tcW w:w="605" w:type="pct"/>
            <w:shd w:val="clear" w:color="auto" w:fill="auto"/>
            <w:vAlign w:val="center"/>
          </w:tcPr>
          <w:p w14:paraId="5159ECF3" w14:textId="77777777" w:rsidR="001E3E7D" w:rsidRPr="00EA3D8C" w:rsidRDefault="001E3E7D" w:rsidP="008265F0">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w:t>
            </w:r>
            <w:r>
              <w:rPr>
                <w:rFonts w:asciiTheme="minorHAnsi" w:hAnsiTheme="minorHAnsi" w:cstheme="minorHAnsi"/>
                <w:color w:val="002060"/>
                <w:sz w:val="18"/>
                <w:szCs w:val="18"/>
                <w:lang w:val="sr-Cyrl-RS"/>
              </w:rPr>
              <w:t>5,0</w:t>
            </w:r>
          </w:p>
        </w:tc>
        <w:tc>
          <w:tcPr>
            <w:tcW w:w="556" w:type="pct"/>
            <w:shd w:val="clear" w:color="auto" w:fill="auto"/>
            <w:vAlign w:val="center"/>
          </w:tcPr>
          <w:p w14:paraId="01E3FB53" w14:textId="77777777" w:rsidR="001E3E7D" w:rsidRPr="000A3644" w:rsidRDefault="001E3E7D" w:rsidP="00C130D2">
            <w:pPr>
              <w:spacing w:line="276" w:lineRule="auto"/>
              <w:jc w:val="right"/>
              <w:rPr>
                <w:rFonts w:asciiTheme="minorHAnsi" w:hAnsiTheme="minorHAnsi" w:cstheme="minorHAnsi"/>
                <w:color w:val="002060"/>
                <w:sz w:val="18"/>
                <w:szCs w:val="18"/>
                <w:lang w:val="en-US"/>
              </w:rPr>
            </w:pPr>
            <w:r>
              <w:rPr>
                <w:rFonts w:asciiTheme="minorHAnsi" w:hAnsiTheme="minorHAnsi" w:cstheme="minorHAnsi"/>
                <w:color w:val="002060"/>
                <w:sz w:val="18"/>
                <w:szCs w:val="18"/>
                <w:lang w:val="sr-Cyrl-RS"/>
              </w:rPr>
              <w:t>-1,2</w:t>
            </w:r>
          </w:p>
        </w:tc>
        <w:tc>
          <w:tcPr>
            <w:tcW w:w="556" w:type="pct"/>
            <w:shd w:val="clear" w:color="auto" w:fill="auto"/>
            <w:vAlign w:val="center"/>
          </w:tcPr>
          <w:p w14:paraId="222D58D9"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0,1</w:t>
            </w:r>
          </w:p>
        </w:tc>
        <w:tc>
          <w:tcPr>
            <w:tcW w:w="556" w:type="pct"/>
            <w:shd w:val="clear" w:color="auto" w:fill="auto"/>
            <w:vAlign w:val="center"/>
          </w:tcPr>
          <w:p w14:paraId="40B6516E"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0,6</w:t>
            </w:r>
          </w:p>
        </w:tc>
      </w:tr>
      <w:tr w:rsidR="001E3E7D" w:rsidRPr="00EA3D8C" w14:paraId="4A09F024"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shd w:val="clear" w:color="auto" w:fill="auto"/>
            <w:vAlign w:val="center"/>
          </w:tcPr>
          <w:p w14:paraId="258119E0" w14:textId="77777777" w:rsidR="001E3E7D" w:rsidRPr="00EA3D8C" w:rsidRDefault="001E3E7D" w:rsidP="00C130D2">
            <w:pPr>
              <w:spacing w:line="276" w:lineRule="auto"/>
              <w:rPr>
                <w:rFonts w:asciiTheme="minorHAnsi" w:hAnsiTheme="minorHAnsi" w:cstheme="minorHAnsi"/>
                <w:color w:val="002060"/>
                <w:sz w:val="18"/>
                <w:szCs w:val="18"/>
                <w:lang w:val="sr-Cyrl-RS"/>
              </w:rPr>
            </w:pPr>
          </w:p>
        </w:tc>
        <w:tc>
          <w:tcPr>
            <w:tcW w:w="605" w:type="pct"/>
            <w:shd w:val="clear" w:color="auto" w:fill="auto"/>
            <w:vAlign w:val="center"/>
          </w:tcPr>
          <w:p w14:paraId="64CA5B33"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605" w:type="pct"/>
            <w:shd w:val="clear" w:color="auto" w:fill="auto"/>
            <w:vAlign w:val="center"/>
          </w:tcPr>
          <w:p w14:paraId="42198F8A"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69A47D11"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665EF081"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c>
          <w:tcPr>
            <w:tcW w:w="556" w:type="pct"/>
            <w:shd w:val="clear" w:color="auto" w:fill="auto"/>
            <w:vAlign w:val="center"/>
          </w:tcPr>
          <w:p w14:paraId="633D8451"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p>
        </w:tc>
      </w:tr>
      <w:tr w:rsidR="001E3E7D" w:rsidRPr="00EA3D8C" w14:paraId="2B8B80E1" w14:textId="77777777" w:rsidTr="005D42AC">
        <w:trPr>
          <w:trHeight w:val="253"/>
        </w:trPr>
        <w:tc>
          <w:tcPr>
            <w:tcW w:w="2121" w:type="pct"/>
            <w:shd w:val="clear" w:color="auto" w:fill="auto"/>
            <w:vAlign w:val="center"/>
          </w:tcPr>
          <w:p w14:paraId="7A4E7150"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Дуг опште државе</w:t>
            </w:r>
          </w:p>
        </w:tc>
        <w:tc>
          <w:tcPr>
            <w:tcW w:w="605" w:type="pct"/>
            <w:shd w:val="clear" w:color="auto" w:fill="auto"/>
            <w:vAlign w:val="center"/>
          </w:tcPr>
          <w:p w14:paraId="2E5DFAE8"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58,2</w:t>
            </w:r>
          </w:p>
        </w:tc>
        <w:tc>
          <w:tcPr>
            <w:tcW w:w="605" w:type="pct"/>
            <w:shd w:val="clear" w:color="auto" w:fill="auto"/>
            <w:vAlign w:val="center"/>
          </w:tcPr>
          <w:p w14:paraId="666F5F09"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60,0</w:t>
            </w:r>
          </w:p>
        </w:tc>
        <w:tc>
          <w:tcPr>
            <w:tcW w:w="556" w:type="pct"/>
            <w:shd w:val="clear" w:color="auto" w:fill="auto"/>
            <w:vAlign w:val="center"/>
          </w:tcPr>
          <w:p w14:paraId="599DC46B" w14:textId="77777777" w:rsidR="001E3E7D" w:rsidRPr="00EA3D8C" w:rsidRDefault="001E3E7D" w:rsidP="005D42AC">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59,3</w:t>
            </w:r>
          </w:p>
        </w:tc>
        <w:tc>
          <w:tcPr>
            <w:tcW w:w="556" w:type="pct"/>
            <w:shd w:val="clear" w:color="auto" w:fill="auto"/>
            <w:vAlign w:val="center"/>
          </w:tcPr>
          <w:p w14:paraId="14852925"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57,6</w:t>
            </w:r>
          </w:p>
        </w:tc>
        <w:tc>
          <w:tcPr>
            <w:tcW w:w="556" w:type="pct"/>
            <w:shd w:val="clear" w:color="auto" w:fill="auto"/>
            <w:vAlign w:val="center"/>
          </w:tcPr>
          <w:p w14:paraId="538835F9" w14:textId="77777777" w:rsidR="001E3E7D" w:rsidRPr="00EA3D8C" w:rsidRDefault="001E3E7D" w:rsidP="008265F0">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55,5</w:t>
            </w:r>
          </w:p>
        </w:tc>
      </w:tr>
      <w:tr w:rsidR="001E3E7D" w:rsidRPr="00EA3D8C" w14:paraId="361EF87F" w14:textId="77777777" w:rsidTr="005D42AC">
        <w:trPr>
          <w:cnfStyle w:val="000000100000" w:firstRow="0" w:lastRow="0" w:firstColumn="0" w:lastColumn="0" w:oddVBand="0" w:evenVBand="0" w:oddHBand="1" w:evenHBand="0" w:firstRowFirstColumn="0" w:firstRowLastColumn="0" w:lastRowFirstColumn="0" w:lastRowLastColumn="0"/>
          <w:trHeight w:val="253"/>
        </w:trPr>
        <w:tc>
          <w:tcPr>
            <w:tcW w:w="2121" w:type="pct"/>
            <w:tcBorders>
              <w:bottom w:val="single" w:sz="4" w:space="0" w:color="002060"/>
            </w:tcBorders>
            <w:shd w:val="clear" w:color="auto" w:fill="auto"/>
            <w:vAlign w:val="center"/>
          </w:tcPr>
          <w:p w14:paraId="21DBEF0A" w14:textId="77777777" w:rsidR="001E3E7D" w:rsidRPr="00EA3D8C" w:rsidRDefault="001E3E7D" w:rsidP="00C130D2">
            <w:pPr>
              <w:spacing w:line="276" w:lineRule="auto"/>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Реална стопа раста БДП</w:t>
            </w:r>
          </w:p>
        </w:tc>
        <w:tc>
          <w:tcPr>
            <w:tcW w:w="605" w:type="pct"/>
            <w:tcBorders>
              <w:bottom w:val="single" w:sz="4" w:space="0" w:color="002060"/>
            </w:tcBorders>
            <w:shd w:val="clear" w:color="auto" w:fill="auto"/>
            <w:vAlign w:val="center"/>
          </w:tcPr>
          <w:p w14:paraId="0D6E080F"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-1,0%</w:t>
            </w:r>
          </w:p>
        </w:tc>
        <w:tc>
          <w:tcPr>
            <w:tcW w:w="605" w:type="pct"/>
            <w:tcBorders>
              <w:bottom w:val="single" w:sz="4" w:space="0" w:color="002060"/>
            </w:tcBorders>
            <w:shd w:val="clear" w:color="auto" w:fill="auto"/>
            <w:vAlign w:val="center"/>
          </w:tcPr>
          <w:p w14:paraId="5137EE7B" w14:textId="77777777" w:rsidR="001E3E7D" w:rsidRPr="00EA3D8C" w:rsidRDefault="001E3E7D" w:rsidP="005D42AC">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6,0%</w:t>
            </w:r>
          </w:p>
        </w:tc>
        <w:tc>
          <w:tcPr>
            <w:tcW w:w="556" w:type="pct"/>
            <w:tcBorders>
              <w:bottom w:val="single" w:sz="4" w:space="0" w:color="002060"/>
            </w:tcBorders>
            <w:shd w:val="clear" w:color="auto" w:fill="auto"/>
            <w:vAlign w:val="center"/>
          </w:tcPr>
          <w:p w14:paraId="69C4C603"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Pr>
                <w:rFonts w:asciiTheme="minorHAnsi" w:hAnsiTheme="minorHAnsi" w:cstheme="minorHAnsi"/>
                <w:color w:val="002060"/>
                <w:sz w:val="18"/>
                <w:szCs w:val="18"/>
                <w:lang w:val="sr-Cyrl-RS"/>
              </w:rPr>
              <w:t>4</w:t>
            </w:r>
            <w:r w:rsidRPr="00EA3D8C">
              <w:rPr>
                <w:rFonts w:asciiTheme="minorHAnsi" w:hAnsiTheme="minorHAnsi" w:cstheme="minorHAnsi"/>
                <w:color w:val="002060"/>
                <w:sz w:val="18"/>
                <w:szCs w:val="18"/>
                <w:lang w:val="sr-Cyrl-RS"/>
              </w:rPr>
              <w:t>,0%</w:t>
            </w:r>
          </w:p>
        </w:tc>
        <w:tc>
          <w:tcPr>
            <w:tcW w:w="556" w:type="pct"/>
            <w:tcBorders>
              <w:bottom w:val="single" w:sz="4" w:space="0" w:color="002060"/>
            </w:tcBorders>
            <w:shd w:val="clear" w:color="auto" w:fill="auto"/>
            <w:vAlign w:val="center"/>
          </w:tcPr>
          <w:p w14:paraId="3CED5F6B"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4,0%</w:t>
            </w:r>
          </w:p>
        </w:tc>
        <w:tc>
          <w:tcPr>
            <w:tcW w:w="556" w:type="pct"/>
            <w:tcBorders>
              <w:bottom w:val="single" w:sz="4" w:space="0" w:color="002060"/>
            </w:tcBorders>
            <w:shd w:val="clear" w:color="auto" w:fill="auto"/>
            <w:vAlign w:val="center"/>
          </w:tcPr>
          <w:p w14:paraId="79726F26" w14:textId="77777777" w:rsidR="001E3E7D" w:rsidRPr="00EA3D8C" w:rsidRDefault="001E3E7D" w:rsidP="00C130D2">
            <w:pPr>
              <w:spacing w:line="276" w:lineRule="auto"/>
              <w:jc w:val="right"/>
              <w:rPr>
                <w:rFonts w:asciiTheme="minorHAnsi" w:hAnsiTheme="minorHAnsi" w:cstheme="minorHAnsi"/>
                <w:color w:val="002060"/>
                <w:sz w:val="18"/>
                <w:szCs w:val="18"/>
                <w:lang w:val="sr-Cyrl-RS"/>
              </w:rPr>
            </w:pPr>
            <w:r w:rsidRPr="00EA3D8C">
              <w:rPr>
                <w:rFonts w:asciiTheme="minorHAnsi" w:hAnsiTheme="minorHAnsi" w:cstheme="minorHAnsi"/>
                <w:color w:val="002060"/>
                <w:sz w:val="18"/>
                <w:szCs w:val="18"/>
                <w:lang w:val="sr-Cyrl-RS"/>
              </w:rPr>
              <w:t>4,0%</w:t>
            </w:r>
          </w:p>
        </w:tc>
      </w:tr>
    </w:tbl>
    <w:p w14:paraId="5D2FE4FF" w14:textId="77777777" w:rsidR="001E3E7D" w:rsidRPr="00EA3D8C" w:rsidRDefault="001E3E7D" w:rsidP="00783F09">
      <w:pPr>
        <w:spacing w:before="40" w:after="120" w:line="276" w:lineRule="auto"/>
        <w:rPr>
          <w:rFonts w:eastAsia="MS PGothic" w:cstheme="minorHAnsi"/>
          <w:color w:val="000000" w:themeColor="text1"/>
          <w:szCs w:val="20"/>
          <w:lang w:val="sr-Cyrl-RS" w:eastAsia="ja-JP"/>
        </w:rPr>
        <w:sectPr w:rsidR="001E3E7D" w:rsidRPr="00EA3D8C" w:rsidSect="00AE40EB">
          <w:type w:val="continuous"/>
          <w:pgSz w:w="12240" w:h="15840" w:code="1"/>
          <w:pgMar w:top="1440" w:right="1440" w:bottom="1440" w:left="1440" w:header="720" w:footer="720" w:gutter="0"/>
          <w:cols w:space="720"/>
          <w:docGrid w:linePitch="360"/>
        </w:sectPr>
      </w:pPr>
      <w:r w:rsidRPr="00EA3D8C">
        <w:rPr>
          <w:rFonts w:eastAsia="Calibri" w:cstheme="minorHAnsi"/>
          <w:bCs/>
          <w:sz w:val="16"/>
          <w:szCs w:val="20"/>
          <w:lang w:val="sr-Cyrl-RS" w:eastAsia="ja-JP"/>
        </w:rPr>
        <w:t xml:space="preserve">Извор: </w:t>
      </w:r>
      <w:r w:rsidRPr="00EA3D8C">
        <w:rPr>
          <w:rFonts w:cstheme="minorHAnsi"/>
          <w:sz w:val="16"/>
          <w:szCs w:val="20"/>
          <w:lang w:val="sr-Cyrl-RS"/>
        </w:rPr>
        <w:t>Министарство финансија</w:t>
      </w:r>
    </w:p>
    <w:p w14:paraId="1170E1B5" w14:textId="77777777" w:rsidR="001E3E7D" w:rsidRPr="00EA3D8C" w:rsidRDefault="001E3E7D" w:rsidP="00C130D2">
      <w:pPr>
        <w:spacing w:line="276" w:lineRule="auto"/>
        <w:rPr>
          <w:rFonts w:cstheme="minorHAnsi"/>
          <w:lang w:val="sr-Cyrl-RS"/>
        </w:rPr>
      </w:pPr>
      <w:r w:rsidRPr="00EA3D8C">
        <w:rPr>
          <w:rFonts w:eastAsia="MS PGothic" w:cstheme="minorHAnsi"/>
          <w:szCs w:val="20"/>
          <w:lang w:val="sr-Cyrl-RS" w:eastAsia="ja-JP"/>
        </w:rPr>
        <w:t>Циљеви фискалне политике у наредном средњорочном периоду биће стабилизација јавних финансија и повратак јавног дуга на опадајућу путању. Смањење</w:t>
      </w:r>
      <w:r w:rsidRPr="00EA3D8C">
        <w:rPr>
          <w:rFonts w:cstheme="minorHAnsi"/>
          <w:lang w:val="sr-Cyrl-RS"/>
        </w:rPr>
        <w:t xml:space="preserve"> учешћа дуга је уско везано за снижавање дефицита као главног фактора задуживања, тако да динамика спуштања дефицита опредељује и промену кретања дуга. Финансијске трансакције, као што је замена скупог дуга јефтинијим, као и боља позиција државе на међународном финансијском тржишту, допринеће додатном снижавању дуга.</w:t>
      </w:r>
    </w:p>
    <w:p w14:paraId="328F92C7" w14:textId="77777777" w:rsidR="001E3E7D" w:rsidRPr="00EA3D8C" w:rsidRDefault="001E3E7D" w:rsidP="001A0449">
      <w:pPr>
        <w:rPr>
          <w:rFonts w:cstheme="minorHAnsi"/>
          <w:b/>
          <w:color w:val="002060"/>
          <w:lang w:val="sr-Cyrl-RS"/>
        </w:rPr>
      </w:pPr>
      <w:r w:rsidRPr="00EA3D8C">
        <w:rPr>
          <w:rFonts w:cstheme="minorHAnsi"/>
          <w:b/>
          <w:color w:val="002060"/>
          <w:lang w:val="sr-Cyrl-RS"/>
        </w:rPr>
        <w:br w:type="column"/>
      </w:r>
      <w:r w:rsidRPr="00EA3D8C">
        <w:rPr>
          <w:rFonts w:cstheme="minorHAnsi"/>
          <w:b/>
          <w:color w:val="002060"/>
          <w:lang w:val="sr-Cyrl-RS"/>
        </w:rPr>
        <w:t>Фискални резултат и дуг опште државе, % БДП</w:t>
      </w:r>
    </w:p>
    <w:p w14:paraId="48FEB4B5" w14:textId="77777777" w:rsidR="001E3E7D" w:rsidRPr="0040692C" w:rsidRDefault="00FF1EB3" w:rsidP="008265F0">
      <w:pPr>
        <w:spacing w:line="276" w:lineRule="auto"/>
        <w:rPr>
          <w:rFonts w:cstheme="minorHAnsi"/>
          <w:lang w:val="sr-Cyrl-RS"/>
        </w:rPr>
      </w:pPr>
      <w:r w:rsidRPr="00FF1EB3">
        <w:rPr>
          <w:rFonts w:cstheme="minorHAnsi"/>
          <w:noProof/>
        </w:rPr>
        <w:drawing>
          <wp:inline distT="0" distB="0" distL="0" distR="0" wp14:anchorId="446DBF83" wp14:editId="4158CAF3">
            <wp:extent cx="2841625" cy="1515762"/>
            <wp:effectExtent l="0" t="0" r="0" b="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6E676A7A" w14:textId="77777777" w:rsidR="001E3E7D" w:rsidRPr="00EA3D8C" w:rsidRDefault="001E3E7D" w:rsidP="00C130D2">
      <w:pPr>
        <w:spacing w:after="0" w:line="276" w:lineRule="auto"/>
        <w:rPr>
          <w:rFonts w:eastAsia="Times New Roman" w:cstheme="minorHAnsi"/>
          <w:b/>
          <w:bCs/>
          <w:spacing w:val="-2"/>
          <w:szCs w:val="20"/>
          <w:lang w:val="sr-Cyrl-RS" w:eastAsia="ja-JP"/>
        </w:rPr>
      </w:pPr>
      <w:r w:rsidRPr="00EA3D8C">
        <w:rPr>
          <w:rFonts w:eastAsia="MS PGothic" w:cstheme="minorHAnsi"/>
          <w:spacing w:val="-2"/>
          <w:szCs w:val="20"/>
          <w:lang w:val="sr-Cyrl-RS" w:eastAsia="ja-JP"/>
        </w:rPr>
        <w:t xml:space="preserve">Експанзивна фискална политика током 2020. </w:t>
      </w:r>
      <w:r>
        <w:rPr>
          <w:rFonts w:eastAsia="MS PGothic" w:cstheme="minorHAnsi"/>
          <w:spacing w:val="-2"/>
          <w:szCs w:val="20"/>
          <w:lang w:val="sr-Cyrl-RS" w:eastAsia="ja-JP"/>
        </w:rPr>
        <w:t xml:space="preserve">и 2021. </w:t>
      </w:r>
      <w:r w:rsidRPr="00EA3D8C">
        <w:rPr>
          <w:rFonts w:eastAsia="MS PGothic" w:cstheme="minorHAnsi"/>
          <w:spacing w:val="-2"/>
          <w:szCs w:val="20"/>
          <w:lang w:val="sr-Cyrl-RS" w:eastAsia="ja-JP"/>
        </w:rPr>
        <w:t xml:space="preserve">године умањила је негативне економске </w:t>
      </w:r>
      <w:r w:rsidRPr="00EA3D8C">
        <w:rPr>
          <w:rFonts w:eastAsia="MS PGothic" w:cstheme="minorHAnsi"/>
          <w:spacing w:val="-2"/>
          <w:szCs w:val="20"/>
          <w:lang w:val="sr-Cyrl-RS" w:eastAsia="ja-JP"/>
        </w:rPr>
        <w:lastRenderedPageBreak/>
        <w:t xml:space="preserve">последице пандемије. У наредном средњорочном периоду предвиђено је умерено смањење дефицита опште државе како би се путем фискалне политике обезбедила потребна флексибилност националне економије на евентуалне екстерне шокове. То се, </w:t>
      </w:r>
      <w:r w:rsidRPr="00EA3D8C">
        <w:rPr>
          <w:rFonts w:eastAsia="Calibri" w:cstheme="minorHAnsi"/>
          <w:spacing w:val="-2"/>
          <w:szCs w:val="20"/>
          <w:lang w:val="sr-Cyrl-RS" w:eastAsia="ja-JP"/>
        </w:rPr>
        <w:t>пре свега, односи на расходну страну, у виду повећања јавних инвестиција, као и додатног улагања у здравствени систем. На приходној страни приоритет ће остати даље сма</w:t>
      </w:r>
      <w:r>
        <w:rPr>
          <w:rFonts w:eastAsia="Calibri" w:cstheme="minorHAnsi"/>
          <w:spacing w:val="-2"/>
          <w:szCs w:val="20"/>
          <w:lang w:val="sr-Cyrl-RS" w:eastAsia="ja-JP"/>
        </w:rPr>
        <w:t>њење пореског оптерећења зарада и наставак борбе против пореске евазије и сиве економије.</w:t>
      </w:r>
    </w:p>
    <w:p w14:paraId="106CCBA6" w14:textId="77777777" w:rsidR="001E3E7D" w:rsidRPr="00EA3D8C" w:rsidRDefault="001E3E7D" w:rsidP="00C130D2">
      <w:pPr>
        <w:keepNext/>
        <w:spacing w:before="120" w:after="120" w:line="276" w:lineRule="auto"/>
        <w:rPr>
          <w:rFonts w:eastAsia="MS PGothic" w:cstheme="minorHAnsi"/>
          <w:szCs w:val="20"/>
          <w:lang w:val="sr-Cyrl-RS" w:eastAsia="ja-JP"/>
        </w:rPr>
      </w:pPr>
      <w:r w:rsidRPr="00EA3D8C">
        <w:rPr>
          <w:rFonts w:eastAsia="MS PGothic" w:cstheme="minorHAnsi"/>
          <w:szCs w:val="20"/>
          <w:lang w:val="sr-Cyrl-RS" w:eastAsia="ja-JP"/>
        </w:rPr>
        <w:t>Пројекција при</w:t>
      </w:r>
      <w:r>
        <w:rPr>
          <w:rFonts w:eastAsia="MS PGothic" w:cstheme="minorHAnsi"/>
          <w:szCs w:val="20"/>
          <w:lang w:val="sr-Cyrl-RS" w:eastAsia="ja-JP"/>
        </w:rPr>
        <w:t>хода у периоду од 2022. до 2024</w:t>
      </w:r>
      <w:r w:rsidRPr="00EA3D8C">
        <w:rPr>
          <w:rFonts w:eastAsia="MS PGothic" w:cstheme="minorHAnsi"/>
          <w:szCs w:val="20"/>
          <w:lang w:val="sr-Cyrl-RS" w:eastAsia="ja-JP"/>
        </w:rPr>
        <w:t>. године израђена је на основу:</w:t>
      </w:r>
    </w:p>
    <w:p w14:paraId="38CD6690" w14:textId="77777777" w:rsidR="001E3E7D" w:rsidRPr="00EA3D8C" w:rsidRDefault="001E3E7D" w:rsidP="001E3E7D">
      <w:pPr>
        <w:numPr>
          <w:ilvl w:val="0"/>
          <w:numId w:val="3"/>
        </w:numPr>
        <w:spacing w:after="120" w:line="276" w:lineRule="auto"/>
        <w:ind w:left="180" w:hanging="180"/>
        <w:contextualSpacing/>
        <w:rPr>
          <w:rFonts w:eastAsia="Calibri" w:cstheme="minorHAnsi"/>
          <w:spacing w:val="-6"/>
          <w:lang w:val="sr-Cyrl-RS"/>
        </w:rPr>
      </w:pPr>
      <w:r w:rsidRPr="00EA3D8C">
        <w:rPr>
          <w:rFonts w:eastAsia="Calibri" w:cstheme="minorHAnsi"/>
          <w:spacing w:val="-6"/>
          <w:lang w:val="sr-Cyrl-RS"/>
        </w:rPr>
        <w:t>пројекције кретања најважнијих макроекономских показатеља: БДП и његових компоненти, инфлације, девизног курса, спољнотрговинске размене, запослености и зарада;</w:t>
      </w:r>
    </w:p>
    <w:p w14:paraId="3AE47230" w14:textId="77777777" w:rsidR="001E3E7D" w:rsidRPr="00EA3D8C" w:rsidRDefault="001E3E7D" w:rsidP="001E3E7D">
      <w:pPr>
        <w:numPr>
          <w:ilvl w:val="0"/>
          <w:numId w:val="3"/>
        </w:numPr>
        <w:spacing w:after="120" w:line="276" w:lineRule="auto"/>
        <w:ind w:left="180" w:hanging="180"/>
        <w:contextualSpacing/>
        <w:rPr>
          <w:rFonts w:eastAsia="Calibri" w:cstheme="minorHAnsi"/>
          <w:lang w:val="sr-Cyrl-RS"/>
        </w:rPr>
      </w:pPr>
      <w:r w:rsidRPr="00EA3D8C">
        <w:rPr>
          <w:rFonts w:eastAsia="Calibri" w:cstheme="minorHAnsi"/>
          <w:lang w:val="sr-Cyrl-RS"/>
        </w:rPr>
        <w:t>важеће и планиране измене пореске политике;</w:t>
      </w:r>
    </w:p>
    <w:p w14:paraId="68FD670A" w14:textId="77777777" w:rsidR="001E3E7D" w:rsidRPr="00EA3D8C" w:rsidRDefault="001E3E7D" w:rsidP="001E3E7D">
      <w:pPr>
        <w:numPr>
          <w:ilvl w:val="0"/>
          <w:numId w:val="3"/>
        </w:numPr>
        <w:spacing w:after="120" w:line="276" w:lineRule="auto"/>
        <w:ind w:left="180" w:hanging="180"/>
        <w:contextualSpacing/>
        <w:rPr>
          <w:rFonts w:eastAsia="Calibri" w:cstheme="minorHAnsi"/>
          <w:lang w:val="sr-Cyrl-RS"/>
        </w:rPr>
      </w:pPr>
      <w:r w:rsidRPr="00EA3D8C">
        <w:rPr>
          <w:rFonts w:eastAsia="Calibri" w:cstheme="minorHAnsi"/>
          <w:lang w:val="sr-Cyrl-RS"/>
        </w:rPr>
        <w:t>процењених ефеката фискалних и структурних мера у наредном периоду.</w:t>
      </w:r>
    </w:p>
    <w:p w14:paraId="5C66CF09" w14:textId="77777777" w:rsidR="001E3E7D" w:rsidRPr="00EA3D8C" w:rsidRDefault="001E3E7D" w:rsidP="00C130D2">
      <w:pPr>
        <w:spacing w:after="120" w:line="276" w:lineRule="auto"/>
        <w:ind w:left="180"/>
        <w:contextualSpacing/>
        <w:rPr>
          <w:rFonts w:eastAsia="Calibri" w:cstheme="minorHAnsi"/>
          <w:lang w:val="sr-Cyrl-RS"/>
        </w:rPr>
      </w:pPr>
    </w:p>
    <w:p w14:paraId="6F217564" w14:textId="77777777" w:rsidR="001E3E7D" w:rsidRPr="00EA3D8C" w:rsidRDefault="001E3E7D" w:rsidP="00C130D2">
      <w:pPr>
        <w:spacing w:after="120" w:line="276" w:lineRule="auto"/>
        <w:rPr>
          <w:rFonts w:eastAsia="Calibri" w:cstheme="minorHAnsi"/>
          <w:lang w:val="sr-Cyrl-RS"/>
        </w:rPr>
        <w:sectPr w:rsidR="001E3E7D" w:rsidRPr="00EA3D8C" w:rsidSect="00AE40EB">
          <w:type w:val="continuous"/>
          <w:pgSz w:w="12240" w:h="15840" w:code="1"/>
          <w:pgMar w:top="1440" w:right="1440" w:bottom="1440" w:left="1440" w:header="720" w:footer="720" w:gutter="0"/>
          <w:cols w:num="2" w:space="720"/>
          <w:docGrid w:linePitch="360"/>
        </w:sectPr>
      </w:pPr>
    </w:p>
    <w:p w14:paraId="71A17775" w14:textId="77777777" w:rsidR="001E3E7D" w:rsidRPr="00E37A4E" w:rsidRDefault="001E3E7D" w:rsidP="00451097">
      <w:pPr>
        <w:spacing w:before="240" w:after="120" w:line="276" w:lineRule="auto"/>
        <w:jc w:val="center"/>
        <w:rPr>
          <w:rFonts w:eastAsia="MS PGothic" w:cstheme="minorHAnsi"/>
          <w:b/>
          <w:color w:val="002060"/>
          <w:szCs w:val="20"/>
          <w:lang w:val="sr-Cyrl-RS" w:eastAsia="ja-JP"/>
        </w:rPr>
      </w:pPr>
      <w:r w:rsidRPr="00E37A4E">
        <w:rPr>
          <w:rFonts w:eastAsia="MS PGothic" w:cstheme="minorHAnsi"/>
          <w:b/>
          <w:color w:val="002060"/>
          <w:szCs w:val="20"/>
          <w:lang w:val="sr-Cyrl-RS" w:eastAsia="ja-JP"/>
        </w:rPr>
        <w:t>Табела 11. Укупни приходи и донације у периоду 2020 – 2024. године, % БДП</w:t>
      </w:r>
    </w:p>
    <w:tbl>
      <w:tblPr>
        <w:tblStyle w:val="LightShading-Accent1211"/>
        <w:tblW w:w="5000" w:type="pct"/>
        <w:tblBorders>
          <w:top w:val="none" w:sz="0" w:space="0" w:color="auto"/>
          <w:bottom w:val="none" w:sz="0" w:space="0" w:color="auto"/>
        </w:tblBorders>
        <w:tblLook w:val="0420" w:firstRow="1" w:lastRow="0" w:firstColumn="0" w:lastColumn="0" w:noHBand="0" w:noVBand="1"/>
      </w:tblPr>
      <w:tblGrid>
        <w:gridCol w:w="3825"/>
        <w:gridCol w:w="1133"/>
        <w:gridCol w:w="1134"/>
        <w:gridCol w:w="1088"/>
        <w:gridCol w:w="1090"/>
        <w:gridCol w:w="1090"/>
      </w:tblGrid>
      <w:tr w:rsidR="001E3E7D" w:rsidRPr="00E37A4E" w14:paraId="2AAFDF6E" w14:textId="77777777" w:rsidTr="001940DA">
        <w:trPr>
          <w:cnfStyle w:val="100000000000" w:firstRow="1" w:lastRow="0" w:firstColumn="0" w:lastColumn="0" w:oddVBand="0" w:evenVBand="0" w:oddHBand="0" w:evenHBand="0" w:firstRowFirstColumn="0" w:firstRowLastColumn="0" w:lastRowFirstColumn="0" w:lastRowLastColumn="0"/>
          <w:trHeight w:val="253"/>
        </w:trPr>
        <w:tc>
          <w:tcPr>
            <w:tcW w:w="2044" w:type="pct"/>
            <w:tcBorders>
              <w:top w:val="single" w:sz="4" w:space="0" w:color="002060"/>
              <w:bottom w:val="single" w:sz="4" w:space="0" w:color="002060"/>
            </w:tcBorders>
            <w:noWrap/>
            <w:vAlign w:val="center"/>
          </w:tcPr>
          <w:p w14:paraId="5A70C6B4"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Опис</w:t>
            </w:r>
          </w:p>
        </w:tc>
        <w:tc>
          <w:tcPr>
            <w:tcW w:w="605" w:type="pct"/>
            <w:tcBorders>
              <w:top w:val="single" w:sz="4" w:space="0" w:color="002060"/>
              <w:bottom w:val="single" w:sz="4" w:space="0" w:color="002060"/>
            </w:tcBorders>
            <w:vAlign w:val="center"/>
          </w:tcPr>
          <w:p w14:paraId="3383C354"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Извршење</w:t>
            </w:r>
          </w:p>
        </w:tc>
        <w:tc>
          <w:tcPr>
            <w:tcW w:w="606" w:type="pct"/>
            <w:tcBorders>
              <w:top w:val="single" w:sz="4" w:space="0" w:color="002060"/>
              <w:bottom w:val="single" w:sz="4" w:space="0" w:color="002060"/>
            </w:tcBorders>
            <w:vAlign w:val="center"/>
          </w:tcPr>
          <w:p w14:paraId="60E9427C"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Процена</w:t>
            </w:r>
          </w:p>
        </w:tc>
        <w:tc>
          <w:tcPr>
            <w:tcW w:w="1745" w:type="pct"/>
            <w:gridSpan w:val="3"/>
            <w:tcBorders>
              <w:top w:val="single" w:sz="4" w:space="0" w:color="002060"/>
              <w:bottom w:val="single" w:sz="4" w:space="0" w:color="002060"/>
            </w:tcBorders>
            <w:vAlign w:val="center"/>
          </w:tcPr>
          <w:p w14:paraId="6FA86822" w14:textId="77777777" w:rsidR="001E3E7D" w:rsidRPr="00E37A4E" w:rsidRDefault="001E3E7D" w:rsidP="001940DA">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Пројекција</w:t>
            </w:r>
          </w:p>
        </w:tc>
      </w:tr>
      <w:tr w:rsidR="001E3E7D" w:rsidRPr="00E37A4E" w14:paraId="3FBE6049"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tcBorders>
              <w:top w:val="single" w:sz="4" w:space="0" w:color="002060"/>
            </w:tcBorders>
            <w:shd w:val="clear" w:color="auto" w:fill="FFFFFF" w:themeFill="background1"/>
            <w:noWrap/>
          </w:tcPr>
          <w:p w14:paraId="381B5B33"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p>
        </w:tc>
        <w:tc>
          <w:tcPr>
            <w:tcW w:w="605" w:type="pct"/>
            <w:tcBorders>
              <w:top w:val="single" w:sz="4" w:space="0" w:color="002060"/>
              <w:bottom w:val="single" w:sz="4" w:space="0" w:color="002060"/>
            </w:tcBorders>
            <w:shd w:val="clear" w:color="auto" w:fill="FFFFFF" w:themeFill="background1"/>
          </w:tcPr>
          <w:p w14:paraId="0C867E02" w14:textId="77777777" w:rsidR="001E3E7D" w:rsidRPr="00E37A4E" w:rsidRDefault="001E3E7D" w:rsidP="005D42AC">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2020</w:t>
            </w:r>
          </w:p>
        </w:tc>
        <w:tc>
          <w:tcPr>
            <w:tcW w:w="606" w:type="pct"/>
            <w:tcBorders>
              <w:top w:val="single" w:sz="4" w:space="0" w:color="002060"/>
              <w:bottom w:val="single" w:sz="4" w:space="0" w:color="002060"/>
            </w:tcBorders>
            <w:shd w:val="clear" w:color="auto" w:fill="FFFFFF" w:themeFill="background1"/>
          </w:tcPr>
          <w:p w14:paraId="1E9CDB56"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2021</w:t>
            </w:r>
          </w:p>
        </w:tc>
        <w:tc>
          <w:tcPr>
            <w:tcW w:w="581" w:type="pct"/>
            <w:tcBorders>
              <w:top w:val="single" w:sz="4" w:space="0" w:color="002060"/>
              <w:bottom w:val="single" w:sz="4" w:space="0" w:color="002060"/>
            </w:tcBorders>
            <w:shd w:val="clear" w:color="auto" w:fill="FFFFFF" w:themeFill="background1"/>
          </w:tcPr>
          <w:p w14:paraId="02972619"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2022</w:t>
            </w:r>
          </w:p>
        </w:tc>
        <w:tc>
          <w:tcPr>
            <w:tcW w:w="582" w:type="pct"/>
            <w:tcBorders>
              <w:top w:val="single" w:sz="4" w:space="0" w:color="002060"/>
              <w:bottom w:val="single" w:sz="4" w:space="0" w:color="002060"/>
            </w:tcBorders>
            <w:shd w:val="clear" w:color="auto" w:fill="FFFFFF" w:themeFill="background1"/>
          </w:tcPr>
          <w:p w14:paraId="7B9D34DE"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2023</w:t>
            </w:r>
          </w:p>
        </w:tc>
        <w:tc>
          <w:tcPr>
            <w:tcW w:w="582" w:type="pct"/>
            <w:tcBorders>
              <w:top w:val="single" w:sz="4" w:space="0" w:color="002060"/>
              <w:bottom w:val="single" w:sz="4" w:space="0" w:color="002060"/>
            </w:tcBorders>
            <w:shd w:val="clear" w:color="auto" w:fill="FFFFFF" w:themeFill="background1"/>
          </w:tcPr>
          <w:p w14:paraId="590213CC"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2024</w:t>
            </w:r>
          </w:p>
        </w:tc>
      </w:tr>
      <w:tr w:rsidR="001E3E7D" w:rsidRPr="00E37A4E" w14:paraId="658C34A6" w14:textId="77777777" w:rsidTr="001940DA">
        <w:trPr>
          <w:trHeight w:val="253"/>
        </w:trPr>
        <w:tc>
          <w:tcPr>
            <w:tcW w:w="2044" w:type="pct"/>
            <w:shd w:val="clear" w:color="auto" w:fill="FFFFFF" w:themeFill="background1"/>
          </w:tcPr>
          <w:p w14:paraId="0580AEEF"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ЈАВНИ ПРИХОДИ</w:t>
            </w:r>
          </w:p>
        </w:tc>
        <w:tc>
          <w:tcPr>
            <w:tcW w:w="605" w:type="pct"/>
            <w:tcBorders>
              <w:top w:val="single" w:sz="4" w:space="0" w:color="002060"/>
            </w:tcBorders>
            <w:shd w:val="clear" w:color="auto" w:fill="FFFFFF" w:themeFill="background1"/>
          </w:tcPr>
          <w:p w14:paraId="34C3B535"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41,3</w:t>
            </w:r>
          </w:p>
        </w:tc>
        <w:tc>
          <w:tcPr>
            <w:tcW w:w="606" w:type="pct"/>
            <w:tcBorders>
              <w:top w:val="single" w:sz="4" w:space="0" w:color="002060"/>
            </w:tcBorders>
            <w:shd w:val="clear" w:color="auto" w:fill="FFFFFF" w:themeFill="background1"/>
            <w:noWrap/>
          </w:tcPr>
          <w:p w14:paraId="530B7670"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41,8</w:t>
            </w:r>
          </w:p>
        </w:tc>
        <w:tc>
          <w:tcPr>
            <w:tcW w:w="581" w:type="pct"/>
            <w:tcBorders>
              <w:top w:val="single" w:sz="4" w:space="0" w:color="002060"/>
            </w:tcBorders>
            <w:shd w:val="clear" w:color="auto" w:fill="FFFFFF" w:themeFill="background1"/>
            <w:noWrap/>
          </w:tcPr>
          <w:p w14:paraId="79CB8BC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41,8</w:t>
            </w:r>
          </w:p>
        </w:tc>
        <w:tc>
          <w:tcPr>
            <w:tcW w:w="582" w:type="pct"/>
            <w:tcBorders>
              <w:top w:val="single" w:sz="4" w:space="0" w:color="002060"/>
            </w:tcBorders>
            <w:shd w:val="clear" w:color="auto" w:fill="FFFFFF" w:themeFill="background1"/>
            <w:noWrap/>
          </w:tcPr>
          <w:p w14:paraId="10BDB95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40,8</w:t>
            </w:r>
          </w:p>
        </w:tc>
        <w:tc>
          <w:tcPr>
            <w:tcW w:w="582" w:type="pct"/>
            <w:tcBorders>
              <w:top w:val="single" w:sz="4" w:space="0" w:color="002060"/>
            </w:tcBorders>
            <w:shd w:val="clear" w:color="auto" w:fill="FFFFFF" w:themeFill="background1"/>
            <w:noWrap/>
          </w:tcPr>
          <w:p w14:paraId="597B2D7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40,6</w:t>
            </w:r>
          </w:p>
        </w:tc>
      </w:tr>
      <w:tr w:rsidR="001E3E7D" w:rsidRPr="00E37A4E" w14:paraId="4559651F"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4ECCBF43"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Текући приходи</w:t>
            </w:r>
          </w:p>
        </w:tc>
        <w:tc>
          <w:tcPr>
            <w:tcW w:w="605" w:type="pct"/>
            <w:shd w:val="clear" w:color="auto" w:fill="FFFFFF" w:themeFill="background1"/>
          </w:tcPr>
          <w:p w14:paraId="1FD249F4"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41,1</w:t>
            </w:r>
          </w:p>
        </w:tc>
        <w:tc>
          <w:tcPr>
            <w:tcW w:w="606" w:type="pct"/>
            <w:shd w:val="clear" w:color="auto" w:fill="FFFFFF" w:themeFill="background1"/>
            <w:noWrap/>
          </w:tcPr>
          <w:p w14:paraId="616BDC99"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41,4</w:t>
            </w:r>
          </w:p>
        </w:tc>
        <w:tc>
          <w:tcPr>
            <w:tcW w:w="581" w:type="pct"/>
            <w:shd w:val="clear" w:color="auto" w:fill="FFFFFF" w:themeFill="background1"/>
            <w:noWrap/>
          </w:tcPr>
          <w:p w14:paraId="01FAB3F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41,5</w:t>
            </w:r>
          </w:p>
        </w:tc>
        <w:tc>
          <w:tcPr>
            <w:tcW w:w="582" w:type="pct"/>
            <w:shd w:val="clear" w:color="auto" w:fill="FFFFFF" w:themeFill="background1"/>
            <w:noWrap/>
          </w:tcPr>
          <w:p w14:paraId="09D6270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40,5</w:t>
            </w:r>
          </w:p>
        </w:tc>
        <w:tc>
          <w:tcPr>
            <w:tcW w:w="582" w:type="pct"/>
            <w:shd w:val="clear" w:color="auto" w:fill="FFFFFF" w:themeFill="background1"/>
            <w:noWrap/>
          </w:tcPr>
          <w:p w14:paraId="77A30DE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40,4</w:t>
            </w:r>
          </w:p>
        </w:tc>
      </w:tr>
      <w:tr w:rsidR="001E3E7D" w:rsidRPr="00E37A4E" w14:paraId="05B9F735" w14:textId="77777777" w:rsidTr="001940DA">
        <w:trPr>
          <w:trHeight w:val="253"/>
        </w:trPr>
        <w:tc>
          <w:tcPr>
            <w:tcW w:w="2044" w:type="pct"/>
            <w:shd w:val="clear" w:color="auto" w:fill="FFFFFF" w:themeFill="background1"/>
          </w:tcPr>
          <w:p w14:paraId="11893DE4"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Порески приходи</w:t>
            </w:r>
          </w:p>
        </w:tc>
        <w:tc>
          <w:tcPr>
            <w:tcW w:w="605" w:type="pct"/>
            <w:shd w:val="clear" w:color="auto" w:fill="FFFFFF" w:themeFill="background1"/>
          </w:tcPr>
          <w:p w14:paraId="59180F5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36,4</w:t>
            </w:r>
          </w:p>
        </w:tc>
        <w:tc>
          <w:tcPr>
            <w:tcW w:w="606" w:type="pct"/>
            <w:shd w:val="clear" w:color="auto" w:fill="FFFFFF" w:themeFill="background1"/>
            <w:noWrap/>
          </w:tcPr>
          <w:p w14:paraId="0B109F2C"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37,5</w:t>
            </w:r>
          </w:p>
        </w:tc>
        <w:tc>
          <w:tcPr>
            <w:tcW w:w="581" w:type="pct"/>
            <w:shd w:val="clear" w:color="auto" w:fill="FFFFFF" w:themeFill="background1"/>
            <w:noWrap/>
          </w:tcPr>
          <w:p w14:paraId="17B7216B"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37,6</w:t>
            </w:r>
          </w:p>
        </w:tc>
        <w:tc>
          <w:tcPr>
            <w:tcW w:w="582" w:type="pct"/>
            <w:shd w:val="clear" w:color="auto" w:fill="FFFFFF" w:themeFill="background1"/>
            <w:noWrap/>
          </w:tcPr>
          <w:p w14:paraId="6789D5D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36,9</w:t>
            </w:r>
          </w:p>
        </w:tc>
        <w:tc>
          <w:tcPr>
            <w:tcW w:w="582" w:type="pct"/>
            <w:shd w:val="clear" w:color="auto" w:fill="FFFFFF" w:themeFill="background1"/>
            <w:noWrap/>
          </w:tcPr>
          <w:p w14:paraId="2DDCABDD"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36,8</w:t>
            </w:r>
          </w:p>
        </w:tc>
      </w:tr>
      <w:tr w:rsidR="001E3E7D" w:rsidRPr="00E37A4E" w14:paraId="074131CB"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4A4D6F64"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Порез на доходак грађана</w:t>
            </w:r>
          </w:p>
        </w:tc>
        <w:tc>
          <w:tcPr>
            <w:tcW w:w="605" w:type="pct"/>
            <w:shd w:val="clear" w:color="auto" w:fill="FFFFFF" w:themeFill="background1"/>
          </w:tcPr>
          <w:p w14:paraId="17B71F94"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3,7</w:t>
            </w:r>
          </w:p>
        </w:tc>
        <w:tc>
          <w:tcPr>
            <w:tcW w:w="606" w:type="pct"/>
            <w:shd w:val="clear" w:color="auto" w:fill="FFFFFF" w:themeFill="background1"/>
            <w:noWrap/>
          </w:tcPr>
          <w:p w14:paraId="674338D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4,0</w:t>
            </w:r>
          </w:p>
        </w:tc>
        <w:tc>
          <w:tcPr>
            <w:tcW w:w="581" w:type="pct"/>
            <w:shd w:val="clear" w:color="auto" w:fill="FFFFFF" w:themeFill="background1"/>
            <w:noWrap/>
          </w:tcPr>
          <w:p w14:paraId="18E8ACA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w:t>
            </w:r>
          </w:p>
        </w:tc>
        <w:tc>
          <w:tcPr>
            <w:tcW w:w="582" w:type="pct"/>
            <w:shd w:val="clear" w:color="auto" w:fill="FFFFFF" w:themeFill="background1"/>
            <w:noWrap/>
          </w:tcPr>
          <w:p w14:paraId="3133877D"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w:t>
            </w:r>
          </w:p>
        </w:tc>
        <w:tc>
          <w:tcPr>
            <w:tcW w:w="582" w:type="pct"/>
            <w:shd w:val="clear" w:color="auto" w:fill="FFFFFF" w:themeFill="background1"/>
            <w:noWrap/>
          </w:tcPr>
          <w:p w14:paraId="20E1889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4,0</w:t>
            </w:r>
          </w:p>
        </w:tc>
      </w:tr>
      <w:tr w:rsidR="001E3E7D" w:rsidRPr="00E37A4E" w14:paraId="5EBAE48F" w14:textId="77777777" w:rsidTr="001940DA">
        <w:trPr>
          <w:trHeight w:val="253"/>
        </w:trPr>
        <w:tc>
          <w:tcPr>
            <w:tcW w:w="2044" w:type="pct"/>
            <w:shd w:val="clear" w:color="auto" w:fill="FFFFFF" w:themeFill="background1"/>
          </w:tcPr>
          <w:p w14:paraId="6B1FE9AC"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Порез на добит правних лица</w:t>
            </w:r>
          </w:p>
        </w:tc>
        <w:tc>
          <w:tcPr>
            <w:tcW w:w="605" w:type="pct"/>
            <w:shd w:val="clear" w:color="auto" w:fill="FFFFFF" w:themeFill="background1"/>
          </w:tcPr>
          <w:p w14:paraId="42545CC7"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2,2</w:t>
            </w:r>
          </w:p>
        </w:tc>
        <w:tc>
          <w:tcPr>
            <w:tcW w:w="606" w:type="pct"/>
            <w:shd w:val="clear" w:color="auto" w:fill="FFFFFF" w:themeFill="background1"/>
            <w:noWrap/>
          </w:tcPr>
          <w:p w14:paraId="39780A59"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1,8</w:t>
            </w:r>
          </w:p>
        </w:tc>
        <w:tc>
          <w:tcPr>
            <w:tcW w:w="581" w:type="pct"/>
            <w:shd w:val="clear" w:color="auto" w:fill="FFFFFF" w:themeFill="background1"/>
            <w:noWrap/>
          </w:tcPr>
          <w:p w14:paraId="4D31B9D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1,9</w:t>
            </w:r>
          </w:p>
        </w:tc>
        <w:tc>
          <w:tcPr>
            <w:tcW w:w="582" w:type="pct"/>
            <w:shd w:val="clear" w:color="auto" w:fill="FFFFFF" w:themeFill="background1"/>
            <w:noWrap/>
          </w:tcPr>
          <w:p w14:paraId="07B27DB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2,0</w:t>
            </w:r>
          </w:p>
        </w:tc>
        <w:tc>
          <w:tcPr>
            <w:tcW w:w="582" w:type="pct"/>
            <w:shd w:val="clear" w:color="auto" w:fill="FFFFFF" w:themeFill="background1"/>
            <w:noWrap/>
          </w:tcPr>
          <w:p w14:paraId="658C9EF4"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2,1</w:t>
            </w:r>
          </w:p>
        </w:tc>
      </w:tr>
      <w:tr w:rsidR="001E3E7D" w:rsidRPr="00E37A4E" w14:paraId="4A8243F6"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42DF2DB2"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ПДВ</w:t>
            </w:r>
          </w:p>
        </w:tc>
        <w:tc>
          <w:tcPr>
            <w:tcW w:w="605" w:type="pct"/>
            <w:shd w:val="clear" w:color="auto" w:fill="FFFFFF" w:themeFill="background1"/>
          </w:tcPr>
          <w:p w14:paraId="06E8E726"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10,1</w:t>
            </w:r>
          </w:p>
        </w:tc>
        <w:tc>
          <w:tcPr>
            <w:tcW w:w="606" w:type="pct"/>
            <w:shd w:val="clear" w:color="auto" w:fill="FFFFFF" w:themeFill="background1"/>
            <w:noWrap/>
          </w:tcPr>
          <w:p w14:paraId="2FF85C5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10,1</w:t>
            </w:r>
          </w:p>
        </w:tc>
        <w:tc>
          <w:tcPr>
            <w:tcW w:w="581" w:type="pct"/>
            <w:shd w:val="clear" w:color="auto" w:fill="FFFFFF" w:themeFill="background1"/>
            <w:noWrap/>
          </w:tcPr>
          <w:p w14:paraId="65FB770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10,1</w:t>
            </w:r>
          </w:p>
        </w:tc>
        <w:tc>
          <w:tcPr>
            <w:tcW w:w="582" w:type="pct"/>
            <w:shd w:val="clear" w:color="auto" w:fill="FFFFFF" w:themeFill="background1"/>
            <w:noWrap/>
          </w:tcPr>
          <w:p w14:paraId="7B1155CC"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10,1</w:t>
            </w:r>
          </w:p>
        </w:tc>
        <w:tc>
          <w:tcPr>
            <w:tcW w:w="582" w:type="pct"/>
            <w:shd w:val="clear" w:color="auto" w:fill="FFFFFF" w:themeFill="background1"/>
            <w:noWrap/>
          </w:tcPr>
          <w:p w14:paraId="63157DA6"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10,0</w:t>
            </w:r>
          </w:p>
        </w:tc>
      </w:tr>
      <w:tr w:rsidR="001E3E7D" w:rsidRPr="00E37A4E" w14:paraId="06879347" w14:textId="77777777" w:rsidTr="001940DA">
        <w:trPr>
          <w:trHeight w:val="253"/>
        </w:trPr>
        <w:tc>
          <w:tcPr>
            <w:tcW w:w="2044" w:type="pct"/>
            <w:shd w:val="clear" w:color="auto" w:fill="FFFFFF" w:themeFill="background1"/>
          </w:tcPr>
          <w:p w14:paraId="02761B79"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Акцизе</w:t>
            </w:r>
          </w:p>
        </w:tc>
        <w:tc>
          <w:tcPr>
            <w:tcW w:w="605" w:type="pct"/>
            <w:shd w:val="clear" w:color="auto" w:fill="FFFFFF" w:themeFill="background1"/>
          </w:tcPr>
          <w:p w14:paraId="0808A20A"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5,6</w:t>
            </w:r>
          </w:p>
        </w:tc>
        <w:tc>
          <w:tcPr>
            <w:tcW w:w="606" w:type="pct"/>
            <w:shd w:val="clear" w:color="auto" w:fill="FFFFFF" w:themeFill="background1"/>
            <w:noWrap/>
          </w:tcPr>
          <w:p w14:paraId="4E3D0C2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5,4</w:t>
            </w:r>
          </w:p>
        </w:tc>
        <w:tc>
          <w:tcPr>
            <w:tcW w:w="581" w:type="pct"/>
            <w:shd w:val="clear" w:color="auto" w:fill="FFFFFF" w:themeFill="background1"/>
            <w:noWrap/>
          </w:tcPr>
          <w:p w14:paraId="17077585"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5,3</w:t>
            </w:r>
          </w:p>
        </w:tc>
        <w:tc>
          <w:tcPr>
            <w:tcW w:w="582" w:type="pct"/>
            <w:shd w:val="clear" w:color="auto" w:fill="FFFFFF" w:themeFill="background1"/>
            <w:noWrap/>
          </w:tcPr>
          <w:p w14:paraId="14343F9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5,1</w:t>
            </w:r>
          </w:p>
        </w:tc>
        <w:tc>
          <w:tcPr>
            <w:tcW w:w="582" w:type="pct"/>
            <w:shd w:val="clear" w:color="auto" w:fill="FFFFFF" w:themeFill="background1"/>
            <w:noWrap/>
          </w:tcPr>
          <w:p w14:paraId="337765C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4,9</w:t>
            </w:r>
          </w:p>
        </w:tc>
      </w:tr>
      <w:tr w:rsidR="001E3E7D" w:rsidRPr="00E37A4E" w14:paraId="13E7905C"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1A29CF6E"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Царине</w:t>
            </w:r>
          </w:p>
        </w:tc>
        <w:tc>
          <w:tcPr>
            <w:tcW w:w="605" w:type="pct"/>
            <w:shd w:val="clear" w:color="auto" w:fill="FFFFFF" w:themeFill="background1"/>
          </w:tcPr>
          <w:p w14:paraId="5107711F"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w:t>
            </w:r>
          </w:p>
        </w:tc>
        <w:tc>
          <w:tcPr>
            <w:tcW w:w="606" w:type="pct"/>
            <w:shd w:val="clear" w:color="auto" w:fill="FFFFFF" w:themeFill="background1"/>
            <w:noWrap/>
          </w:tcPr>
          <w:p w14:paraId="258B9B0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w:t>
            </w:r>
          </w:p>
        </w:tc>
        <w:tc>
          <w:tcPr>
            <w:tcW w:w="581" w:type="pct"/>
            <w:shd w:val="clear" w:color="auto" w:fill="FFFFFF" w:themeFill="background1"/>
            <w:noWrap/>
          </w:tcPr>
          <w:p w14:paraId="77C6996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1,0</w:t>
            </w:r>
          </w:p>
        </w:tc>
        <w:tc>
          <w:tcPr>
            <w:tcW w:w="582" w:type="pct"/>
            <w:shd w:val="clear" w:color="auto" w:fill="FFFFFF" w:themeFill="background1"/>
            <w:noWrap/>
          </w:tcPr>
          <w:p w14:paraId="18F70F8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1,0</w:t>
            </w:r>
          </w:p>
        </w:tc>
        <w:tc>
          <w:tcPr>
            <w:tcW w:w="582" w:type="pct"/>
            <w:shd w:val="clear" w:color="auto" w:fill="FFFFFF" w:themeFill="background1"/>
            <w:noWrap/>
          </w:tcPr>
          <w:p w14:paraId="591BA075"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1,0</w:t>
            </w:r>
          </w:p>
        </w:tc>
      </w:tr>
      <w:tr w:rsidR="001E3E7D" w:rsidRPr="00E37A4E" w14:paraId="059A5740" w14:textId="77777777" w:rsidTr="001940DA">
        <w:trPr>
          <w:trHeight w:val="253"/>
        </w:trPr>
        <w:tc>
          <w:tcPr>
            <w:tcW w:w="2044" w:type="pct"/>
            <w:shd w:val="clear" w:color="auto" w:fill="FFFFFF" w:themeFill="background1"/>
          </w:tcPr>
          <w:p w14:paraId="3599C375"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Остали порески приходи</w:t>
            </w:r>
          </w:p>
        </w:tc>
        <w:tc>
          <w:tcPr>
            <w:tcW w:w="605" w:type="pct"/>
            <w:shd w:val="clear" w:color="auto" w:fill="FFFFFF" w:themeFill="background1"/>
          </w:tcPr>
          <w:p w14:paraId="66EC3585"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1,5</w:t>
            </w:r>
          </w:p>
        </w:tc>
        <w:tc>
          <w:tcPr>
            <w:tcW w:w="606" w:type="pct"/>
            <w:shd w:val="clear" w:color="auto" w:fill="FFFFFF" w:themeFill="background1"/>
            <w:noWrap/>
          </w:tcPr>
          <w:p w14:paraId="0ECE1D3D"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1,5</w:t>
            </w:r>
          </w:p>
        </w:tc>
        <w:tc>
          <w:tcPr>
            <w:tcW w:w="581" w:type="pct"/>
            <w:shd w:val="clear" w:color="auto" w:fill="FFFFFF" w:themeFill="background1"/>
            <w:noWrap/>
          </w:tcPr>
          <w:p w14:paraId="1444728C"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1,4</w:t>
            </w:r>
          </w:p>
        </w:tc>
        <w:tc>
          <w:tcPr>
            <w:tcW w:w="582" w:type="pct"/>
            <w:shd w:val="clear" w:color="auto" w:fill="FFFFFF" w:themeFill="background1"/>
            <w:noWrap/>
          </w:tcPr>
          <w:p w14:paraId="20EB1FFB"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w:t>
            </w:r>
          </w:p>
        </w:tc>
        <w:tc>
          <w:tcPr>
            <w:tcW w:w="582" w:type="pct"/>
            <w:shd w:val="clear" w:color="auto" w:fill="FFFFFF" w:themeFill="background1"/>
            <w:noWrap/>
          </w:tcPr>
          <w:p w14:paraId="77369FB8"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w:t>
            </w:r>
          </w:p>
        </w:tc>
      </w:tr>
      <w:tr w:rsidR="001E3E7D" w:rsidRPr="00E37A4E" w14:paraId="2D6EFD92"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shd w:val="clear" w:color="auto" w:fill="FFFFFF" w:themeFill="background1"/>
          </w:tcPr>
          <w:p w14:paraId="0D11DA0A" w14:textId="77777777" w:rsidR="001E3E7D" w:rsidRPr="00E37A4E" w:rsidRDefault="001E3E7D" w:rsidP="00C130D2">
            <w:pPr>
              <w:keepLines/>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Доприноси</w:t>
            </w:r>
          </w:p>
        </w:tc>
        <w:tc>
          <w:tcPr>
            <w:tcW w:w="605" w:type="pct"/>
            <w:shd w:val="clear" w:color="auto" w:fill="FFFFFF" w:themeFill="background1"/>
          </w:tcPr>
          <w:p w14:paraId="00E6766C"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12,3</w:t>
            </w:r>
          </w:p>
        </w:tc>
        <w:tc>
          <w:tcPr>
            <w:tcW w:w="606" w:type="pct"/>
            <w:shd w:val="clear" w:color="auto" w:fill="FFFFFF" w:themeFill="background1"/>
            <w:noWrap/>
          </w:tcPr>
          <w:p w14:paraId="2459B6F9"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13,7</w:t>
            </w:r>
          </w:p>
        </w:tc>
        <w:tc>
          <w:tcPr>
            <w:tcW w:w="581" w:type="pct"/>
            <w:shd w:val="clear" w:color="auto" w:fill="FFFFFF" w:themeFill="background1"/>
            <w:noWrap/>
          </w:tcPr>
          <w:p w14:paraId="20CD289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Cyrl-RS"/>
              </w:rPr>
              <w:t>13,</w:t>
            </w:r>
            <w:r w:rsidRPr="00E37A4E">
              <w:rPr>
                <w:rFonts w:asciiTheme="minorHAnsi" w:hAnsiTheme="minorHAnsi" w:cstheme="minorHAnsi"/>
                <w:color w:val="002060"/>
                <w:sz w:val="18"/>
                <w:szCs w:val="18"/>
                <w:lang w:val="sr-Latn-RS"/>
              </w:rPr>
              <w:t>9</w:t>
            </w:r>
          </w:p>
        </w:tc>
        <w:tc>
          <w:tcPr>
            <w:tcW w:w="582" w:type="pct"/>
            <w:shd w:val="clear" w:color="auto" w:fill="FFFFFF" w:themeFill="background1"/>
            <w:noWrap/>
          </w:tcPr>
          <w:p w14:paraId="799B7F7C"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13,5</w:t>
            </w:r>
          </w:p>
        </w:tc>
        <w:tc>
          <w:tcPr>
            <w:tcW w:w="582" w:type="pct"/>
            <w:shd w:val="clear" w:color="auto" w:fill="FFFFFF" w:themeFill="background1"/>
            <w:noWrap/>
          </w:tcPr>
          <w:p w14:paraId="5D76B0F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Latn-RS"/>
              </w:rPr>
              <w:t>13,6</w:t>
            </w:r>
          </w:p>
        </w:tc>
      </w:tr>
      <w:tr w:rsidR="001E3E7D" w:rsidRPr="00E37A4E" w14:paraId="4D96B597" w14:textId="77777777" w:rsidTr="001940DA">
        <w:trPr>
          <w:trHeight w:val="253"/>
        </w:trPr>
        <w:tc>
          <w:tcPr>
            <w:tcW w:w="2044" w:type="pct"/>
            <w:shd w:val="clear" w:color="auto" w:fill="FFFFFF" w:themeFill="background1"/>
          </w:tcPr>
          <w:p w14:paraId="160292B9"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Непорески приходи</w:t>
            </w:r>
          </w:p>
        </w:tc>
        <w:tc>
          <w:tcPr>
            <w:tcW w:w="605" w:type="pct"/>
            <w:shd w:val="clear" w:color="auto" w:fill="FFFFFF" w:themeFill="background1"/>
          </w:tcPr>
          <w:p w14:paraId="7BC37E06"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4,6</w:t>
            </w:r>
          </w:p>
        </w:tc>
        <w:tc>
          <w:tcPr>
            <w:tcW w:w="606" w:type="pct"/>
            <w:shd w:val="clear" w:color="auto" w:fill="FFFFFF" w:themeFill="background1"/>
            <w:noWrap/>
          </w:tcPr>
          <w:p w14:paraId="15C69C9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4,0</w:t>
            </w:r>
          </w:p>
        </w:tc>
        <w:tc>
          <w:tcPr>
            <w:tcW w:w="581" w:type="pct"/>
            <w:shd w:val="clear" w:color="auto" w:fill="FFFFFF" w:themeFill="background1"/>
            <w:noWrap/>
          </w:tcPr>
          <w:p w14:paraId="7F71788F"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3,8</w:t>
            </w:r>
          </w:p>
        </w:tc>
        <w:tc>
          <w:tcPr>
            <w:tcW w:w="582" w:type="pct"/>
            <w:shd w:val="clear" w:color="auto" w:fill="FFFFFF" w:themeFill="background1"/>
            <w:noWrap/>
          </w:tcPr>
          <w:p w14:paraId="3F2AF8E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Latn-RS"/>
              </w:rPr>
            </w:pPr>
            <w:r w:rsidRPr="00E37A4E">
              <w:rPr>
                <w:rFonts w:asciiTheme="minorHAnsi" w:hAnsiTheme="minorHAnsi" w:cstheme="minorHAnsi"/>
                <w:color w:val="002060"/>
                <w:sz w:val="18"/>
                <w:szCs w:val="18"/>
                <w:lang w:val="sr-Cyrl-RS"/>
              </w:rPr>
              <w:t>3,</w:t>
            </w:r>
            <w:r w:rsidRPr="00E37A4E">
              <w:rPr>
                <w:rFonts w:asciiTheme="minorHAnsi" w:hAnsiTheme="minorHAnsi" w:cstheme="minorHAnsi"/>
                <w:color w:val="002060"/>
                <w:sz w:val="18"/>
                <w:szCs w:val="18"/>
                <w:lang w:val="sr-Latn-RS"/>
              </w:rPr>
              <w:t>7</w:t>
            </w:r>
          </w:p>
        </w:tc>
        <w:tc>
          <w:tcPr>
            <w:tcW w:w="582" w:type="pct"/>
            <w:shd w:val="clear" w:color="auto" w:fill="FFFFFF" w:themeFill="background1"/>
            <w:noWrap/>
          </w:tcPr>
          <w:p w14:paraId="6E9B0EE1"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3,5</w:t>
            </w:r>
          </w:p>
        </w:tc>
      </w:tr>
      <w:tr w:rsidR="001E3E7D" w:rsidRPr="00E37A4E" w14:paraId="00EBB9AF" w14:textId="77777777" w:rsidTr="001940DA">
        <w:trPr>
          <w:cnfStyle w:val="000000100000" w:firstRow="0" w:lastRow="0" w:firstColumn="0" w:lastColumn="0" w:oddVBand="0" w:evenVBand="0" w:oddHBand="1" w:evenHBand="0" w:firstRowFirstColumn="0" w:firstRowLastColumn="0" w:lastRowFirstColumn="0" w:lastRowLastColumn="0"/>
          <w:trHeight w:val="253"/>
        </w:trPr>
        <w:tc>
          <w:tcPr>
            <w:tcW w:w="2044" w:type="pct"/>
            <w:tcBorders>
              <w:bottom w:val="single" w:sz="4" w:space="0" w:color="002060"/>
            </w:tcBorders>
            <w:shd w:val="clear" w:color="auto" w:fill="FFFFFF" w:themeFill="background1"/>
          </w:tcPr>
          <w:p w14:paraId="29C13268" w14:textId="77777777" w:rsidR="001E3E7D" w:rsidRPr="00E37A4E" w:rsidRDefault="001E3E7D" w:rsidP="00C130D2">
            <w:pPr>
              <w:keepLines/>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Донације</w:t>
            </w:r>
          </w:p>
        </w:tc>
        <w:tc>
          <w:tcPr>
            <w:tcW w:w="605" w:type="pct"/>
            <w:tcBorders>
              <w:bottom w:val="single" w:sz="4" w:space="0" w:color="002060"/>
            </w:tcBorders>
            <w:shd w:val="clear" w:color="auto" w:fill="FFFFFF" w:themeFill="background1"/>
          </w:tcPr>
          <w:p w14:paraId="73B77D5F"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0,2</w:t>
            </w:r>
          </w:p>
        </w:tc>
        <w:tc>
          <w:tcPr>
            <w:tcW w:w="606" w:type="pct"/>
            <w:tcBorders>
              <w:bottom w:val="single" w:sz="4" w:space="0" w:color="002060"/>
            </w:tcBorders>
            <w:shd w:val="clear" w:color="auto" w:fill="FFFFFF" w:themeFill="background1"/>
            <w:noWrap/>
          </w:tcPr>
          <w:p w14:paraId="61518B30"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0,3</w:t>
            </w:r>
          </w:p>
        </w:tc>
        <w:tc>
          <w:tcPr>
            <w:tcW w:w="581" w:type="pct"/>
            <w:tcBorders>
              <w:bottom w:val="single" w:sz="4" w:space="0" w:color="002060"/>
            </w:tcBorders>
            <w:shd w:val="clear" w:color="auto" w:fill="FFFFFF" w:themeFill="background1"/>
            <w:noWrap/>
          </w:tcPr>
          <w:p w14:paraId="10559D03"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0,3</w:t>
            </w:r>
          </w:p>
        </w:tc>
        <w:tc>
          <w:tcPr>
            <w:tcW w:w="582" w:type="pct"/>
            <w:tcBorders>
              <w:bottom w:val="single" w:sz="4" w:space="0" w:color="002060"/>
            </w:tcBorders>
            <w:shd w:val="clear" w:color="auto" w:fill="FFFFFF" w:themeFill="background1"/>
            <w:noWrap/>
          </w:tcPr>
          <w:p w14:paraId="3F753722"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0,3</w:t>
            </w:r>
          </w:p>
        </w:tc>
        <w:tc>
          <w:tcPr>
            <w:tcW w:w="582" w:type="pct"/>
            <w:tcBorders>
              <w:bottom w:val="single" w:sz="4" w:space="0" w:color="002060"/>
            </w:tcBorders>
            <w:shd w:val="clear" w:color="auto" w:fill="FFFFFF" w:themeFill="background1"/>
            <w:noWrap/>
          </w:tcPr>
          <w:p w14:paraId="0ED0F24A" w14:textId="77777777" w:rsidR="001E3E7D" w:rsidRPr="00E37A4E" w:rsidRDefault="001E3E7D" w:rsidP="00C130D2">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0,3</w:t>
            </w:r>
          </w:p>
        </w:tc>
      </w:tr>
    </w:tbl>
    <w:p w14:paraId="6E3F15E9" w14:textId="77777777" w:rsidR="001E3E7D" w:rsidRPr="0090315D" w:rsidRDefault="001E3E7D" w:rsidP="00D42008">
      <w:pPr>
        <w:spacing w:before="40" w:after="120" w:line="276" w:lineRule="auto"/>
        <w:jc w:val="left"/>
        <w:rPr>
          <w:rFonts w:eastAsia="MS PGothic" w:cstheme="minorHAnsi"/>
          <w:szCs w:val="20"/>
          <w:lang w:val="sr-Cyrl-RS" w:eastAsia="ja-JP"/>
        </w:rPr>
        <w:sectPr w:rsidR="001E3E7D" w:rsidRPr="0090315D" w:rsidSect="00AE40EB">
          <w:type w:val="continuous"/>
          <w:pgSz w:w="12240" w:h="15840" w:code="1"/>
          <w:pgMar w:top="1440" w:right="1440" w:bottom="1440" w:left="1440" w:header="720" w:footer="720" w:gutter="0"/>
          <w:cols w:space="720"/>
          <w:docGrid w:linePitch="360"/>
        </w:sectPr>
      </w:pPr>
      <w:r w:rsidRPr="0090315D">
        <w:rPr>
          <w:rFonts w:eastAsia="Calibri" w:cstheme="minorHAnsi"/>
          <w:bCs/>
          <w:sz w:val="16"/>
          <w:szCs w:val="20"/>
          <w:lang w:val="sr-Cyrl-RS" w:eastAsia="ja-JP"/>
        </w:rPr>
        <w:t xml:space="preserve">Извор: </w:t>
      </w:r>
      <w:r w:rsidRPr="0090315D">
        <w:rPr>
          <w:rFonts w:cstheme="minorHAnsi"/>
          <w:sz w:val="16"/>
          <w:szCs w:val="20"/>
          <w:lang w:val="sr-Cyrl-RS"/>
        </w:rPr>
        <w:t>Министарство финансија</w:t>
      </w:r>
    </w:p>
    <w:p w14:paraId="0538735A" w14:textId="77777777" w:rsidR="001E3E7D" w:rsidRPr="00EA3D8C" w:rsidRDefault="001E3E7D" w:rsidP="00C130D2">
      <w:pPr>
        <w:spacing w:after="120" w:line="276" w:lineRule="auto"/>
        <w:rPr>
          <w:rFonts w:eastAsia="MS PGothic" w:cstheme="minorHAnsi"/>
          <w:szCs w:val="20"/>
          <w:lang w:val="sr-Cyrl-RS" w:eastAsia="ja-JP"/>
        </w:rPr>
      </w:pPr>
      <w:proofErr w:type="spellStart"/>
      <w:r w:rsidRPr="0090315D">
        <w:rPr>
          <w:rFonts w:eastAsia="MS PGothic" w:cstheme="minorHAnsi"/>
          <w:szCs w:val="20"/>
          <w:lang w:eastAsia="ja-JP"/>
        </w:rPr>
        <w:t>Опадају</w:t>
      </w:r>
      <w:proofErr w:type="spellEnd"/>
      <w:r w:rsidRPr="0090315D">
        <w:rPr>
          <w:rFonts w:eastAsia="MS PGothic" w:cstheme="minorHAnsi"/>
          <w:szCs w:val="20"/>
          <w:lang w:val="sr-Cyrl-RS" w:eastAsia="ja-JP"/>
        </w:rPr>
        <w:t xml:space="preserve">ћи тренд прихода у смислу учешћа у БДП је очекиван с обзиром </w:t>
      </w:r>
      <w:r>
        <w:rPr>
          <w:rFonts w:eastAsia="MS PGothic" w:cstheme="minorHAnsi"/>
          <w:szCs w:val="20"/>
          <w:lang w:val="sr-Cyrl-RS" w:eastAsia="ja-JP"/>
        </w:rPr>
        <w:t>на пројектовану структуру средњорочног раста српске привреде</w:t>
      </w:r>
      <w:r w:rsidRPr="0090315D">
        <w:rPr>
          <w:rFonts w:eastAsia="MS PGothic" w:cstheme="minorHAnsi"/>
          <w:szCs w:val="20"/>
          <w:lang w:val="sr-Cyrl-RS" w:eastAsia="ja-JP"/>
        </w:rPr>
        <w:t xml:space="preserve">. Наплата одложених обавеза из 2020. године ће повећати </w:t>
      </w:r>
      <w:r w:rsidRPr="00EA3D8C">
        <w:rPr>
          <w:rFonts w:eastAsia="MS PGothic" w:cstheme="minorHAnsi"/>
          <w:szCs w:val="20"/>
          <w:lang w:val="sr-Cyrl-RS" w:eastAsia="ja-JP"/>
        </w:rPr>
        <w:t xml:space="preserve">ниво прихода изнад </w:t>
      </w:r>
      <w:r>
        <w:rPr>
          <w:rFonts w:eastAsia="MS PGothic" w:cstheme="minorHAnsi"/>
          <w:szCs w:val="20"/>
          <w:lang w:val="sr-Cyrl-RS" w:eastAsia="ja-JP"/>
        </w:rPr>
        <w:t>трендног</w:t>
      </w:r>
      <w:r w:rsidRPr="00EA3D8C">
        <w:rPr>
          <w:rFonts w:eastAsia="MS PGothic" w:cstheme="minorHAnsi"/>
          <w:szCs w:val="20"/>
          <w:lang w:val="sr-Cyrl-RS" w:eastAsia="ja-JP"/>
        </w:rPr>
        <w:t xml:space="preserve"> у 2021. и 2022. години</w:t>
      </w:r>
      <w:r>
        <w:rPr>
          <w:rFonts w:eastAsia="MS PGothic" w:cstheme="minorHAnsi"/>
          <w:szCs w:val="20"/>
          <w:lang w:val="sr-Cyrl-RS" w:eastAsia="ja-JP"/>
        </w:rPr>
        <w:t>, али ће појачати ефекат пада учешћа прихода у БДП у 2023. години.</w:t>
      </w:r>
      <w:r w:rsidRPr="00EA3D8C">
        <w:rPr>
          <w:rFonts w:eastAsia="MS PGothic" w:cstheme="minorHAnsi"/>
          <w:szCs w:val="20"/>
          <w:lang w:val="sr-Cyrl-RS" w:eastAsia="ja-JP"/>
        </w:rPr>
        <w:t xml:space="preserve"> Пројекција пореских прихода подразумева одржавање постојећег степена наплате.</w:t>
      </w:r>
    </w:p>
    <w:p w14:paraId="61ADEB55" w14:textId="77777777" w:rsidR="001E3E7D" w:rsidRPr="003907FA"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Преовлађујући облик пореза на доходак је порез на зараде, тако да су кретање масе зарада и запослености главни фактори који утичу на кретање овог пореског облика. </w:t>
      </w:r>
      <w:r w:rsidRPr="003907FA">
        <w:rPr>
          <w:rFonts w:eastAsia="MS PGothic" w:cstheme="minorHAnsi"/>
          <w:szCs w:val="20"/>
          <w:lang w:val="sr-Cyrl-RS" w:eastAsia="ja-JP"/>
        </w:rPr>
        <w:t xml:space="preserve">Ове приходе ће у 2022. години (као и у текућој) увећати наплата дела одложеног пореза на зараде из 2020. године у склопу пакета мера у борби против пандемије у износу од око 6 млрд динара. У наредном периоду очекује се да маса зарада расте брже од </w:t>
      </w:r>
      <w:r w:rsidRPr="003907FA">
        <w:rPr>
          <w:rFonts w:eastAsia="MS PGothic" w:cstheme="minorHAnsi"/>
          <w:szCs w:val="20"/>
          <w:lang w:val="sr-Cyrl-RS" w:eastAsia="ja-JP"/>
        </w:rPr>
        <w:t>номиналног БДП као резултат наставка повољних кретања на тржишту рада, те ће и приход по основу пореза на зараде расти у смислу учешћа у БДП. Очекивано повећање минималне зараде ће, такође, утицати на раст укупне масе зарада у привреди, а самим тим и на ову пореску категорију.</w:t>
      </w:r>
    </w:p>
    <w:p w14:paraId="6829F916" w14:textId="77777777" w:rsidR="001E3E7D" w:rsidRPr="00EA3D8C" w:rsidRDefault="001E3E7D" w:rsidP="00C130D2">
      <w:pPr>
        <w:spacing w:after="120" w:line="276" w:lineRule="auto"/>
        <w:rPr>
          <w:rFonts w:eastAsia="MS PGothic" w:cstheme="minorHAnsi"/>
          <w:szCs w:val="20"/>
          <w:lang w:val="sr-Cyrl-RS" w:eastAsia="ja-JP"/>
        </w:rPr>
      </w:pPr>
      <w:r w:rsidRPr="003907FA">
        <w:rPr>
          <w:rFonts w:eastAsia="MS PGothic" w:cstheme="minorHAnsi"/>
          <w:szCs w:val="20"/>
          <w:lang w:val="sr-Cyrl-RS" w:eastAsia="ja-JP"/>
        </w:rPr>
        <w:t>Остали облици пореза на доходак (порез на дивиденде, порез на приходе од камата, годишњи порез на доходак, итд</w:t>
      </w:r>
      <w:r w:rsidR="00004AB8">
        <w:rPr>
          <w:rFonts w:eastAsia="MS PGothic" w:cstheme="minorHAnsi"/>
          <w:szCs w:val="20"/>
          <w:lang w:val="sr-Cyrl-RS" w:eastAsia="ja-JP"/>
        </w:rPr>
        <w:t>.</w:t>
      </w:r>
      <w:r w:rsidRPr="003907FA">
        <w:rPr>
          <w:rFonts w:eastAsia="MS PGothic" w:cstheme="minorHAnsi"/>
          <w:szCs w:val="20"/>
          <w:lang w:val="sr-Cyrl-RS" w:eastAsia="ja-JP"/>
        </w:rPr>
        <w:t xml:space="preserve">) ће расти спорије, то јест у складу са кретањем опште економске активности, тако да се очекује стабилан ниво прихода по основу пореза на доходак, у смислу учешћа у БДП. </w:t>
      </w:r>
      <w:r w:rsidRPr="00EA3D8C">
        <w:rPr>
          <w:rFonts w:eastAsia="MS PGothic" w:cstheme="minorHAnsi"/>
          <w:szCs w:val="20"/>
          <w:lang w:val="sr-Cyrl-RS" w:eastAsia="ja-JP"/>
        </w:rPr>
        <w:t>Код пореза на зараде кључна је борба против сиве економије, с обзиром на знатан број непријављених радника и исплате зарада „на руке</w:t>
      </w:r>
      <w:r w:rsidR="00C6085C" w:rsidRPr="00C6085C">
        <w:rPr>
          <w:rFonts w:eastAsia="MS PGothic" w:cstheme="minorHAnsi"/>
          <w:szCs w:val="20"/>
          <w:lang w:val="sr-Cyrl-RS" w:eastAsia="ja-JP"/>
        </w:rPr>
        <w:t>”</w:t>
      </w:r>
      <w:r w:rsidRPr="00EA3D8C">
        <w:rPr>
          <w:rFonts w:eastAsia="MS PGothic" w:cstheme="minorHAnsi"/>
          <w:szCs w:val="20"/>
          <w:lang w:val="sr-Cyrl-RS" w:eastAsia="ja-JP"/>
        </w:rPr>
        <w:t xml:space="preserve">. У последњим годинама интензивиране су контроле и појачане санкције што је дало </w:t>
      </w:r>
      <w:r w:rsidRPr="00EA3D8C">
        <w:rPr>
          <w:rFonts w:eastAsia="MS PGothic" w:cstheme="minorHAnsi"/>
          <w:szCs w:val="20"/>
          <w:lang w:val="sr-Cyrl-RS" w:eastAsia="ja-JP"/>
        </w:rPr>
        <w:lastRenderedPageBreak/>
        <w:t>резултате у сузбијању сиве економије у области рада и запошљавања, али је значајно да се на овом пољу настави са континуираним ангажманом и у наредном периоду.</w:t>
      </w:r>
    </w:p>
    <w:p w14:paraId="2D45BFB3" w14:textId="77777777" w:rsidR="001E3E7D" w:rsidRPr="008217C6" w:rsidRDefault="001E3E7D" w:rsidP="00C130D2">
      <w:pPr>
        <w:spacing w:after="120" w:line="276" w:lineRule="auto"/>
        <w:rPr>
          <w:rFonts w:eastAsia="MS PGothic" w:cstheme="minorHAnsi"/>
          <w:szCs w:val="20"/>
          <w:lang w:val="sr-Cyrl-RS" w:eastAsia="ja-JP"/>
        </w:rPr>
      </w:pPr>
      <w:r w:rsidRPr="008217C6">
        <w:rPr>
          <w:rFonts w:eastAsia="MS PGothic" w:cstheme="minorHAnsi"/>
          <w:szCs w:val="20"/>
          <w:lang w:val="sr-Cyrl-RS" w:eastAsia="ja-JP"/>
        </w:rPr>
        <w:t>Кретање учешћа доприноса у БДП има сличну путању као и кретање учешћа пореза на зараде, с обзиром да су за њихову пројекцију коришћене исте претпоставке о кретању зарада и запослености. Део прихода ће се прикупити од наплате одложених доприноса из 2020. године у износу од по 30 млрд динара, у 2021. и 2022. години. Доприноси су пореска категорија код које је најизраженија пореска недисциплина и регистрован највећи дуг пореских обвезника, те су последице евентуалног повећања фискалне недисциплине највидљивије код овог пореског облика.</w:t>
      </w:r>
    </w:p>
    <w:p w14:paraId="67D7EF6C"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Приходи од пореза на д</w:t>
      </w:r>
      <w:r>
        <w:rPr>
          <w:rFonts w:eastAsia="MS PGothic" w:cstheme="minorHAnsi"/>
          <w:szCs w:val="20"/>
          <w:lang w:val="sr-Cyrl-RS" w:eastAsia="ja-JP"/>
        </w:rPr>
        <w:t xml:space="preserve">обит правних лица у периоду 2022 </w:t>
      </w:r>
      <w:r w:rsidRPr="00EA3D8C">
        <w:rPr>
          <w:rFonts w:eastAsia="MS PGothic" w:cstheme="minorHAnsi"/>
          <w:szCs w:val="20"/>
          <w:lang w:val="sr-Cyrl-RS" w:eastAsia="ja-JP"/>
        </w:rPr>
        <w:t>–</w:t>
      </w:r>
      <w:r>
        <w:rPr>
          <w:rFonts w:eastAsia="MS PGothic" w:cstheme="minorHAnsi"/>
          <w:szCs w:val="20"/>
          <w:lang w:val="sr-Cyrl-RS" w:eastAsia="ja-JP"/>
        </w:rPr>
        <w:t xml:space="preserve"> 2024</w:t>
      </w:r>
      <w:r w:rsidRPr="00EA3D8C">
        <w:rPr>
          <w:rFonts w:eastAsia="MS PGothic" w:cstheme="minorHAnsi"/>
          <w:szCs w:val="20"/>
          <w:lang w:val="sr-Cyrl-RS" w:eastAsia="ja-JP"/>
        </w:rPr>
        <w:t xml:space="preserve">. године зависиће од путање привредног раста, релативне стабилности курса динара и опште профитабилности привреде. Процена прихода по овом основу може бити неизвесна како због економских фактора, тако и због могућности коришћења пореског кредита или повраћаја, као и разлика у рачуноводственим и пореским билансима. Пад у 2021. години представља очекивање да ће се ефекти кризе из </w:t>
      </w:r>
      <w:r>
        <w:rPr>
          <w:rFonts w:eastAsia="MS PGothic" w:cstheme="minorHAnsi"/>
          <w:szCs w:val="20"/>
          <w:lang w:val="sr-Cyrl-RS" w:eastAsia="ja-JP"/>
        </w:rPr>
        <w:t xml:space="preserve">2020. године </w:t>
      </w:r>
      <w:r w:rsidRPr="00EA3D8C">
        <w:rPr>
          <w:rFonts w:eastAsia="MS PGothic" w:cstheme="minorHAnsi"/>
          <w:szCs w:val="20"/>
          <w:lang w:val="sr-Cyrl-RS" w:eastAsia="ja-JP"/>
        </w:rPr>
        <w:t>ефектуирати на профитаби</w:t>
      </w:r>
      <w:r>
        <w:rPr>
          <w:rFonts w:eastAsia="MS PGothic" w:cstheme="minorHAnsi"/>
          <w:szCs w:val="20"/>
          <w:lang w:val="sr-Cyrl-RS" w:eastAsia="ja-JP"/>
        </w:rPr>
        <w:t>лност и наплату пореза на добит, а након тога се у периоду 2022-2024. године</w:t>
      </w:r>
      <w:r w:rsidRPr="00EA3D8C">
        <w:rPr>
          <w:rFonts w:eastAsia="MS PGothic" w:cstheme="minorHAnsi"/>
          <w:szCs w:val="20"/>
          <w:lang w:val="sr-Cyrl-RS" w:eastAsia="ja-JP"/>
        </w:rPr>
        <w:t xml:space="preserve"> </w:t>
      </w:r>
      <w:r>
        <w:rPr>
          <w:rFonts w:eastAsia="MS PGothic" w:cstheme="minorHAnsi"/>
          <w:szCs w:val="20"/>
          <w:lang w:val="sr-Cyrl-RS" w:eastAsia="ja-JP"/>
        </w:rPr>
        <w:t xml:space="preserve">очекује раст наплате </w:t>
      </w:r>
      <w:r w:rsidRPr="00EA3D8C">
        <w:rPr>
          <w:rFonts w:eastAsia="MS PGothic" w:cstheme="minorHAnsi"/>
          <w:szCs w:val="20"/>
          <w:lang w:val="sr-Cyrl-RS" w:eastAsia="ja-JP"/>
        </w:rPr>
        <w:t>у складу са кретањем БДП.</w:t>
      </w:r>
    </w:p>
    <w:p w14:paraId="6208E151"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Кретање прихода од </w:t>
      </w:r>
      <w:r>
        <w:rPr>
          <w:rFonts w:eastAsia="MS PGothic" w:cstheme="minorHAnsi"/>
          <w:szCs w:val="20"/>
          <w:lang w:val="sr-Cyrl-RS" w:eastAsia="ja-JP"/>
        </w:rPr>
        <w:t>ПДВ</w:t>
      </w:r>
      <w:r w:rsidRPr="00EA3D8C">
        <w:rPr>
          <w:rFonts w:eastAsia="MS PGothic" w:cstheme="minorHAnsi"/>
          <w:szCs w:val="20"/>
          <w:lang w:val="sr-Cyrl-RS" w:eastAsia="ja-JP"/>
        </w:rPr>
        <w:t xml:space="preserve"> карактерише стабилно учешће у БДП. Главна детерминанта кретања ПДВ је домаћа тражња вођена расположивим дохотком становништва. Расположиви доходак као највећа детерминанта потрошње зависи од кретања зарада у јавном сектору, пензија, социјалне помоћи, кретања масе зарада у приватном сектору и осталих облика доходака, укључујући и дознаке, као и од динамике кредитне активности банака према становништву. Као и код пореза на доходак грађана, ризици за остварење пројекције ПДВ у наредном периоду, поред неизвесности у вези пандемије, односе се на кретање зарада у приватном сектору, раст </w:t>
      </w:r>
      <w:r w:rsidRPr="00EA3D8C">
        <w:rPr>
          <w:rFonts w:eastAsia="MS PGothic" w:cstheme="minorHAnsi"/>
          <w:szCs w:val="20"/>
          <w:lang w:val="sr-Cyrl-RS" w:eastAsia="ja-JP"/>
        </w:rPr>
        <w:t>привредне активности, као и на степен сиве економије, односно ефикасност у њеном смањењу.</w:t>
      </w:r>
    </w:p>
    <w:p w14:paraId="09B8CD86"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Резултати ефикасније наплате и контроле пореских обвезника су били евидентни у претходном периоду и очекује се да ће тај тренд бити настављен и даље, с тим што ефекти борбе против сиве економије нису експлицитно укључени у средњорочну пројекцију јавних прихода. Повећање степена ПДВ наплате у смислу спровођења независних антиевазионих мера у области </w:t>
      </w:r>
      <w:r>
        <w:rPr>
          <w:rFonts w:eastAsia="MS PGothic" w:cstheme="minorHAnsi"/>
          <w:szCs w:val="20"/>
          <w:lang w:val="sr-Cyrl-RS" w:eastAsia="ja-JP"/>
        </w:rPr>
        <w:t>ПДВ</w:t>
      </w:r>
      <w:r w:rsidRPr="00EA3D8C">
        <w:rPr>
          <w:rFonts w:eastAsia="MS PGothic" w:cstheme="minorHAnsi"/>
          <w:szCs w:val="20"/>
          <w:lang w:val="sr-Cyrl-RS" w:eastAsia="ja-JP"/>
        </w:rPr>
        <w:t xml:space="preserve"> дало је резултате у протеклом периоду. У овом сегменту постоји простор за даља побољшања, кроз јачање и модернизацију пореске администрације.</w:t>
      </w:r>
    </w:p>
    <w:p w14:paraId="11B15324" w14:textId="77777777" w:rsidR="001E3E7D" w:rsidRPr="00175E20"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Пројекција прихода од акциза сачињена је на основу важеће акцизне политике и пројектоване потрошње акцизних производа. У оквиру акцизне политике код дуванских производа очекује се даље постепено усклађивање са директивама ЕУ у складу са средњорочним планом поступног повећавања акцизног оптерећења. Код цигарета оно ће бити усмерено кроз постепено повећање акциза, како би се у прихватљивом временском року достигао ЕУ минимум од 1,8 евра по паклици</w:t>
      </w:r>
      <w:r w:rsidRPr="000C08A1">
        <w:t xml:space="preserve"> </w:t>
      </w:r>
      <w:r w:rsidRPr="0055757E">
        <w:rPr>
          <w:rFonts w:eastAsia="MS PGothic" w:cstheme="minorHAnsi"/>
          <w:szCs w:val="20"/>
          <w:lang w:val="sr-Cyrl-RS" w:eastAsia="ja-JP"/>
        </w:rPr>
        <w:t>у динарској противвредности прерачунато по званичном средњем курсу НБС.</w:t>
      </w:r>
      <w:r w:rsidRPr="00EA3D8C">
        <w:rPr>
          <w:rFonts w:eastAsia="MS PGothic" w:cstheme="minorHAnsi"/>
          <w:szCs w:val="20"/>
          <w:lang w:val="sr-Cyrl-RS" w:eastAsia="ja-JP"/>
        </w:rPr>
        <w:t xml:space="preserve"> У наредном периоду је за потребе пројекције прихода од акциза, услед опрезности, предвиђен даљи природан пад тржишта дуванских производа, у просеку од око 3% годишње. За разлику од дуванских производа ситуација на тржишту нафтних деривата је знатно мање волатилна. Боља контрола и ефекти маркирања нафтних деривата смањили су могућност и исплативост нелегалних активности. У наредним годинама, услед опрезности, није претпостављен наставак раста потрошње нафтних деривата иако се може очекивати да ће убрзање економске активности допринело расту потрошње. Приходи од акциза на алкохолна пића, кафу и електричну енергију су пројектовани у складу са постојећом структуром потрошње. Тренутни номинални износи акциза на алкохолна пића и кафу усклађени су са очекиваним износима стопе инфлације у </w:t>
      </w:r>
      <w:r w:rsidRPr="00EA3D8C">
        <w:rPr>
          <w:rFonts w:eastAsia="MS PGothic" w:cstheme="minorHAnsi"/>
          <w:szCs w:val="20"/>
          <w:lang w:val="sr-Cyrl-RS" w:eastAsia="ja-JP"/>
        </w:rPr>
        <w:lastRenderedPageBreak/>
        <w:t xml:space="preserve">средњорочном периоду. </w:t>
      </w:r>
      <w:r w:rsidRPr="00175E20">
        <w:rPr>
          <w:rFonts w:eastAsia="MS PGothic" w:cstheme="minorHAnsi"/>
          <w:szCs w:val="20"/>
          <w:lang w:val="sr-Cyrl-RS" w:eastAsia="ja-JP"/>
        </w:rPr>
        <w:t xml:space="preserve">Усклађивање акциза на алкохолна пића у складу са директивом ЕУ </w:t>
      </w:r>
      <w:r>
        <w:rPr>
          <w:rFonts w:eastAsia="MS PGothic" w:cstheme="minorHAnsi"/>
          <w:szCs w:val="20"/>
          <w:lang w:val="sr-Cyrl-RS" w:eastAsia="ja-JP"/>
        </w:rPr>
        <w:t>неће имати</w:t>
      </w:r>
      <w:r w:rsidR="00E37A4E">
        <w:rPr>
          <w:rFonts w:eastAsia="MS PGothic" w:cstheme="minorHAnsi"/>
          <w:szCs w:val="20"/>
          <w:lang w:val="sr-Cyrl-RS" w:eastAsia="ja-JP"/>
        </w:rPr>
        <w:t xml:space="preserve"> значајне фискалне ефекте.</w:t>
      </w:r>
    </w:p>
    <w:p w14:paraId="5ACF4E2A"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Приходи од царина ће се стабилизовати на нивоу од </w:t>
      </w:r>
      <w:r>
        <w:rPr>
          <w:rFonts w:eastAsia="MS PGothic" w:cstheme="minorHAnsi"/>
          <w:szCs w:val="20"/>
          <w:lang w:val="sr-Cyrl-RS" w:eastAsia="ja-JP"/>
        </w:rPr>
        <w:t>1,0</w:t>
      </w:r>
      <w:r w:rsidRPr="00EA3D8C">
        <w:rPr>
          <w:rFonts w:eastAsia="MS PGothic" w:cstheme="minorHAnsi"/>
          <w:szCs w:val="20"/>
          <w:lang w:val="sr-Cyrl-RS" w:eastAsia="ja-JP"/>
        </w:rPr>
        <w:t>% БДП у наредном периоду. Пројекција наплате прихода од царина рађена је на бази пројектованог кретања увоза, девизног курса и потрошње.</w:t>
      </w:r>
    </w:p>
    <w:p w14:paraId="5DF6830A"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Пројектује се стабилизација учешћа у БДП осталих пореских прихода. Најзначајнији порески приход у овој категорији је порез на имовину чије учешће износи око 70%. Номинално повећање овог прихода може се очекивати по основу проширења основице. Повећање степена наплате, кроз повећање обухвата непокретности на које се порез плаћа (то јест по основу проширења пореске базе), није укључено у пројекције у средњем року и представља позитиван ризик. Поред пореза на имовину, у остале пореске приходе укључују се и порези на употребу, држање и ношење добара, те други облици пореза на локалном нивоу. Они су пројектовани у складу са кретањем инфлације, будући да је инфлаторна компонента уграђена у значајан део ових пореских облика.</w:t>
      </w:r>
    </w:p>
    <w:p w14:paraId="550DF20B"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Предвиђено је смањење учешћа непореских прихода у БДП, са </w:t>
      </w:r>
      <w:r>
        <w:rPr>
          <w:rFonts w:eastAsia="MS PGothic" w:cstheme="minorHAnsi"/>
          <w:szCs w:val="20"/>
          <w:lang w:val="sr-Cyrl-RS" w:eastAsia="ja-JP"/>
        </w:rPr>
        <w:t>4,6</w:t>
      </w:r>
      <w:r w:rsidRPr="00EA3D8C">
        <w:rPr>
          <w:rFonts w:eastAsia="MS PGothic" w:cstheme="minorHAnsi"/>
          <w:szCs w:val="20"/>
          <w:lang w:val="sr-Cyrl-RS" w:eastAsia="ja-JP"/>
        </w:rPr>
        <w:t>% колико је п</w:t>
      </w:r>
      <w:r>
        <w:rPr>
          <w:rFonts w:eastAsia="MS PGothic" w:cstheme="minorHAnsi"/>
          <w:szCs w:val="20"/>
          <w:lang w:val="sr-Cyrl-RS" w:eastAsia="ja-JP"/>
        </w:rPr>
        <w:t>риходовано у 2020. години на 3,5</w:t>
      </w:r>
      <w:r w:rsidRPr="00EA3D8C">
        <w:rPr>
          <w:rFonts w:eastAsia="MS PGothic" w:cstheme="minorHAnsi"/>
          <w:szCs w:val="20"/>
          <w:lang w:val="sr-Cyrl-RS" w:eastAsia="ja-JP"/>
        </w:rPr>
        <w:t xml:space="preserve">% колико </w:t>
      </w:r>
      <w:r>
        <w:rPr>
          <w:rFonts w:eastAsia="MS PGothic" w:cstheme="minorHAnsi"/>
          <w:szCs w:val="20"/>
          <w:lang w:val="sr-Cyrl-RS" w:eastAsia="ja-JP"/>
        </w:rPr>
        <w:t>се очекује да ће износити у 2024</w:t>
      </w:r>
      <w:r w:rsidRPr="00EA3D8C">
        <w:rPr>
          <w:rFonts w:eastAsia="MS PGothic" w:cstheme="minorHAnsi"/>
          <w:szCs w:val="20"/>
          <w:lang w:val="sr-Cyrl-RS" w:eastAsia="ja-JP"/>
        </w:rPr>
        <w:t xml:space="preserve">. години. </w:t>
      </w:r>
      <w:r>
        <w:rPr>
          <w:rFonts w:eastAsia="MS PGothic" w:cstheme="minorHAnsi"/>
          <w:szCs w:val="20"/>
          <w:lang w:val="sr-Cyrl-RS" w:eastAsia="ja-JP"/>
        </w:rPr>
        <w:t>Р</w:t>
      </w:r>
      <w:r w:rsidRPr="00EA3D8C">
        <w:rPr>
          <w:rFonts w:eastAsia="MS PGothic" w:cstheme="minorHAnsi"/>
          <w:szCs w:val="20"/>
          <w:lang w:val="sr-Cyrl-RS" w:eastAsia="ja-JP"/>
        </w:rPr>
        <w:t>азлог за смањење пројектованог учеш</w:t>
      </w:r>
      <w:r>
        <w:rPr>
          <w:rFonts w:eastAsia="MS PGothic" w:cstheme="minorHAnsi"/>
          <w:szCs w:val="20"/>
          <w:lang w:val="sr-Cyrl-RS" w:eastAsia="ja-JP"/>
        </w:rPr>
        <w:t>ћа непореских прихода у БДП је</w:t>
      </w:r>
      <w:r w:rsidRPr="00EA3D8C">
        <w:rPr>
          <w:rFonts w:eastAsia="MS PGothic" w:cstheme="minorHAnsi"/>
          <w:szCs w:val="20"/>
          <w:lang w:val="sr-Cyrl-RS" w:eastAsia="ja-JP"/>
        </w:rPr>
        <w:t xml:space="preserve"> искључивање из базне 2020. године свих оних прихода који се не сматрају структурним тј. трајним, а првенствено се то односи на ванредне категорије непореских прихода. Ванредни непорески приходи су углавном једнократни, у одређеној мери неизвесни, како по питању износа, тако и по питању тренутка уплате. Највећи </w:t>
      </w:r>
      <w:r w:rsidRPr="00EA3D8C">
        <w:rPr>
          <w:rFonts w:eastAsia="MS PGothic" w:cstheme="minorHAnsi"/>
          <w:szCs w:val="20"/>
          <w:lang w:val="sr-Cyrl-RS" w:eastAsia="ja-JP"/>
        </w:rPr>
        <w:t xml:space="preserve">део ових прихода представљају ванредне уплате добити јавних предузећа и агенција, дивиденде буџета, приходи по основу наплаћених потраживања </w:t>
      </w:r>
      <w:r>
        <w:rPr>
          <w:rFonts w:eastAsia="MS PGothic" w:cstheme="minorHAnsi"/>
          <w:szCs w:val="20"/>
          <w:lang w:val="sr-Cyrl-RS" w:eastAsia="ja-JP"/>
        </w:rPr>
        <w:t>АОД</w:t>
      </w:r>
      <w:r w:rsidRPr="00EA3D8C">
        <w:rPr>
          <w:rFonts w:eastAsia="MS PGothic" w:cstheme="minorHAnsi"/>
          <w:szCs w:val="20"/>
          <w:lang w:val="sr-Cyrl-RS" w:eastAsia="ja-JP"/>
        </w:rPr>
        <w:t>, емисионе премије, итд. Редовни непорески приходи обухватају различите таксе, накнаде, казне, приходе органа и организација и све остале приходе који се остварују устаљеном динамиком током године. Ови непорески приходи индексирају се са оствареном инфлацијом у претходној години, или пак прате промену у вредности основе на које се примењују и услед тога се коригују пројектованом инфлацијом.</w:t>
      </w:r>
    </w:p>
    <w:p w14:paraId="130B80EB" w14:textId="77777777" w:rsidR="001E3E7D" w:rsidRPr="00EA3D8C"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Процесом приближавања државе чланству у ЕУ повећавају се расположива средства из ИПА и ИПАРД фондова која чине преовлађујући део прихода од донација. У пројектоване износе по основу донација укључена су и средства по основу секторске буџетске подршке ЕУ. Приходи по основу донација су неутрални у односу на резултат, с обзиром да су једнаки расходима по овом основу.</w:t>
      </w:r>
    </w:p>
    <w:p w14:paraId="3B5D6095" w14:textId="77777777" w:rsidR="001E3E7D" w:rsidRDefault="001E3E7D" w:rsidP="00C130D2">
      <w:pPr>
        <w:spacing w:after="120" w:line="276" w:lineRule="auto"/>
        <w:rPr>
          <w:rFonts w:eastAsia="MS PGothic" w:cstheme="minorHAnsi"/>
          <w:szCs w:val="20"/>
          <w:lang w:val="sr-Cyrl-RS" w:eastAsia="ja-JP"/>
        </w:rPr>
      </w:pPr>
      <w:r w:rsidRPr="00EA3D8C">
        <w:rPr>
          <w:rFonts w:eastAsia="MS PGothic" w:cstheme="minorHAnsi"/>
          <w:szCs w:val="20"/>
          <w:lang w:val="sr-Cyrl-RS" w:eastAsia="ja-JP"/>
        </w:rPr>
        <w:t xml:space="preserve">Одговорном фискалном политиком у комбинацији са добрим макроекономским перформансама у </w:t>
      </w:r>
      <w:r>
        <w:rPr>
          <w:rFonts w:eastAsia="MS PGothic" w:cstheme="minorHAnsi"/>
          <w:szCs w:val="20"/>
          <w:lang w:val="sr-Cyrl-RS" w:eastAsia="ja-JP"/>
        </w:rPr>
        <w:t>протеклом</w:t>
      </w:r>
      <w:r w:rsidRPr="00EA3D8C">
        <w:rPr>
          <w:rFonts w:eastAsia="MS PGothic" w:cstheme="minorHAnsi"/>
          <w:szCs w:val="20"/>
          <w:lang w:val="sr-Cyrl-RS" w:eastAsia="ja-JP"/>
        </w:rPr>
        <w:t xml:space="preserve"> периоду обезбе</w:t>
      </w:r>
      <w:r>
        <w:rPr>
          <w:rFonts w:eastAsia="MS PGothic" w:cstheme="minorHAnsi"/>
          <w:szCs w:val="20"/>
          <w:lang w:val="sr-Cyrl-RS" w:eastAsia="ja-JP"/>
        </w:rPr>
        <w:t>ђено је</w:t>
      </w:r>
      <w:r w:rsidRPr="00EA3D8C">
        <w:rPr>
          <w:rFonts w:eastAsia="MS PGothic" w:cstheme="minorHAnsi"/>
          <w:szCs w:val="20"/>
          <w:lang w:val="sr-Cyrl-RS" w:eastAsia="ja-JP"/>
        </w:rPr>
        <w:t xml:space="preserve"> релаксирање политике плата и пензија и значајно повећање капиталних инвестиција као битне компоненте развоја привреде. Посебна пажња </w:t>
      </w:r>
      <w:r>
        <w:rPr>
          <w:rFonts w:eastAsia="MS PGothic" w:cstheme="minorHAnsi"/>
          <w:szCs w:val="20"/>
          <w:lang w:val="sr-Cyrl-RS" w:eastAsia="ja-JP"/>
        </w:rPr>
        <w:t xml:space="preserve">је посвећена </w:t>
      </w:r>
      <w:r w:rsidRPr="00EA3D8C">
        <w:rPr>
          <w:rFonts w:eastAsia="MS PGothic" w:cstheme="minorHAnsi"/>
          <w:szCs w:val="20"/>
          <w:lang w:val="sr-Cyrl-RS" w:eastAsia="ja-JP"/>
        </w:rPr>
        <w:t xml:space="preserve">унапређењу ефикасности реализације капиталних инвестиција државе. Социјална компонента буџета је побољшана бољим таргетирањем програма социјалне помоћи и већим издвајањем за функције здравства и образовања. Дефинисан је и начин индексације пензија. Плате и пензије заједно чине </w:t>
      </w:r>
      <w:r w:rsidR="00B906B9">
        <w:rPr>
          <w:rFonts w:eastAsia="MS PGothic" w:cstheme="minorHAnsi"/>
          <w:szCs w:val="20"/>
          <w:lang w:val="sr-Cyrl-RS" w:eastAsia="ja-JP"/>
        </w:rPr>
        <w:t>око</w:t>
      </w:r>
      <w:r w:rsidRPr="00EA3D8C">
        <w:rPr>
          <w:rFonts w:eastAsia="MS PGothic" w:cstheme="minorHAnsi"/>
          <w:szCs w:val="20"/>
          <w:lang w:val="sr-Cyrl-RS" w:eastAsia="ja-JP"/>
        </w:rPr>
        <w:t xml:space="preserve"> 50% расхода на нивоу опште државе и њихова стабилизација је од пресудног значаја за одрживост јавних финансија.</w:t>
      </w:r>
    </w:p>
    <w:p w14:paraId="084F0A3A" w14:textId="77777777" w:rsidR="00E37A4E" w:rsidRDefault="00E37A4E" w:rsidP="00C130D2">
      <w:pPr>
        <w:spacing w:after="120" w:line="276" w:lineRule="auto"/>
        <w:rPr>
          <w:rFonts w:eastAsia="MS PGothic" w:cstheme="minorHAnsi"/>
          <w:szCs w:val="20"/>
          <w:lang w:val="sr-Cyrl-RS" w:eastAsia="ja-JP"/>
        </w:rPr>
        <w:sectPr w:rsidR="00E37A4E" w:rsidSect="00AE40EB">
          <w:type w:val="continuous"/>
          <w:pgSz w:w="12240" w:h="15840" w:code="1"/>
          <w:pgMar w:top="1440" w:right="1440" w:bottom="1440" w:left="1440" w:header="720" w:footer="720" w:gutter="0"/>
          <w:cols w:num="2" w:space="720"/>
          <w:docGrid w:linePitch="360"/>
        </w:sectPr>
      </w:pPr>
    </w:p>
    <w:p w14:paraId="5B47FB3B" w14:textId="77777777" w:rsidR="00E37A4E" w:rsidRPr="00EA3D8C" w:rsidRDefault="00E37A4E" w:rsidP="00C130D2">
      <w:pPr>
        <w:spacing w:after="120" w:line="276" w:lineRule="auto"/>
        <w:rPr>
          <w:rFonts w:eastAsia="MS PGothic" w:cstheme="minorHAnsi"/>
          <w:szCs w:val="20"/>
          <w:lang w:val="sr-Cyrl-RS" w:eastAsia="ja-JP"/>
        </w:rPr>
        <w:sectPr w:rsidR="00E37A4E" w:rsidRPr="00EA3D8C" w:rsidSect="00AE40EB">
          <w:type w:val="continuous"/>
          <w:pgSz w:w="12240" w:h="15840" w:code="1"/>
          <w:pgMar w:top="1440" w:right="1440" w:bottom="1440" w:left="1440" w:header="720" w:footer="720" w:gutter="0"/>
          <w:cols w:num="2" w:space="720"/>
          <w:docGrid w:linePitch="360"/>
        </w:sectPr>
      </w:pPr>
    </w:p>
    <w:p w14:paraId="737DEE0E" w14:textId="77777777" w:rsidR="001E3E7D" w:rsidRPr="00E37A4E" w:rsidRDefault="001E3E7D" w:rsidP="005E54B2">
      <w:pPr>
        <w:keepNext/>
        <w:spacing w:after="120" w:line="276" w:lineRule="auto"/>
        <w:jc w:val="center"/>
        <w:rPr>
          <w:rFonts w:eastAsia="MS PGothic" w:cstheme="minorHAnsi"/>
          <w:b/>
          <w:color w:val="002060"/>
          <w:szCs w:val="20"/>
          <w:lang w:val="sr-Cyrl-RS" w:eastAsia="ja-JP"/>
        </w:rPr>
      </w:pPr>
      <w:r w:rsidRPr="00E37A4E">
        <w:rPr>
          <w:rFonts w:eastAsia="MS PGothic" w:cstheme="minorHAnsi"/>
          <w:b/>
          <w:color w:val="002060"/>
          <w:szCs w:val="20"/>
          <w:lang w:val="sr-Cyrl-RS" w:eastAsia="ja-JP"/>
        </w:rPr>
        <w:lastRenderedPageBreak/>
        <w:t>Табела 12. Укупни расходи у периоду 2020–2024. године, % БДП</w:t>
      </w:r>
    </w:p>
    <w:tbl>
      <w:tblPr>
        <w:tblStyle w:val="LightShading-Accent1221"/>
        <w:tblW w:w="4952" w:type="pct"/>
        <w:tblLook w:val="0420" w:firstRow="1" w:lastRow="0" w:firstColumn="0" w:lastColumn="0" w:noHBand="0" w:noVBand="1"/>
      </w:tblPr>
      <w:tblGrid>
        <w:gridCol w:w="3647"/>
        <w:gridCol w:w="1194"/>
        <w:gridCol w:w="1194"/>
        <w:gridCol w:w="1077"/>
        <w:gridCol w:w="1077"/>
        <w:gridCol w:w="1081"/>
      </w:tblGrid>
      <w:tr w:rsidR="001E3E7D" w:rsidRPr="00E37A4E" w14:paraId="7F44B512" w14:textId="77777777" w:rsidTr="001940DA">
        <w:trPr>
          <w:cnfStyle w:val="100000000000" w:firstRow="1" w:lastRow="0" w:firstColumn="0" w:lastColumn="0" w:oddVBand="0" w:evenVBand="0" w:oddHBand="0" w:evenHBand="0" w:firstRowFirstColumn="0" w:firstRowLastColumn="0" w:lastRowFirstColumn="0" w:lastRowLastColumn="0"/>
          <w:trHeight w:val="49"/>
        </w:trPr>
        <w:tc>
          <w:tcPr>
            <w:tcW w:w="1967" w:type="pct"/>
            <w:tcBorders>
              <w:top w:val="single" w:sz="4" w:space="0" w:color="002060"/>
              <w:bottom w:val="single" w:sz="4" w:space="0" w:color="002060"/>
            </w:tcBorders>
            <w:noWrap/>
            <w:vAlign w:val="center"/>
          </w:tcPr>
          <w:p w14:paraId="4122974E" w14:textId="77777777" w:rsidR="001E3E7D" w:rsidRPr="00E37A4E" w:rsidRDefault="001E3E7D" w:rsidP="00C130D2">
            <w:pPr>
              <w:keepNext/>
              <w:widowControl w:val="0"/>
              <w:shd w:val="clear" w:color="auto" w:fill="FFFFFF" w:themeFill="background1"/>
              <w:spacing w:line="276" w:lineRule="auto"/>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Опис</w:t>
            </w:r>
          </w:p>
        </w:tc>
        <w:tc>
          <w:tcPr>
            <w:tcW w:w="644" w:type="pct"/>
            <w:tcBorders>
              <w:top w:val="single" w:sz="4" w:space="0" w:color="002060"/>
              <w:bottom w:val="single" w:sz="4" w:space="0" w:color="002060"/>
            </w:tcBorders>
            <w:vAlign w:val="center"/>
          </w:tcPr>
          <w:p w14:paraId="67136DDD"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Извршење</w:t>
            </w:r>
          </w:p>
        </w:tc>
        <w:tc>
          <w:tcPr>
            <w:tcW w:w="644" w:type="pct"/>
            <w:tcBorders>
              <w:top w:val="single" w:sz="4" w:space="0" w:color="002060"/>
              <w:bottom w:val="single" w:sz="4" w:space="0" w:color="002060"/>
            </w:tcBorders>
            <w:vAlign w:val="center"/>
          </w:tcPr>
          <w:p w14:paraId="6F6AB204"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Процена</w:t>
            </w:r>
          </w:p>
        </w:tc>
        <w:tc>
          <w:tcPr>
            <w:tcW w:w="1745" w:type="pct"/>
            <w:gridSpan w:val="3"/>
            <w:tcBorders>
              <w:top w:val="single" w:sz="4" w:space="0" w:color="002060"/>
              <w:bottom w:val="single" w:sz="4" w:space="0" w:color="002060"/>
            </w:tcBorders>
            <w:vAlign w:val="center"/>
          </w:tcPr>
          <w:p w14:paraId="6B3C3185" w14:textId="77777777" w:rsidR="001E3E7D" w:rsidRPr="00E37A4E" w:rsidRDefault="001E3E7D" w:rsidP="00C130D2">
            <w:pPr>
              <w:keepNext/>
              <w:widowControl w:val="0"/>
              <w:shd w:val="clear" w:color="auto" w:fill="FFFFFF" w:themeFill="background1"/>
              <w:spacing w:line="276" w:lineRule="auto"/>
              <w:jc w:val="center"/>
              <w:rPr>
                <w:rFonts w:asciiTheme="minorHAnsi" w:eastAsia="Times New Roman" w:hAnsiTheme="minorHAnsi" w:cstheme="minorHAnsi"/>
                <w:b w:val="0"/>
                <w:color w:val="002060"/>
                <w:sz w:val="18"/>
                <w:szCs w:val="18"/>
                <w:lang w:val="sr-Cyrl-RS"/>
              </w:rPr>
            </w:pPr>
            <w:r w:rsidRPr="00E37A4E">
              <w:rPr>
                <w:rFonts w:asciiTheme="minorHAnsi" w:hAnsiTheme="minorHAnsi" w:cstheme="minorHAnsi"/>
                <w:b w:val="0"/>
                <w:color w:val="002060"/>
                <w:sz w:val="18"/>
                <w:lang w:val="sr-Cyrl-RS"/>
              </w:rPr>
              <w:t>Пројекција</w:t>
            </w:r>
          </w:p>
        </w:tc>
      </w:tr>
      <w:tr w:rsidR="001E3E7D" w:rsidRPr="00E37A4E" w14:paraId="1C2885FE" w14:textId="77777777" w:rsidTr="008265F0">
        <w:trPr>
          <w:cnfStyle w:val="000000100000" w:firstRow="0" w:lastRow="0" w:firstColumn="0" w:lastColumn="0" w:oddVBand="0" w:evenVBand="0" w:oddHBand="1" w:evenHBand="0" w:firstRowFirstColumn="0" w:firstRowLastColumn="0" w:lastRowFirstColumn="0" w:lastRowLastColumn="0"/>
          <w:trHeight w:val="49"/>
        </w:trPr>
        <w:tc>
          <w:tcPr>
            <w:tcW w:w="1967" w:type="pct"/>
            <w:tcBorders>
              <w:top w:val="single" w:sz="4" w:space="0" w:color="002060"/>
              <w:bottom w:val="nil"/>
            </w:tcBorders>
            <w:shd w:val="clear" w:color="auto" w:fill="FFFFFF" w:themeFill="background1"/>
            <w:noWrap/>
          </w:tcPr>
          <w:p w14:paraId="09E37A30" w14:textId="77777777" w:rsidR="001E3E7D" w:rsidRPr="00E37A4E" w:rsidRDefault="001E3E7D" w:rsidP="00C130D2">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p>
        </w:tc>
        <w:tc>
          <w:tcPr>
            <w:tcW w:w="644" w:type="pct"/>
            <w:tcBorders>
              <w:top w:val="single" w:sz="4" w:space="0" w:color="002060"/>
              <w:bottom w:val="single" w:sz="4" w:space="0" w:color="002060"/>
            </w:tcBorders>
            <w:shd w:val="clear" w:color="auto" w:fill="FFFFFF" w:themeFill="background1"/>
          </w:tcPr>
          <w:p w14:paraId="76D346A5"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2020</w:t>
            </w:r>
          </w:p>
        </w:tc>
        <w:tc>
          <w:tcPr>
            <w:tcW w:w="644" w:type="pct"/>
            <w:tcBorders>
              <w:top w:val="single" w:sz="4" w:space="0" w:color="002060"/>
              <w:bottom w:val="single" w:sz="4" w:space="0" w:color="002060"/>
            </w:tcBorders>
            <w:shd w:val="clear" w:color="auto" w:fill="FFFFFF" w:themeFill="background1"/>
          </w:tcPr>
          <w:p w14:paraId="224A2586"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2021</w:t>
            </w:r>
          </w:p>
        </w:tc>
        <w:tc>
          <w:tcPr>
            <w:tcW w:w="581" w:type="pct"/>
            <w:tcBorders>
              <w:top w:val="single" w:sz="4" w:space="0" w:color="002060"/>
              <w:bottom w:val="single" w:sz="4" w:space="0" w:color="002060"/>
            </w:tcBorders>
            <w:shd w:val="clear" w:color="auto" w:fill="FFFFFF" w:themeFill="background1"/>
          </w:tcPr>
          <w:p w14:paraId="118E49A5"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2022</w:t>
            </w:r>
          </w:p>
        </w:tc>
        <w:tc>
          <w:tcPr>
            <w:tcW w:w="581" w:type="pct"/>
            <w:tcBorders>
              <w:top w:val="single" w:sz="4" w:space="0" w:color="002060"/>
              <w:bottom w:val="single" w:sz="4" w:space="0" w:color="002060"/>
            </w:tcBorders>
            <w:shd w:val="clear" w:color="auto" w:fill="FFFFFF" w:themeFill="background1"/>
          </w:tcPr>
          <w:p w14:paraId="1AABE8C1"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2023</w:t>
            </w:r>
          </w:p>
        </w:tc>
        <w:tc>
          <w:tcPr>
            <w:tcW w:w="583" w:type="pct"/>
            <w:tcBorders>
              <w:top w:val="single" w:sz="4" w:space="0" w:color="002060"/>
              <w:bottom w:val="single" w:sz="4" w:space="0" w:color="002060"/>
            </w:tcBorders>
            <w:shd w:val="clear" w:color="auto" w:fill="FFFFFF" w:themeFill="background1"/>
          </w:tcPr>
          <w:p w14:paraId="500CF53A" w14:textId="77777777" w:rsidR="001E3E7D" w:rsidRPr="00E37A4E" w:rsidRDefault="001E3E7D" w:rsidP="00C130D2">
            <w:pPr>
              <w:keepNext/>
              <w:widowControl w:val="0"/>
              <w:shd w:val="clear" w:color="auto" w:fill="FFFFFF" w:themeFill="background1"/>
              <w:spacing w:line="276" w:lineRule="auto"/>
              <w:jc w:val="right"/>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2024</w:t>
            </w:r>
          </w:p>
        </w:tc>
      </w:tr>
      <w:tr w:rsidR="001E3E7D" w:rsidRPr="00E37A4E" w14:paraId="481A3198" w14:textId="77777777" w:rsidTr="008265F0">
        <w:trPr>
          <w:trHeight w:val="49"/>
        </w:trPr>
        <w:tc>
          <w:tcPr>
            <w:tcW w:w="1967" w:type="pct"/>
            <w:tcBorders>
              <w:top w:val="nil"/>
            </w:tcBorders>
            <w:shd w:val="clear" w:color="auto" w:fill="FFFFFF" w:themeFill="background1"/>
          </w:tcPr>
          <w:p w14:paraId="59A92588" w14:textId="77777777" w:rsidR="001E3E7D" w:rsidRPr="00E37A4E" w:rsidRDefault="001E3E7D" w:rsidP="008265F0">
            <w:pPr>
              <w:keepNext/>
              <w:widowControl w:val="0"/>
              <w:shd w:val="clear" w:color="auto" w:fill="FFFFFF" w:themeFill="background1"/>
              <w:spacing w:line="276" w:lineRule="auto"/>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ЈАВНИ РАСХОДИ</w:t>
            </w:r>
          </w:p>
        </w:tc>
        <w:tc>
          <w:tcPr>
            <w:tcW w:w="644" w:type="pct"/>
            <w:tcBorders>
              <w:top w:val="single" w:sz="4" w:space="0" w:color="002060"/>
            </w:tcBorders>
            <w:shd w:val="clear" w:color="auto" w:fill="FFFFFF" w:themeFill="background1"/>
          </w:tcPr>
          <w:p w14:paraId="4911BE7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49,4</w:t>
            </w:r>
          </w:p>
        </w:tc>
        <w:tc>
          <w:tcPr>
            <w:tcW w:w="644" w:type="pct"/>
            <w:tcBorders>
              <w:top w:val="single" w:sz="4" w:space="0" w:color="002060"/>
            </w:tcBorders>
            <w:shd w:val="clear" w:color="auto" w:fill="FFFFFF" w:themeFill="background1"/>
            <w:noWrap/>
          </w:tcPr>
          <w:p w14:paraId="48C43F22"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48,7</w:t>
            </w:r>
          </w:p>
        </w:tc>
        <w:tc>
          <w:tcPr>
            <w:tcW w:w="581" w:type="pct"/>
            <w:tcBorders>
              <w:top w:val="single" w:sz="4" w:space="0" w:color="002060"/>
            </w:tcBorders>
            <w:shd w:val="clear" w:color="auto" w:fill="FFFFFF" w:themeFill="background1"/>
            <w:noWrap/>
          </w:tcPr>
          <w:p w14:paraId="2BB6D0C5"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44,7</w:t>
            </w:r>
          </w:p>
        </w:tc>
        <w:tc>
          <w:tcPr>
            <w:tcW w:w="581" w:type="pct"/>
            <w:tcBorders>
              <w:top w:val="single" w:sz="4" w:space="0" w:color="002060"/>
            </w:tcBorders>
            <w:shd w:val="clear" w:color="auto" w:fill="FFFFFF" w:themeFill="background1"/>
            <w:noWrap/>
          </w:tcPr>
          <w:p w14:paraId="1F73F21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42,4</w:t>
            </w:r>
          </w:p>
        </w:tc>
        <w:tc>
          <w:tcPr>
            <w:tcW w:w="583" w:type="pct"/>
            <w:tcBorders>
              <w:top w:val="single" w:sz="4" w:space="0" w:color="002060"/>
            </w:tcBorders>
            <w:shd w:val="clear" w:color="auto" w:fill="FFFFFF" w:themeFill="background1"/>
            <w:noWrap/>
          </w:tcPr>
          <w:p w14:paraId="3E1BB5C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41,6</w:t>
            </w:r>
          </w:p>
        </w:tc>
      </w:tr>
      <w:tr w:rsidR="001E3E7D" w:rsidRPr="00E37A4E" w14:paraId="588730F6" w14:textId="77777777" w:rsidTr="008265F0">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2FED6FEF" w14:textId="77777777" w:rsidR="001E3E7D" w:rsidRPr="00E37A4E" w:rsidRDefault="001E3E7D" w:rsidP="008265F0">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Текући расходи</w:t>
            </w:r>
          </w:p>
        </w:tc>
        <w:tc>
          <w:tcPr>
            <w:tcW w:w="644" w:type="pct"/>
            <w:shd w:val="clear" w:color="auto" w:fill="FFFFFF" w:themeFill="background1"/>
          </w:tcPr>
          <w:p w14:paraId="42EBE3E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43,1</w:t>
            </w:r>
          </w:p>
        </w:tc>
        <w:tc>
          <w:tcPr>
            <w:tcW w:w="644" w:type="pct"/>
            <w:shd w:val="clear" w:color="auto" w:fill="FFFFFF" w:themeFill="background1"/>
            <w:noWrap/>
          </w:tcPr>
          <w:p w14:paraId="6E9260EA"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40,9</w:t>
            </w:r>
          </w:p>
        </w:tc>
        <w:tc>
          <w:tcPr>
            <w:tcW w:w="581" w:type="pct"/>
            <w:shd w:val="clear" w:color="auto" w:fill="FFFFFF" w:themeFill="background1"/>
            <w:noWrap/>
          </w:tcPr>
          <w:p w14:paraId="009CEEF7"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37,3</w:t>
            </w:r>
          </w:p>
        </w:tc>
        <w:tc>
          <w:tcPr>
            <w:tcW w:w="581" w:type="pct"/>
            <w:shd w:val="clear" w:color="auto" w:fill="FFFFFF" w:themeFill="background1"/>
            <w:noWrap/>
          </w:tcPr>
          <w:p w14:paraId="1F883A3F"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35,9</w:t>
            </w:r>
          </w:p>
        </w:tc>
        <w:tc>
          <w:tcPr>
            <w:tcW w:w="583" w:type="pct"/>
            <w:shd w:val="clear" w:color="auto" w:fill="FFFFFF" w:themeFill="background1"/>
            <w:noWrap/>
          </w:tcPr>
          <w:p w14:paraId="482F456D"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35,0</w:t>
            </w:r>
          </w:p>
        </w:tc>
      </w:tr>
      <w:tr w:rsidR="001E3E7D" w:rsidRPr="00E37A4E" w14:paraId="31C17206" w14:textId="77777777" w:rsidTr="008265F0">
        <w:trPr>
          <w:trHeight w:val="49"/>
        </w:trPr>
        <w:tc>
          <w:tcPr>
            <w:tcW w:w="1967" w:type="pct"/>
            <w:shd w:val="clear" w:color="auto" w:fill="FFFFFF" w:themeFill="background1"/>
          </w:tcPr>
          <w:p w14:paraId="556E451A"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Расходи за запослене</w:t>
            </w:r>
          </w:p>
        </w:tc>
        <w:tc>
          <w:tcPr>
            <w:tcW w:w="644" w:type="pct"/>
            <w:shd w:val="clear" w:color="auto" w:fill="FFFFFF" w:themeFill="background1"/>
          </w:tcPr>
          <w:p w14:paraId="025DDA5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10,6</w:t>
            </w:r>
          </w:p>
        </w:tc>
        <w:tc>
          <w:tcPr>
            <w:tcW w:w="644" w:type="pct"/>
            <w:shd w:val="clear" w:color="auto" w:fill="FFFFFF" w:themeFill="background1"/>
            <w:noWrap/>
          </w:tcPr>
          <w:p w14:paraId="658D80D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10,4</w:t>
            </w:r>
          </w:p>
        </w:tc>
        <w:tc>
          <w:tcPr>
            <w:tcW w:w="581" w:type="pct"/>
            <w:shd w:val="clear" w:color="auto" w:fill="FFFFFF" w:themeFill="background1"/>
            <w:noWrap/>
          </w:tcPr>
          <w:p w14:paraId="0095688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10,2</w:t>
            </w:r>
          </w:p>
        </w:tc>
        <w:tc>
          <w:tcPr>
            <w:tcW w:w="581" w:type="pct"/>
            <w:shd w:val="clear" w:color="auto" w:fill="FFFFFF" w:themeFill="background1"/>
            <w:noWrap/>
          </w:tcPr>
          <w:p w14:paraId="7ED86732"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9,9</w:t>
            </w:r>
          </w:p>
        </w:tc>
        <w:tc>
          <w:tcPr>
            <w:tcW w:w="583" w:type="pct"/>
            <w:shd w:val="clear" w:color="auto" w:fill="FFFFFF" w:themeFill="background1"/>
            <w:noWrap/>
          </w:tcPr>
          <w:p w14:paraId="4EFBED0A"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9,7</w:t>
            </w:r>
          </w:p>
        </w:tc>
      </w:tr>
      <w:tr w:rsidR="001E3E7D" w:rsidRPr="00E37A4E" w14:paraId="7C43DACA" w14:textId="77777777" w:rsidTr="008265F0">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65401E67"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Куповина робе и услуга</w:t>
            </w:r>
          </w:p>
        </w:tc>
        <w:tc>
          <w:tcPr>
            <w:tcW w:w="644" w:type="pct"/>
            <w:shd w:val="clear" w:color="auto" w:fill="FFFFFF" w:themeFill="background1"/>
          </w:tcPr>
          <w:p w14:paraId="67DB4788"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8,1</w:t>
            </w:r>
          </w:p>
        </w:tc>
        <w:tc>
          <w:tcPr>
            <w:tcW w:w="644" w:type="pct"/>
            <w:shd w:val="clear" w:color="auto" w:fill="FFFFFF" w:themeFill="background1"/>
            <w:noWrap/>
          </w:tcPr>
          <w:p w14:paraId="62541EBF"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8,1</w:t>
            </w:r>
          </w:p>
        </w:tc>
        <w:tc>
          <w:tcPr>
            <w:tcW w:w="581" w:type="pct"/>
            <w:shd w:val="clear" w:color="auto" w:fill="FFFFFF" w:themeFill="background1"/>
            <w:noWrap/>
          </w:tcPr>
          <w:p w14:paraId="502C6645"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7,9</w:t>
            </w:r>
          </w:p>
        </w:tc>
        <w:tc>
          <w:tcPr>
            <w:tcW w:w="581" w:type="pct"/>
            <w:shd w:val="clear" w:color="auto" w:fill="FFFFFF" w:themeFill="background1"/>
            <w:noWrap/>
          </w:tcPr>
          <w:p w14:paraId="525C399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7,5</w:t>
            </w:r>
          </w:p>
        </w:tc>
        <w:tc>
          <w:tcPr>
            <w:tcW w:w="583" w:type="pct"/>
            <w:shd w:val="clear" w:color="auto" w:fill="FFFFFF" w:themeFill="background1"/>
            <w:noWrap/>
          </w:tcPr>
          <w:p w14:paraId="371A052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7,2</w:t>
            </w:r>
          </w:p>
        </w:tc>
      </w:tr>
      <w:tr w:rsidR="001E3E7D" w:rsidRPr="00E37A4E" w14:paraId="7931C2FF" w14:textId="77777777" w:rsidTr="008265F0">
        <w:trPr>
          <w:trHeight w:val="49"/>
        </w:trPr>
        <w:tc>
          <w:tcPr>
            <w:tcW w:w="1967" w:type="pct"/>
            <w:shd w:val="clear" w:color="auto" w:fill="FFFFFF" w:themeFill="background1"/>
          </w:tcPr>
          <w:p w14:paraId="522D77BC"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Отплата камата</w:t>
            </w:r>
          </w:p>
        </w:tc>
        <w:tc>
          <w:tcPr>
            <w:tcW w:w="644" w:type="pct"/>
            <w:shd w:val="clear" w:color="auto" w:fill="FFFFFF" w:themeFill="background1"/>
          </w:tcPr>
          <w:p w14:paraId="355746F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2,0</w:t>
            </w:r>
          </w:p>
        </w:tc>
        <w:tc>
          <w:tcPr>
            <w:tcW w:w="644" w:type="pct"/>
            <w:shd w:val="clear" w:color="auto" w:fill="FFFFFF" w:themeFill="background1"/>
            <w:noWrap/>
          </w:tcPr>
          <w:p w14:paraId="704AE34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1,9</w:t>
            </w:r>
          </w:p>
        </w:tc>
        <w:tc>
          <w:tcPr>
            <w:tcW w:w="581" w:type="pct"/>
            <w:shd w:val="clear" w:color="auto" w:fill="FFFFFF" w:themeFill="background1"/>
            <w:noWrap/>
          </w:tcPr>
          <w:p w14:paraId="03FECBD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1,8</w:t>
            </w:r>
          </w:p>
        </w:tc>
        <w:tc>
          <w:tcPr>
            <w:tcW w:w="581" w:type="pct"/>
            <w:shd w:val="clear" w:color="auto" w:fill="FFFFFF" w:themeFill="background1"/>
            <w:noWrap/>
          </w:tcPr>
          <w:p w14:paraId="60DE492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1,7</w:t>
            </w:r>
          </w:p>
        </w:tc>
        <w:tc>
          <w:tcPr>
            <w:tcW w:w="583" w:type="pct"/>
            <w:shd w:val="clear" w:color="auto" w:fill="FFFFFF" w:themeFill="background1"/>
            <w:noWrap/>
          </w:tcPr>
          <w:p w14:paraId="4AAA0FED"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1,6</w:t>
            </w:r>
          </w:p>
        </w:tc>
      </w:tr>
      <w:tr w:rsidR="001E3E7D" w:rsidRPr="00E37A4E" w14:paraId="091CBD7A" w14:textId="77777777" w:rsidTr="008265F0">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0512B0EB"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Субвенције</w:t>
            </w:r>
          </w:p>
        </w:tc>
        <w:tc>
          <w:tcPr>
            <w:tcW w:w="644" w:type="pct"/>
            <w:shd w:val="clear" w:color="auto" w:fill="FFFFFF" w:themeFill="background1"/>
          </w:tcPr>
          <w:p w14:paraId="3919D9A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4,6</w:t>
            </w:r>
          </w:p>
        </w:tc>
        <w:tc>
          <w:tcPr>
            <w:tcW w:w="644" w:type="pct"/>
            <w:shd w:val="clear" w:color="auto" w:fill="FFFFFF" w:themeFill="background1"/>
            <w:noWrap/>
          </w:tcPr>
          <w:p w14:paraId="2FBF8A9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3,7</w:t>
            </w:r>
          </w:p>
        </w:tc>
        <w:tc>
          <w:tcPr>
            <w:tcW w:w="581" w:type="pct"/>
            <w:shd w:val="clear" w:color="auto" w:fill="FFFFFF" w:themeFill="background1"/>
            <w:noWrap/>
          </w:tcPr>
          <w:p w14:paraId="6233F800"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2,0</w:t>
            </w:r>
          </w:p>
        </w:tc>
        <w:tc>
          <w:tcPr>
            <w:tcW w:w="581" w:type="pct"/>
            <w:shd w:val="clear" w:color="auto" w:fill="FFFFFF" w:themeFill="background1"/>
            <w:noWrap/>
          </w:tcPr>
          <w:p w14:paraId="7EBE0697"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1,8</w:t>
            </w:r>
          </w:p>
        </w:tc>
        <w:tc>
          <w:tcPr>
            <w:tcW w:w="583" w:type="pct"/>
            <w:shd w:val="clear" w:color="auto" w:fill="FFFFFF" w:themeFill="background1"/>
            <w:noWrap/>
          </w:tcPr>
          <w:p w14:paraId="5B0FD2F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1,7</w:t>
            </w:r>
          </w:p>
        </w:tc>
      </w:tr>
      <w:tr w:rsidR="001E3E7D" w:rsidRPr="00E37A4E" w14:paraId="18487791" w14:textId="77777777" w:rsidTr="008265F0">
        <w:trPr>
          <w:trHeight w:val="49"/>
        </w:trPr>
        <w:tc>
          <w:tcPr>
            <w:tcW w:w="1967" w:type="pct"/>
            <w:shd w:val="clear" w:color="auto" w:fill="FFFFFF" w:themeFill="background1"/>
          </w:tcPr>
          <w:p w14:paraId="2E9D94D6"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Социјална помоћ и трансфери</w:t>
            </w:r>
          </w:p>
        </w:tc>
        <w:tc>
          <w:tcPr>
            <w:tcW w:w="644" w:type="pct"/>
            <w:shd w:val="clear" w:color="auto" w:fill="FFFFFF" w:themeFill="background1"/>
          </w:tcPr>
          <w:p w14:paraId="6E63B35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14,8</w:t>
            </w:r>
          </w:p>
        </w:tc>
        <w:tc>
          <w:tcPr>
            <w:tcW w:w="644" w:type="pct"/>
            <w:shd w:val="clear" w:color="auto" w:fill="FFFFFF" w:themeFill="background1"/>
            <w:noWrap/>
          </w:tcPr>
          <w:p w14:paraId="01E37257"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14,5</w:t>
            </w:r>
          </w:p>
        </w:tc>
        <w:tc>
          <w:tcPr>
            <w:tcW w:w="581" w:type="pct"/>
            <w:shd w:val="clear" w:color="auto" w:fill="FFFFFF" w:themeFill="background1"/>
            <w:noWrap/>
          </w:tcPr>
          <w:p w14:paraId="0DA6186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14,1</w:t>
            </w:r>
          </w:p>
        </w:tc>
        <w:tc>
          <w:tcPr>
            <w:tcW w:w="581" w:type="pct"/>
            <w:shd w:val="clear" w:color="auto" w:fill="FFFFFF" w:themeFill="background1"/>
            <w:noWrap/>
          </w:tcPr>
          <w:p w14:paraId="3802BBA7"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13,7</w:t>
            </w:r>
          </w:p>
        </w:tc>
        <w:tc>
          <w:tcPr>
            <w:tcW w:w="583" w:type="pct"/>
            <w:shd w:val="clear" w:color="auto" w:fill="FFFFFF" w:themeFill="background1"/>
            <w:noWrap/>
          </w:tcPr>
          <w:p w14:paraId="5BE5C1C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13,5</w:t>
            </w:r>
          </w:p>
        </w:tc>
      </w:tr>
      <w:tr w:rsidR="001E3E7D" w:rsidRPr="00E37A4E" w14:paraId="1871BBA5" w14:textId="77777777" w:rsidTr="008265F0">
        <w:trPr>
          <w:cnfStyle w:val="000000100000" w:firstRow="0" w:lastRow="0" w:firstColumn="0" w:lastColumn="0" w:oddVBand="0" w:evenVBand="0" w:oddHBand="1" w:evenHBand="0" w:firstRowFirstColumn="0" w:firstRowLastColumn="0" w:lastRowFirstColumn="0" w:lastRowLastColumn="0"/>
          <w:trHeight w:val="104"/>
        </w:trPr>
        <w:tc>
          <w:tcPr>
            <w:tcW w:w="1967" w:type="pct"/>
            <w:shd w:val="clear" w:color="auto" w:fill="FFFFFF" w:themeFill="background1"/>
          </w:tcPr>
          <w:p w14:paraId="2F1FC1F4" w14:textId="77777777" w:rsidR="001E3E7D" w:rsidRPr="00E37A4E" w:rsidRDefault="001E3E7D" w:rsidP="008265F0">
            <w:pPr>
              <w:keepNext/>
              <w:widowControl w:val="0"/>
              <w:shd w:val="clear" w:color="auto" w:fill="FFFFFF" w:themeFill="background1"/>
              <w:spacing w:line="276" w:lineRule="auto"/>
              <w:ind w:left="397"/>
              <w:rPr>
                <w:rFonts w:asciiTheme="minorHAnsi" w:eastAsia="Times New Roman" w:hAnsiTheme="minorHAnsi" w:cstheme="minorHAnsi"/>
                <w:bCs/>
                <w:i/>
                <w:color w:val="002060"/>
                <w:sz w:val="18"/>
                <w:szCs w:val="18"/>
                <w:lang w:val="sr-Cyrl-RS"/>
              </w:rPr>
            </w:pPr>
            <w:r w:rsidRPr="00E37A4E">
              <w:rPr>
                <w:rFonts w:asciiTheme="minorHAnsi" w:eastAsia="Times New Roman" w:hAnsiTheme="minorHAnsi" w:cstheme="minorHAnsi"/>
                <w:bCs/>
                <w:i/>
                <w:color w:val="002060"/>
                <w:sz w:val="18"/>
                <w:szCs w:val="18"/>
                <w:lang w:val="sr-Cyrl-RS"/>
              </w:rPr>
              <w:t>од чега пензије</w:t>
            </w:r>
          </w:p>
        </w:tc>
        <w:tc>
          <w:tcPr>
            <w:tcW w:w="644" w:type="pct"/>
            <w:shd w:val="clear" w:color="auto" w:fill="FFFFFF" w:themeFill="background1"/>
          </w:tcPr>
          <w:p w14:paraId="70608408" w14:textId="77777777" w:rsidR="001E3E7D" w:rsidRPr="00E37A4E" w:rsidRDefault="001E3E7D" w:rsidP="008265F0">
            <w:pPr>
              <w:shd w:val="clear" w:color="auto" w:fill="FFFFFF" w:themeFill="background1"/>
              <w:spacing w:line="276" w:lineRule="auto"/>
              <w:jc w:val="right"/>
              <w:rPr>
                <w:rFonts w:asciiTheme="minorHAnsi" w:hAnsiTheme="minorHAnsi" w:cstheme="minorHAnsi"/>
                <w:i/>
                <w:color w:val="002060"/>
                <w:sz w:val="18"/>
                <w:szCs w:val="18"/>
                <w:lang w:val="sr-Cyrl-RS"/>
              </w:rPr>
            </w:pPr>
            <w:r w:rsidRPr="00E37A4E">
              <w:rPr>
                <w:rFonts w:asciiTheme="minorHAnsi" w:hAnsiTheme="minorHAnsi" w:cstheme="minorHAnsi"/>
                <w:i/>
                <w:color w:val="002060"/>
                <w:sz w:val="18"/>
                <w:szCs w:val="18"/>
                <w:lang w:val="sr-Cyrl-RS"/>
              </w:rPr>
              <w:t>10,7</w:t>
            </w:r>
          </w:p>
        </w:tc>
        <w:tc>
          <w:tcPr>
            <w:tcW w:w="644" w:type="pct"/>
            <w:shd w:val="clear" w:color="auto" w:fill="FFFFFF" w:themeFill="background1"/>
            <w:noWrap/>
          </w:tcPr>
          <w:p w14:paraId="41B6114E" w14:textId="77777777" w:rsidR="001E3E7D" w:rsidRPr="00E37A4E" w:rsidRDefault="001E3E7D" w:rsidP="008265F0">
            <w:pPr>
              <w:shd w:val="clear" w:color="auto" w:fill="FFFFFF" w:themeFill="background1"/>
              <w:spacing w:line="276" w:lineRule="auto"/>
              <w:jc w:val="right"/>
              <w:rPr>
                <w:rFonts w:asciiTheme="minorHAnsi" w:hAnsiTheme="minorHAnsi" w:cstheme="minorHAnsi"/>
                <w:i/>
                <w:color w:val="002060"/>
                <w:sz w:val="18"/>
                <w:szCs w:val="18"/>
                <w:lang w:val="sr-Cyrl-RS"/>
              </w:rPr>
            </w:pPr>
            <w:r w:rsidRPr="00E37A4E">
              <w:rPr>
                <w:rFonts w:asciiTheme="minorHAnsi" w:hAnsiTheme="minorHAnsi" w:cstheme="minorHAnsi"/>
                <w:i/>
                <w:color w:val="002060"/>
                <w:sz w:val="18"/>
                <w:szCs w:val="18"/>
                <w:lang w:val="sr-Cyrl-RS"/>
              </w:rPr>
              <w:t>10,4</w:t>
            </w:r>
          </w:p>
        </w:tc>
        <w:tc>
          <w:tcPr>
            <w:tcW w:w="581" w:type="pct"/>
            <w:shd w:val="clear" w:color="auto" w:fill="FFFFFF" w:themeFill="background1"/>
            <w:noWrap/>
          </w:tcPr>
          <w:p w14:paraId="00C2B47B" w14:textId="77777777" w:rsidR="001E3E7D" w:rsidRPr="00E37A4E" w:rsidRDefault="001E3E7D" w:rsidP="008265F0">
            <w:pPr>
              <w:shd w:val="clear" w:color="auto" w:fill="FFFFFF" w:themeFill="background1"/>
              <w:spacing w:line="276" w:lineRule="auto"/>
              <w:jc w:val="right"/>
              <w:rPr>
                <w:rFonts w:asciiTheme="minorHAnsi" w:hAnsiTheme="minorHAnsi" w:cstheme="minorHAnsi"/>
                <w:i/>
                <w:color w:val="002060"/>
                <w:sz w:val="18"/>
                <w:szCs w:val="18"/>
                <w:lang w:val="sr-Cyrl-RS"/>
              </w:rPr>
            </w:pPr>
            <w:r w:rsidRPr="00E37A4E">
              <w:rPr>
                <w:rFonts w:asciiTheme="minorHAnsi" w:hAnsiTheme="minorHAnsi" w:cstheme="minorHAnsi"/>
                <w:i/>
                <w:color w:val="002060"/>
                <w:sz w:val="18"/>
                <w:szCs w:val="18"/>
                <w:lang w:val="sr-Cyrl-RS"/>
              </w:rPr>
              <w:t>10,3</w:t>
            </w:r>
          </w:p>
        </w:tc>
        <w:tc>
          <w:tcPr>
            <w:tcW w:w="581" w:type="pct"/>
            <w:shd w:val="clear" w:color="auto" w:fill="FFFFFF" w:themeFill="background1"/>
            <w:noWrap/>
          </w:tcPr>
          <w:p w14:paraId="48928FAD" w14:textId="77777777" w:rsidR="001E3E7D" w:rsidRPr="00E37A4E" w:rsidRDefault="001E3E7D" w:rsidP="008265F0">
            <w:pPr>
              <w:shd w:val="clear" w:color="auto" w:fill="FFFFFF" w:themeFill="background1"/>
              <w:spacing w:line="276" w:lineRule="auto"/>
              <w:jc w:val="right"/>
              <w:rPr>
                <w:rFonts w:asciiTheme="minorHAnsi" w:hAnsiTheme="minorHAnsi" w:cstheme="minorHAnsi"/>
                <w:i/>
                <w:color w:val="002060"/>
                <w:sz w:val="18"/>
                <w:szCs w:val="18"/>
                <w:lang w:val="sr-Cyrl-RS"/>
              </w:rPr>
            </w:pPr>
            <w:r w:rsidRPr="00E37A4E">
              <w:rPr>
                <w:rFonts w:asciiTheme="minorHAnsi" w:hAnsiTheme="minorHAnsi" w:cstheme="minorHAnsi"/>
                <w:i/>
                <w:color w:val="002060"/>
                <w:sz w:val="18"/>
                <w:szCs w:val="18"/>
                <w:lang w:val="sr-Cyrl-RS"/>
              </w:rPr>
              <w:t>10,1</w:t>
            </w:r>
          </w:p>
        </w:tc>
        <w:tc>
          <w:tcPr>
            <w:tcW w:w="583" w:type="pct"/>
            <w:shd w:val="clear" w:color="auto" w:fill="FFFFFF" w:themeFill="background1"/>
            <w:noWrap/>
          </w:tcPr>
          <w:p w14:paraId="399EB425" w14:textId="77777777" w:rsidR="001E3E7D" w:rsidRPr="00E37A4E" w:rsidRDefault="001E3E7D" w:rsidP="008265F0">
            <w:pPr>
              <w:shd w:val="clear" w:color="auto" w:fill="FFFFFF" w:themeFill="background1"/>
              <w:spacing w:line="276" w:lineRule="auto"/>
              <w:jc w:val="right"/>
              <w:rPr>
                <w:rFonts w:asciiTheme="minorHAnsi" w:hAnsiTheme="minorHAnsi" w:cstheme="minorHAnsi"/>
                <w:i/>
                <w:color w:val="002060"/>
                <w:sz w:val="18"/>
                <w:szCs w:val="18"/>
                <w:lang w:val="sr-Cyrl-RS"/>
              </w:rPr>
            </w:pPr>
            <w:r w:rsidRPr="00E37A4E">
              <w:rPr>
                <w:rFonts w:asciiTheme="minorHAnsi" w:hAnsiTheme="minorHAnsi" w:cstheme="minorHAnsi"/>
                <w:i/>
                <w:color w:val="002060"/>
                <w:sz w:val="18"/>
                <w:szCs w:val="18"/>
                <w:lang w:val="sr-Cyrl-RS"/>
              </w:rPr>
              <w:t>10,0</w:t>
            </w:r>
          </w:p>
        </w:tc>
      </w:tr>
      <w:tr w:rsidR="001E3E7D" w:rsidRPr="00E37A4E" w14:paraId="473DF84F" w14:textId="77777777" w:rsidTr="008265F0">
        <w:trPr>
          <w:trHeight w:val="49"/>
        </w:trPr>
        <w:tc>
          <w:tcPr>
            <w:tcW w:w="1967" w:type="pct"/>
            <w:shd w:val="clear" w:color="auto" w:fill="FFFFFF" w:themeFill="background1"/>
          </w:tcPr>
          <w:p w14:paraId="5E38785D" w14:textId="77777777" w:rsidR="001E3E7D" w:rsidRPr="00E37A4E" w:rsidRDefault="001E3E7D" w:rsidP="008265F0">
            <w:pPr>
              <w:keepNext/>
              <w:widowControl w:val="0"/>
              <w:shd w:val="clear" w:color="auto" w:fill="FFFFFF" w:themeFill="background1"/>
              <w:spacing w:line="276" w:lineRule="auto"/>
              <w:ind w:left="284"/>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Остали текући расходи</w:t>
            </w:r>
          </w:p>
        </w:tc>
        <w:tc>
          <w:tcPr>
            <w:tcW w:w="644" w:type="pct"/>
            <w:shd w:val="clear" w:color="auto" w:fill="FFFFFF" w:themeFill="background1"/>
          </w:tcPr>
          <w:p w14:paraId="376E764E"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3,0</w:t>
            </w:r>
          </w:p>
        </w:tc>
        <w:tc>
          <w:tcPr>
            <w:tcW w:w="644" w:type="pct"/>
            <w:shd w:val="clear" w:color="auto" w:fill="FFFFFF" w:themeFill="background1"/>
            <w:noWrap/>
          </w:tcPr>
          <w:p w14:paraId="23BD651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2,3</w:t>
            </w:r>
          </w:p>
        </w:tc>
        <w:tc>
          <w:tcPr>
            <w:tcW w:w="581" w:type="pct"/>
            <w:shd w:val="clear" w:color="auto" w:fill="FFFFFF" w:themeFill="background1"/>
            <w:noWrap/>
          </w:tcPr>
          <w:p w14:paraId="33DC7D5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1,4</w:t>
            </w:r>
          </w:p>
        </w:tc>
        <w:tc>
          <w:tcPr>
            <w:tcW w:w="581" w:type="pct"/>
            <w:shd w:val="clear" w:color="auto" w:fill="FFFFFF" w:themeFill="background1"/>
            <w:noWrap/>
          </w:tcPr>
          <w:p w14:paraId="2CC09BB1"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1,2</w:t>
            </w:r>
          </w:p>
        </w:tc>
        <w:tc>
          <w:tcPr>
            <w:tcW w:w="583" w:type="pct"/>
            <w:shd w:val="clear" w:color="auto" w:fill="FFFFFF" w:themeFill="background1"/>
            <w:noWrap/>
          </w:tcPr>
          <w:p w14:paraId="7421942A"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1,2</w:t>
            </w:r>
          </w:p>
        </w:tc>
      </w:tr>
      <w:tr w:rsidR="001E3E7D" w:rsidRPr="00E37A4E" w14:paraId="560ABA26" w14:textId="77777777" w:rsidTr="008265F0">
        <w:trPr>
          <w:cnfStyle w:val="000000100000" w:firstRow="0" w:lastRow="0" w:firstColumn="0" w:lastColumn="0" w:oddVBand="0" w:evenVBand="0" w:oddHBand="1" w:evenHBand="0" w:firstRowFirstColumn="0" w:firstRowLastColumn="0" w:lastRowFirstColumn="0" w:lastRowLastColumn="0"/>
          <w:trHeight w:val="49"/>
        </w:trPr>
        <w:tc>
          <w:tcPr>
            <w:tcW w:w="1967" w:type="pct"/>
            <w:shd w:val="clear" w:color="auto" w:fill="FFFFFF" w:themeFill="background1"/>
          </w:tcPr>
          <w:p w14:paraId="2F6BBBA7" w14:textId="77777777" w:rsidR="001E3E7D" w:rsidRPr="00E37A4E" w:rsidRDefault="001E3E7D" w:rsidP="008265F0">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Капитални расходи</w:t>
            </w:r>
          </w:p>
        </w:tc>
        <w:tc>
          <w:tcPr>
            <w:tcW w:w="644" w:type="pct"/>
            <w:shd w:val="clear" w:color="auto" w:fill="FFFFFF" w:themeFill="background1"/>
          </w:tcPr>
          <w:p w14:paraId="530ABE0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5,4</w:t>
            </w:r>
          </w:p>
        </w:tc>
        <w:tc>
          <w:tcPr>
            <w:tcW w:w="644" w:type="pct"/>
            <w:shd w:val="clear" w:color="auto" w:fill="FFFFFF" w:themeFill="background1"/>
            <w:noWrap/>
          </w:tcPr>
          <w:p w14:paraId="5E29BE08"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7,2</w:t>
            </w:r>
          </w:p>
        </w:tc>
        <w:tc>
          <w:tcPr>
            <w:tcW w:w="581" w:type="pct"/>
            <w:shd w:val="clear" w:color="auto" w:fill="FFFFFF" w:themeFill="background1"/>
            <w:noWrap/>
          </w:tcPr>
          <w:p w14:paraId="026C136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7,1</w:t>
            </w:r>
          </w:p>
        </w:tc>
        <w:tc>
          <w:tcPr>
            <w:tcW w:w="581" w:type="pct"/>
            <w:shd w:val="clear" w:color="auto" w:fill="FFFFFF" w:themeFill="background1"/>
            <w:noWrap/>
          </w:tcPr>
          <w:p w14:paraId="0731D9E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6,2</w:t>
            </w:r>
          </w:p>
        </w:tc>
        <w:tc>
          <w:tcPr>
            <w:tcW w:w="583" w:type="pct"/>
            <w:shd w:val="clear" w:color="auto" w:fill="FFFFFF" w:themeFill="background1"/>
            <w:noWrap/>
          </w:tcPr>
          <w:p w14:paraId="1E8100D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6,3</w:t>
            </w:r>
          </w:p>
        </w:tc>
      </w:tr>
      <w:tr w:rsidR="001E3E7D" w:rsidRPr="00E37A4E" w14:paraId="34DE99DB" w14:textId="77777777" w:rsidTr="008265F0">
        <w:trPr>
          <w:trHeight w:val="49"/>
        </w:trPr>
        <w:tc>
          <w:tcPr>
            <w:tcW w:w="1967" w:type="pct"/>
            <w:tcBorders>
              <w:bottom w:val="nil"/>
            </w:tcBorders>
            <w:shd w:val="clear" w:color="auto" w:fill="FFFFFF" w:themeFill="background1"/>
            <w:noWrap/>
          </w:tcPr>
          <w:p w14:paraId="74942446" w14:textId="77777777" w:rsidR="001E3E7D" w:rsidRPr="00E37A4E" w:rsidRDefault="001E3E7D" w:rsidP="008265F0">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Нето буџетске позајмице</w:t>
            </w:r>
          </w:p>
        </w:tc>
        <w:tc>
          <w:tcPr>
            <w:tcW w:w="644" w:type="pct"/>
            <w:tcBorders>
              <w:bottom w:val="nil"/>
            </w:tcBorders>
            <w:shd w:val="clear" w:color="auto" w:fill="FFFFFF" w:themeFill="background1"/>
          </w:tcPr>
          <w:p w14:paraId="72407921"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0,8</w:t>
            </w:r>
          </w:p>
        </w:tc>
        <w:tc>
          <w:tcPr>
            <w:tcW w:w="644" w:type="pct"/>
            <w:tcBorders>
              <w:bottom w:val="nil"/>
            </w:tcBorders>
            <w:shd w:val="clear" w:color="auto" w:fill="FFFFFF" w:themeFill="background1"/>
            <w:noWrap/>
          </w:tcPr>
          <w:p w14:paraId="2E73CFD0"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0,4</w:t>
            </w:r>
          </w:p>
        </w:tc>
        <w:tc>
          <w:tcPr>
            <w:tcW w:w="581" w:type="pct"/>
            <w:tcBorders>
              <w:bottom w:val="nil"/>
            </w:tcBorders>
            <w:shd w:val="clear" w:color="auto" w:fill="FFFFFF" w:themeFill="background1"/>
            <w:noWrap/>
          </w:tcPr>
          <w:p w14:paraId="2BF83CE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0,1</w:t>
            </w:r>
          </w:p>
        </w:tc>
        <w:tc>
          <w:tcPr>
            <w:tcW w:w="581" w:type="pct"/>
            <w:tcBorders>
              <w:bottom w:val="nil"/>
            </w:tcBorders>
            <w:shd w:val="clear" w:color="auto" w:fill="FFFFFF" w:themeFill="background1"/>
            <w:noWrap/>
          </w:tcPr>
          <w:p w14:paraId="6D451154"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0,1</w:t>
            </w:r>
          </w:p>
        </w:tc>
        <w:tc>
          <w:tcPr>
            <w:tcW w:w="583" w:type="pct"/>
            <w:tcBorders>
              <w:bottom w:val="nil"/>
            </w:tcBorders>
            <w:shd w:val="clear" w:color="auto" w:fill="FFFFFF" w:themeFill="background1"/>
            <w:noWrap/>
          </w:tcPr>
          <w:p w14:paraId="0DB6B230"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0,1</w:t>
            </w:r>
          </w:p>
        </w:tc>
      </w:tr>
      <w:tr w:rsidR="001E3E7D" w:rsidRPr="00E37A4E" w14:paraId="1C3CBB60" w14:textId="77777777" w:rsidTr="008265F0">
        <w:trPr>
          <w:cnfStyle w:val="000000100000" w:firstRow="0" w:lastRow="0" w:firstColumn="0" w:lastColumn="0" w:oddVBand="0" w:evenVBand="0" w:oddHBand="1" w:evenHBand="0" w:firstRowFirstColumn="0" w:firstRowLastColumn="0" w:lastRowFirstColumn="0" w:lastRowLastColumn="0"/>
          <w:trHeight w:val="95"/>
        </w:trPr>
        <w:tc>
          <w:tcPr>
            <w:tcW w:w="1967" w:type="pct"/>
            <w:tcBorders>
              <w:top w:val="nil"/>
              <w:bottom w:val="single" w:sz="4" w:space="0" w:color="002060"/>
            </w:tcBorders>
            <w:shd w:val="clear" w:color="auto" w:fill="FFFFFF" w:themeFill="background1"/>
            <w:noWrap/>
          </w:tcPr>
          <w:p w14:paraId="5AC125CC" w14:textId="77777777" w:rsidR="001E3E7D" w:rsidRPr="00E37A4E" w:rsidRDefault="001E3E7D" w:rsidP="008265F0">
            <w:pPr>
              <w:keepNext/>
              <w:widowControl w:val="0"/>
              <w:shd w:val="clear" w:color="auto" w:fill="FFFFFF" w:themeFill="background1"/>
              <w:spacing w:line="276" w:lineRule="auto"/>
              <w:rPr>
                <w:rFonts w:asciiTheme="minorHAnsi" w:eastAsia="Times New Roman" w:hAnsiTheme="minorHAnsi" w:cstheme="minorHAnsi"/>
                <w:bCs/>
                <w:color w:val="002060"/>
                <w:sz w:val="18"/>
                <w:szCs w:val="18"/>
                <w:lang w:val="sr-Cyrl-RS"/>
              </w:rPr>
            </w:pPr>
            <w:r w:rsidRPr="00E37A4E">
              <w:rPr>
                <w:rFonts w:asciiTheme="minorHAnsi" w:eastAsia="Times New Roman" w:hAnsiTheme="minorHAnsi" w:cstheme="minorHAnsi"/>
                <w:bCs/>
                <w:color w:val="002060"/>
                <w:sz w:val="18"/>
                <w:szCs w:val="18"/>
                <w:lang w:val="sr-Cyrl-RS"/>
              </w:rPr>
              <w:t xml:space="preserve"> Отплата по основу гаранција</w:t>
            </w:r>
          </w:p>
        </w:tc>
        <w:tc>
          <w:tcPr>
            <w:tcW w:w="644" w:type="pct"/>
            <w:tcBorders>
              <w:top w:val="nil"/>
              <w:bottom w:val="single" w:sz="4" w:space="0" w:color="002060"/>
            </w:tcBorders>
            <w:shd w:val="clear" w:color="auto" w:fill="FFFFFF" w:themeFill="background1"/>
          </w:tcPr>
          <w:p w14:paraId="3ED3E8A3"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0,1</w:t>
            </w:r>
          </w:p>
        </w:tc>
        <w:tc>
          <w:tcPr>
            <w:tcW w:w="644" w:type="pct"/>
            <w:tcBorders>
              <w:top w:val="nil"/>
              <w:bottom w:val="single" w:sz="4" w:space="0" w:color="002060"/>
            </w:tcBorders>
            <w:shd w:val="clear" w:color="auto" w:fill="FFFFFF" w:themeFill="background1"/>
            <w:noWrap/>
          </w:tcPr>
          <w:p w14:paraId="629093C6"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0,2</w:t>
            </w:r>
          </w:p>
        </w:tc>
        <w:tc>
          <w:tcPr>
            <w:tcW w:w="581" w:type="pct"/>
            <w:tcBorders>
              <w:top w:val="nil"/>
              <w:bottom w:val="single" w:sz="4" w:space="0" w:color="002060"/>
            </w:tcBorders>
            <w:shd w:val="clear" w:color="auto" w:fill="FFFFFF" w:themeFill="background1"/>
            <w:noWrap/>
          </w:tcPr>
          <w:p w14:paraId="5F81F59C"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0,3</w:t>
            </w:r>
          </w:p>
        </w:tc>
        <w:tc>
          <w:tcPr>
            <w:tcW w:w="581" w:type="pct"/>
            <w:tcBorders>
              <w:top w:val="nil"/>
              <w:bottom w:val="single" w:sz="4" w:space="0" w:color="002060"/>
            </w:tcBorders>
            <w:shd w:val="clear" w:color="auto" w:fill="FFFFFF" w:themeFill="background1"/>
            <w:noWrap/>
          </w:tcPr>
          <w:p w14:paraId="17B843FB"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0,2</w:t>
            </w:r>
          </w:p>
        </w:tc>
        <w:tc>
          <w:tcPr>
            <w:tcW w:w="583" w:type="pct"/>
            <w:tcBorders>
              <w:top w:val="nil"/>
              <w:bottom w:val="single" w:sz="4" w:space="0" w:color="002060"/>
            </w:tcBorders>
            <w:shd w:val="clear" w:color="auto" w:fill="FFFFFF" w:themeFill="background1"/>
            <w:noWrap/>
          </w:tcPr>
          <w:p w14:paraId="1314B3A7" w14:textId="77777777" w:rsidR="001E3E7D" w:rsidRPr="00E37A4E" w:rsidRDefault="001E3E7D" w:rsidP="008265F0">
            <w:pPr>
              <w:shd w:val="clear" w:color="auto" w:fill="FFFFFF" w:themeFill="background1"/>
              <w:spacing w:line="276" w:lineRule="auto"/>
              <w:jc w:val="right"/>
              <w:rPr>
                <w:rFonts w:asciiTheme="minorHAnsi" w:hAnsiTheme="minorHAnsi" w:cstheme="minorHAnsi"/>
                <w:color w:val="002060"/>
                <w:sz w:val="18"/>
                <w:szCs w:val="18"/>
                <w:lang w:val="sr-Cyrl-RS"/>
              </w:rPr>
            </w:pPr>
            <w:r w:rsidRPr="00E37A4E">
              <w:rPr>
                <w:rFonts w:asciiTheme="minorHAnsi" w:hAnsiTheme="minorHAnsi" w:cstheme="minorHAnsi"/>
                <w:color w:val="002060"/>
                <w:sz w:val="18"/>
                <w:szCs w:val="18"/>
                <w:lang w:val="sr-Cyrl-RS"/>
              </w:rPr>
              <w:t>0,2</w:t>
            </w:r>
          </w:p>
        </w:tc>
      </w:tr>
    </w:tbl>
    <w:p w14:paraId="60ED2412" w14:textId="77777777" w:rsidR="001E3E7D" w:rsidRPr="0027373F" w:rsidRDefault="001E3E7D" w:rsidP="00D42008">
      <w:pPr>
        <w:spacing w:before="40" w:after="120" w:line="276" w:lineRule="auto"/>
        <w:jc w:val="left"/>
        <w:rPr>
          <w:rFonts w:cstheme="minorHAnsi"/>
          <w:sz w:val="16"/>
          <w:szCs w:val="20"/>
          <w:lang w:val="sr-Cyrl-RS"/>
        </w:rPr>
        <w:sectPr w:rsidR="001E3E7D" w:rsidRPr="0027373F" w:rsidSect="00AE40EB">
          <w:pgSz w:w="12240" w:h="15840" w:code="1"/>
          <w:pgMar w:top="1440" w:right="1440" w:bottom="1440" w:left="1440" w:header="720" w:footer="720" w:gutter="0"/>
          <w:cols w:space="720"/>
          <w:docGrid w:linePitch="360"/>
        </w:sectPr>
      </w:pPr>
      <w:r w:rsidRPr="0027373F">
        <w:rPr>
          <w:rFonts w:eastAsia="Calibri" w:cstheme="minorHAnsi"/>
          <w:bCs/>
          <w:sz w:val="16"/>
          <w:szCs w:val="20"/>
          <w:lang w:val="sr-Cyrl-RS" w:eastAsia="ja-JP"/>
        </w:rPr>
        <w:t xml:space="preserve">Извор: </w:t>
      </w:r>
      <w:r w:rsidRPr="0027373F">
        <w:rPr>
          <w:rFonts w:cstheme="minorHAnsi"/>
          <w:sz w:val="16"/>
          <w:szCs w:val="20"/>
          <w:lang w:val="sr-Cyrl-RS"/>
        </w:rPr>
        <w:t>Министарство финансија</w:t>
      </w:r>
    </w:p>
    <w:p w14:paraId="048DAA59" w14:textId="77777777" w:rsidR="001E3E7D" w:rsidRPr="0027373F" w:rsidRDefault="001E3E7D" w:rsidP="00FA5A89">
      <w:pPr>
        <w:spacing w:after="140" w:line="257" w:lineRule="auto"/>
        <w:rPr>
          <w:rFonts w:eastAsia="Calibri" w:cstheme="minorHAnsi"/>
          <w:szCs w:val="20"/>
          <w:lang w:val="sr-Cyrl-RS" w:eastAsia="ja-JP"/>
        </w:rPr>
      </w:pPr>
      <w:r w:rsidRPr="0027373F">
        <w:rPr>
          <w:rFonts w:eastAsia="Calibri" w:cstheme="minorHAnsi"/>
          <w:szCs w:val="20"/>
          <w:lang w:val="sr-Cyrl-RS" w:eastAsia="ja-JP"/>
        </w:rPr>
        <w:t xml:space="preserve">У 2020. и 2021. години дошло је до промене тренда у јавним расходима с обзиром да је требало реаговати на кризу изазвану пандемијом. Мере су биле значајне на расходној страни што је довело до </w:t>
      </w:r>
      <w:r>
        <w:rPr>
          <w:rFonts w:eastAsia="Calibri" w:cstheme="minorHAnsi"/>
          <w:szCs w:val="20"/>
          <w:lang w:val="sr-Cyrl-RS" w:eastAsia="ja-JP"/>
        </w:rPr>
        <w:t>једнократног</w:t>
      </w:r>
      <w:r w:rsidRPr="0027373F">
        <w:rPr>
          <w:rFonts w:eastAsia="Calibri" w:cstheme="minorHAnsi"/>
          <w:szCs w:val="20"/>
          <w:lang w:val="sr-Cyrl-RS" w:eastAsia="ja-JP"/>
        </w:rPr>
        <w:t xml:space="preserve"> </w:t>
      </w:r>
      <w:r>
        <w:rPr>
          <w:rFonts w:eastAsia="Calibri" w:cstheme="minorHAnsi"/>
          <w:szCs w:val="20"/>
          <w:lang w:val="sr-Cyrl-RS" w:eastAsia="ja-JP"/>
        </w:rPr>
        <w:t xml:space="preserve">повећања </w:t>
      </w:r>
      <w:r w:rsidRPr="0027373F">
        <w:rPr>
          <w:rFonts w:eastAsia="Calibri" w:cstheme="minorHAnsi"/>
          <w:szCs w:val="20"/>
          <w:lang w:val="sr-Cyrl-RS" w:eastAsia="ja-JP"/>
        </w:rPr>
        <w:t>учешћа расходне стране буџета у БДП.</w:t>
      </w:r>
    </w:p>
    <w:p w14:paraId="49CCC9B6" w14:textId="77777777" w:rsidR="001E3E7D" w:rsidRPr="0027373F" w:rsidRDefault="001E3E7D" w:rsidP="00FA5A89">
      <w:pPr>
        <w:spacing w:after="140" w:line="257" w:lineRule="auto"/>
        <w:rPr>
          <w:rFonts w:eastAsia="Calibri" w:cstheme="minorHAnsi"/>
          <w:szCs w:val="20"/>
          <w:lang w:val="sr-Cyrl-RS" w:eastAsia="ja-JP"/>
        </w:rPr>
      </w:pPr>
      <w:r w:rsidRPr="0027373F">
        <w:rPr>
          <w:rFonts w:eastAsia="Calibri" w:cstheme="minorHAnsi"/>
          <w:szCs w:val="20"/>
          <w:lang w:val="sr-Cyrl-RS" w:eastAsia="ja-JP"/>
        </w:rPr>
        <w:t>Такав случај је и са расходима за запослене који су достигли ниво од 10,6% БДП у 2020. години највише захваљујући ванредном повећању зарада запосленима у систему здравства, уз повећане исплате осталих облика дохотка као што су прековремени рад и награде</w:t>
      </w:r>
      <w:r>
        <w:rPr>
          <w:rFonts w:eastAsia="Calibri" w:cstheme="minorHAnsi"/>
          <w:szCs w:val="20"/>
          <w:lang w:val="sr-Cyrl-RS" w:eastAsia="ja-JP"/>
        </w:rPr>
        <w:t xml:space="preserve"> и повећање броја запослених у овом сектору</w:t>
      </w:r>
      <w:r w:rsidRPr="0027373F">
        <w:rPr>
          <w:rFonts w:eastAsia="Calibri" w:cstheme="minorHAnsi"/>
          <w:szCs w:val="20"/>
          <w:lang w:val="sr-Cyrl-RS" w:eastAsia="ja-JP"/>
        </w:rPr>
        <w:t xml:space="preserve">. С обзиром на ограничен фискални простор у наредном периоду </w:t>
      </w:r>
      <w:r>
        <w:rPr>
          <w:rFonts w:eastAsia="Calibri" w:cstheme="minorHAnsi"/>
          <w:szCs w:val="20"/>
          <w:lang w:val="sr-Cyrl-RS" w:eastAsia="ja-JP"/>
        </w:rPr>
        <w:t>зараде ће се повећавати умерено и</w:t>
      </w:r>
      <w:r w:rsidRPr="0027373F">
        <w:rPr>
          <w:rFonts w:eastAsia="Calibri" w:cstheme="minorHAnsi"/>
          <w:szCs w:val="20"/>
          <w:lang w:val="sr-Cyrl-RS" w:eastAsia="ja-JP"/>
        </w:rPr>
        <w:t xml:space="preserve"> уз контролу </w:t>
      </w:r>
      <w:r>
        <w:rPr>
          <w:rFonts w:eastAsia="Calibri" w:cstheme="minorHAnsi"/>
          <w:szCs w:val="20"/>
          <w:lang w:val="sr-Cyrl-RS" w:eastAsia="ja-JP"/>
        </w:rPr>
        <w:t>водећи рачуна о њиховом учешћу</w:t>
      </w:r>
      <w:r w:rsidRPr="0027373F">
        <w:rPr>
          <w:rFonts w:eastAsia="Calibri" w:cstheme="minorHAnsi"/>
          <w:szCs w:val="20"/>
          <w:lang w:val="sr-Cyrl-RS" w:eastAsia="ja-JP"/>
        </w:rPr>
        <w:t xml:space="preserve"> у БДП.</w:t>
      </w:r>
    </w:p>
    <w:p w14:paraId="5063197E" w14:textId="77777777" w:rsidR="001E3E7D" w:rsidRPr="0027373F" w:rsidRDefault="001E3E7D" w:rsidP="00FA5A89">
      <w:pPr>
        <w:spacing w:after="140" w:line="257" w:lineRule="auto"/>
        <w:rPr>
          <w:rFonts w:eastAsia="Calibri" w:cstheme="minorHAnsi"/>
          <w:szCs w:val="20"/>
          <w:lang w:val="sr-Cyrl-RS" w:eastAsia="ja-JP"/>
        </w:rPr>
      </w:pPr>
      <w:r w:rsidRPr="0027373F">
        <w:rPr>
          <w:rFonts w:eastAsia="Calibri" w:cstheme="minorHAnsi"/>
          <w:szCs w:val="20"/>
          <w:lang w:val="sr-Cyrl-RS" w:eastAsia="ja-JP"/>
        </w:rPr>
        <w:t xml:space="preserve">Смањење зарада, контрола запошљавања и рационализација броја запослених у јавном сектору су биле мере које су највише допринеле смањењу расхода и успеху фискалне консолидације. Законом о буџетском систему предвиђено је снижавање нивоа зарада без доприноса на терет послодавца до 7% БДП, међутим чини се да је тако таргетиран ниво зарада постављен доста ниско. Тренутно је учешће овако дефинисаних зарада у БДП око </w:t>
      </w:r>
      <w:r>
        <w:rPr>
          <w:rFonts w:eastAsia="Calibri" w:cstheme="minorHAnsi"/>
          <w:szCs w:val="20"/>
          <w:lang w:val="sr-Cyrl-RS" w:eastAsia="ja-JP"/>
        </w:rPr>
        <w:t>8,8</w:t>
      </w:r>
      <w:r w:rsidRPr="0027373F">
        <w:rPr>
          <w:rFonts w:eastAsia="Calibri" w:cstheme="minorHAnsi"/>
          <w:szCs w:val="20"/>
          <w:lang w:val="sr-Cyrl-RS" w:eastAsia="ja-JP"/>
        </w:rPr>
        <w:t>%. Просечан ниво зарада на нивоу опште државе у ЕУ је</w:t>
      </w:r>
      <w:r>
        <w:rPr>
          <w:rFonts w:eastAsia="Calibri" w:cstheme="minorHAnsi"/>
          <w:szCs w:val="20"/>
          <w:lang w:eastAsia="ja-JP"/>
        </w:rPr>
        <w:t xml:space="preserve">, </w:t>
      </w:r>
      <w:r>
        <w:rPr>
          <w:rFonts w:eastAsia="Calibri" w:cstheme="minorHAnsi"/>
          <w:szCs w:val="20"/>
          <w:lang w:val="sr-Cyrl-RS" w:eastAsia="ja-JP"/>
        </w:rPr>
        <w:t>пре пандемије, износио</w:t>
      </w:r>
      <w:r w:rsidRPr="0027373F">
        <w:rPr>
          <w:rFonts w:eastAsia="Calibri" w:cstheme="minorHAnsi"/>
          <w:szCs w:val="20"/>
          <w:lang w:val="sr-Cyrl-RS" w:eastAsia="ja-JP"/>
        </w:rPr>
        <w:t xml:space="preserve"> око 10% БДП, док је у нашој држави предвиђено снижавање укупних зара</w:t>
      </w:r>
      <w:r w:rsidR="00E37A4E">
        <w:rPr>
          <w:rFonts w:eastAsia="Calibri" w:cstheme="minorHAnsi"/>
          <w:szCs w:val="20"/>
          <w:lang w:val="sr-Cyrl-RS" w:eastAsia="ja-JP"/>
        </w:rPr>
        <w:t>да на 9,7% БДП до 2024. године.</w:t>
      </w:r>
    </w:p>
    <w:p w14:paraId="04D5D077" w14:textId="77777777" w:rsidR="001E3E7D" w:rsidRPr="00EA3D8C" w:rsidRDefault="001E3E7D" w:rsidP="00FA5A89">
      <w:pPr>
        <w:spacing w:after="140" w:line="257" w:lineRule="auto"/>
        <w:rPr>
          <w:rFonts w:eastAsia="Calibri" w:cstheme="minorHAnsi"/>
          <w:color w:val="44546A"/>
          <w:szCs w:val="20"/>
          <w:lang w:val="sr-Cyrl-RS" w:eastAsia="ja-JP"/>
        </w:rPr>
      </w:pPr>
      <w:r w:rsidRPr="0027373F">
        <w:rPr>
          <w:rFonts w:eastAsia="Calibri" w:cstheme="minorHAnsi"/>
          <w:szCs w:val="20"/>
          <w:lang w:val="sr-Cyrl-RS" w:eastAsia="ja-JP"/>
        </w:rPr>
        <w:t xml:space="preserve">У претходном периоду, започета је свеобухватна </w:t>
      </w:r>
      <w:r w:rsidRPr="00EA3D8C">
        <w:rPr>
          <w:rFonts w:eastAsia="Calibri" w:cstheme="minorHAnsi"/>
          <w:color w:val="44546A"/>
          <w:szCs w:val="20"/>
          <w:lang w:val="sr-Cyrl-RS" w:eastAsia="ja-JP"/>
        </w:rPr>
        <w:t xml:space="preserve">реформа система зарада у јавном сектору, која за циљ има обезбеђење правичности и смањење разлика између плата запослених у јавном сектору. Примена новог реформисаног система </w:t>
      </w:r>
      <w:r>
        <w:rPr>
          <w:rFonts w:eastAsia="Calibri" w:cstheme="minorHAnsi"/>
          <w:color w:val="44546A"/>
          <w:szCs w:val="20"/>
          <w:lang w:val="sr-Cyrl-RS" w:eastAsia="ja-JP"/>
        </w:rPr>
        <w:t>би требало да започне у постпандемијском периоду</w:t>
      </w:r>
      <w:r w:rsidRPr="00EA3D8C">
        <w:rPr>
          <w:rFonts w:eastAsia="Calibri" w:cstheme="minorHAnsi"/>
          <w:color w:val="44546A"/>
          <w:szCs w:val="20"/>
          <w:lang w:val="sr-Cyrl-RS" w:eastAsia="ja-JP"/>
        </w:rPr>
        <w:t>.</w:t>
      </w:r>
    </w:p>
    <w:p w14:paraId="19AB28F8"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Током процеса консолидације на снази је била забрана запошљавања у јавном сектору. Са једне стране то је омогућавало контролу нивоа зарада, али се са друге стране повећао број уговора о раду на одређено време, као и недостатак кадрова у појединим деловима јавне управе. Сада је на снази флексибилнији начин контроле запошљавања, који је базиран на средњорочном планирању броја запослених у свим областима јавног сектора у складу са буџетским ограничењима.</w:t>
      </w:r>
    </w:p>
    <w:p w14:paraId="564F6D5C"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Издаци за робе и услуге ће се постепено смањивати у средњорочном периоду у смис</w:t>
      </w:r>
      <w:r>
        <w:rPr>
          <w:rFonts w:eastAsia="Calibri" w:cstheme="minorHAnsi"/>
          <w:szCs w:val="20"/>
          <w:lang w:val="sr-Cyrl-RS" w:eastAsia="ja-JP"/>
        </w:rPr>
        <w:t>лу учешћа у БДП</w:t>
      </w:r>
      <w:r w:rsidRPr="00EA3D8C">
        <w:rPr>
          <w:rFonts w:eastAsia="Calibri" w:cstheme="minorHAnsi"/>
          <w:szCs w:val="20"/>
          <w:lang w:val="sr-Cyrl-RS" w:eastAsia="ja-JP"/>
        </w:rPr>
        <w:t xml:space="preserve">, с обзиром да је предвиђено да номинално расту спорије од раста номиналног БДП. </w:t>
      </w:r>
      <w:r>
        <w:rPr>
          <w:rFonts w:eastAsia="Calibri" w:cstheme="minorHAnsi"/>
          <w:szCs w:val="20"/>
          <w:lang w:val="sr-Cyrl-RS" w:eastAsia="ja-JP"/>
        </w:rPr>
        <w:t>Висок ниво</w:t>
      </w:r>
      <w:r w:rsidRPr="00EA3D8C">
        <w:rPr>
          <w:rFonts w:eastAsia="Calibri" w:cstheme="minorHAnsi"/>
          <w:szCs w:val="20"/>
          <w:lang w:val="sr-Cyrl-RS" w:eastAsia="ja-JP"/>
        </w:rPr>
        <w:t xml:space="preserve"> у 2020. </w:t>
      </w:r>
      <w:r>
        <w:rPr>
          <w:rFonts w:eastAsia="Calibri" w:cstheme="minorHAnsi"/>
          <w:szCs w:val="20"/>
          <w:lang w:val="sr-Cyrl-RS" w:eastAsia="ja-JP"/>
        </w:rPr>
        <w:t xml:space="preserve">и 2021. </w:t>
      </w:r>
      <w:r w:rsidRPr="00EA3D8C">
        <w:rPr>
          <w:rFonts w:eastAsia="Calibri" w:cstheme="minorHAnsi"/>
          <w:szCs w:val="20"/>
          <w:lang w:val="sr-Cyrl-RS" w:eastAsia="ja-JP"/>
        </w:rPr>
        <w:t>години у највећој мери је резултат већих расхода у здравству.</w:t>
      </w:r>
    </w:p>
    <w:p w14:paraId="40235643" w14:textId="77777777" w:rsidR="001E3E7D" w:rsidRPr="00B71988" w:rsidRDefault="001E3E7D" w:rsidP="00FA5A89">
      <w:pPr>
        <w:spacing w:after="140" w:line="257" w:lineRule="auto"/>
        <w:rPr>
          <w:rFonts w:eastAsia="Calibri" w:cstheme="minorHAnsi"/>
          <w:szCs w:val="20"/>
          <w:lang w:val="sr-Cyrl-RS" w:eastAsia="ja-JP"/>
        </w:rPr>
      </w:pPr>
      <w:r w:rsidRPr="00B71988">
        <w:rPr>
          <w:rFonts w:eastAsia="Calibri" w:cstheme="minorHAnsi"/>
          <w:szCs w:val="20"/>
          <w:lang w:val="sr-Cyrl-RS" w:eastAsia="ja-JP"/>
        </w:rPr>
        <w:t xml:space="preserve">Смањење расхода за камате један је од најбољих показатеља успешног вођене фискалне и монетарне политике, као и њихове пуне координације у претходном периоду. Добри фискални резултати у претходном периоду смањили су потребе за задуживањем, што је уз ублажавање монетарне политике довело до пада </w:t>
      </w:r>
      <w:r w:rsidRPr="00B71988">
        <w:rPr>
          <w:rFonts w:eastAsia="Calibri" w:cstheme="minorHAnsi"/>
          <w:szCs w:val="20"/>
          <w:lang w:val="sr-Cyrl-RS" w:eastAsia="ja-JP"/>
        </w:rPr>
        <w:lastRenderedPageBreak/>
        <w:t>каматних стопа. У 2024. години ниво расхода за камате ће се смањити на 1,6% БДП.</w:t>
      </w:r>
    </w:p>
    <w:p w14:paraId="26B11B23"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Социјална помоћ и трансфери становништву представљају највећу расходну категорију буџета опште државе. Највећа појединачна ставка ове групе расхода, а уједно и највећа ставк</w:t>
      </w:r>
      <w:r>
        <w:rPr>
          <w:rFonts w:eastAsia="Calibri" w:cstheme="minorHAnsi"/>
          <w:szCs w:val="20"/>
          <w:lang w:val="sr-Cyrl-RS" w:eastAsia="ja-JP"/>
        </w:rPr>
        <w:t>а свих расхода, су пензије, која је у 2020. години достигла ниво од 10,7</w:t>
      </w:r>
      <w:r w:rsidRPr="00EA3D8C">
        <w:rPr>
          <w:rFonts w:eastAsia="Calibri" w:cstheme="minorHAnsi"/>
          <w:szCs w:val="20"/>
          <w:lang w:val="sr-Cyrl-RS" w:eastAsia="ja-JP"/>
        </w:rPr>
        <w:t xml:space="preserve">% БДП. Од 2020. године пензије се усклађују са такозваном „швајцарском формулом”, како би се истовремено обезбедио раст животног стандарда пензионера и одрживост пензионог система и система јавних финансија. </w:t>
      </w:r>
      <w:r w:rsidRPr="004C3E16">
        <w:rPr>
          <w:rFonts w:eastAsia="Calibri" w:cstheme="minorHAnsi"/>
          <w:szCs w:val="20"/>
          <w:lang w:val="sr-Cyrl-RS" w:eastAsia="ja-JP"/>
        </w:rPr>
        <w:t>„</w:t>
      </w:r>
      <w:r w:rsidRPr="00EA3D8C">
        <w:rPr>
          <w:rFonts w:eastAsia="Calibri" w:cstheme="minorHAnsi"/>
          <w:szCs w:val="20"/>
          <w:lang w:val="sr-Cyrl-RS" w:eastAsia="ja-JP"/>
        </w:rPr>
        <w:t>Швајцарска формула</w:t>
      </w:r>
      <w:r w:rsidRPr="004C3E16">
        <w:rPr>
          <w:rFonts w:eastAsia="Calibri" w:cstheme="minorHAnsi"/>
          <w:szCs w:val="20"/>
          <w:lang w:val="sr-Cyrl-RS" w:eastAsia="ja-JP"/>
        </w:rPr>
        <w:t>”</w:t>
      </w:r>
      <w:r w:rsidRPr="00EA3D8C">
        <w:rPr>
          <w:rFonts w:eastAsia="Calibri" w:cstheme="minorHAnsi"/>
          <w:szCs w:val="20"/>
          <w:lang w:val="sr-Cyrl-RS" w:eastAsia="ja-JP"/>
        </w:rPr>
        <w:t xml:space="preserve"> подразумева индексацију, односно увећање пензија једнако збиру половине стопе раста просечне зараде и половине стопе раста потрошачких цена. </w:t>
      </w:r>
      <w:r>
        <w:rPr>
          <w:rFonts w:eastAsia="Calibri" w:cstheme="minorHAnsi"/>
          <w:szCs w:val="20"/>
          <w:lang w:val="sr-Cyrl-RS" w:eastAsia="ja-JP"/>
        </w:rPr>
        <w:t>Процењује се да ће законска индексација пензија у наредном периоду износити</w:t>
      </w:r>
      <w:r w:rsidRPr="00EA3D8C">
        <w:rPr>
          <w:rFonts w:eastAsia="Calibri" w:cstheme="minorHAnsi"/>
          <w:szCs w:val="20"/>
          <w:lang w:val="sr-Cyrl-RS" w:eastAsia="ja-JP"/>
        </w:rPr>
        <w:t xml:space="preserve"> између 5 и 6%, а у 2</w:t>
      </w:r>
      <w:r>
        <w:rPr>
          <w:rFonts w:eastAsia="Calibri" w:cstheme="minorHAnsi"/>
          <w:szCs w:val="20"/>
          <w:lang w:val="sr-Cyrl-RS" w:eastAsia="ja-JP"/>
        </w:rPr>
        <w:t>021. години, конкретно, је износила</w:t>
      </w:r>
      <w:r w:rsidRPr="00EA3D8C">
        <w:rPr>
          <w:rFonts w:eastAsia="Calibri" w:cstheme="minorHAnsi"/>
          <w:szCs w:val="20"/>
          <w:lang w:val="sr-Cyrl-RS" w:eastAsia="ja-JP"/>
        </w:rPr>
        <w:t xml:space="preserve"> 5,9%. Остали облици социјалних давања и трансфера становништву у наредном периоду усклађиваће се применом прописане индексације, текућих и планираних измена политика у овој области и са пројектованим бројем корисника. Учешће расхода за социјална давања у БДП опада са 14,8%, колико износи </w:t>
      </w:r>
      <w:r>
        <w:rPr>
          <w:rFonts w:eastAsia="Calibri" w:cstheme="minorHAnsi"/>
          <w:szCs w:val="20"/>
          <w:lang w:val="sr-Cyrl-RS" w:eastAsia="ja-JP"/>
        </w:rPr>
        <w:t>у 2020. години, на 13,5</w:t>
      </w:r>
      <w:r w:rsidRPr="00EA3D8C">
        <w:rPr>
          <w:rFonts w:eastAsia="Calibri" w:cstheme="minorHAnsi"/>
          <w:szCs w:val="20"/>
          <w:lang w:val="sr-Cyrl-RS" w:eastAsia="ja-JP"/>
        </w:rPr>
        <w:t>% у 202</w:t>
      </w:r>
      <w:r>
        <w:rPr>
          <w:rFonts w:eastAsia="Calibri" w:cstheme="minorHAnsi"/>
          <w:szCs w:val="20"/>
          <w:lang w:val="sr-Cyrl-RS" w:eastAsia="ja-JP"/>
        </w:rPr>
        <w:t>4</w:t>
      </w:r>
      <w:r w:rsidRPr="00EA3D8C">
        <w:rPr>
          <w:rFonts w:eastAsia="Calibri" w:cstheme="minorHAnsi"/>
          <w:szCs w:val="20"/>
          <w:lang w:val="sr-Cyrl-RS" w:eastAsia="ja-JP"/>
        </w:rPr>
        <w:t>. години.</w:t>
      </w:r>
    </w:p>
    <w:p w14:paraId="736ADC89"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 xml:space="preserve">Смањење субвенција које служе као помоћ неефикасним сегментима јавног сектора омогућава повећање оног дела субвенција које представљају праве подстицаје привреди, пре свега пољопривреди и малим и средњим предузећима, и које доводе до убрзања привредне активности. Циљ је да се субвенционисана средства преусмере ка развојним програмима у привреди и пољопривреди. Раст субвенција у 2020. </w:t>
      </w:r>
      <w:r>
        <w:rPr>
          <w:rFonts w:eastAsia="Calibri" w:cstheme="minorHAnsi"/>
          <w:szCs w:val="20"/>
          <w:lang w:val="sr-Cyrl-RS" w:eastAsia="ja-JP"/>
        </w:rPr>
        <w:t xml:space="preserve">и 2021. </w:t>
      </w:r>
      <w:r w:rsidRPr="00EA3D8C">
        <w:rPr>
          <w:rFonts w:eastAsia="Calibri" w:cstheme="minorHAnsi"/>
          <w:szCs w:val="20"/>
          <w:lang w:val="sr-Cyrl-RS" w:eastAsia="ja-JP"/>
        </w:rPr>
        <w:t>години резултат је примене мера за превазилажење проблема изазваних пандемијском кризом.</w:t>
      </w:r>
    </w:p>
    <w:p w14:paraId="659B7744"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Категорије осталих текућих расхода чине различити издаци, као што су дотације удружењима, политичким странкама, верским и спортским организацијама, казне, накнада штете итд. Као и код субвенција једнократни раст је узрокован фискалном реакцијом на кризу, а у наредном периоду се очекује смањење ових расхода у БДП.</w:t>
      </w:r>
    </w:p>
    <w:p w14:paraId="183B6384"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 xml:space="preserve">Током </w:t>
      </w:r>
      <w:r>
        <w:rPr>
          <w:rFonts w:eastAsia="Calibri" w:cstheme="minorHAnsi"/>
          <w:szCs w:val="20"/>
          <w:lang w:val="sr-Cyrl-RS" w:eastAsia="ja-JP"/>
        </w:rPr>
        <w:t>претходне три године</w:t>
      </w:r>
      <w:r w:rsidRPr="00EA3D8C">
        <w:rPr>
          <w:rFonts w:eastAsia="Calibri" w:cstheme="minorHAnsi"/>
          <w:szCs w:val="20"/>
          <w:lang w:val="sr-Cyrl-RS" w:eastAsia="ja-JP"/>
        </w:rPr>
        <w:t xml:space="preserve"> значајно је побољшана ефикасност извршења јавних инвестиција. Капитални расходи су повећани на </w:t>
      </w:r>
      <w:r>
        <w:rPr>
          <w:rFonts w:eastAsia="Calibri" w:cstheme="minorHAnsi"/>
          <w:szCs w:val="20"/>
          <w:lang w:val="sr-Cyrl-RS" w:eastAsia="ja-JP"/>
        </w:rPr>
        <w:t>5,4% БДП у 2020</w:t>
      </w:r>
      <w:r w:rsidRPr="00EA3D8C">
        <w:rPr>
          <w:rFonts w:eastAsia="Calibri" w:cstheme="minorHAnsi"/>
          <w:szCs w:val="20"/>
          <w:lang w:val="sr-Cyrl-RS" w:eastAsia="ja-JP"/>
        </w:rPr>
        <w:t>. години захваљујући отпочињању новог циклуса инфра</w:t>
      </w:r>
      <w:r>
        <w:rPr>
          <w:rFonts w:eastAsia="Calibri" w:cstheme="minorHAnsi"/>
          <w:szCs w:val="20"/>
          <w:lang w:val="sr-Cyrl-RS" w:eastAsia="ja-JP"/>
        </w:rPr>
        <w:t>структурних пројеката, а у 2021</w:t>
      </w:r>
      <w:r w:rsidRPr="00EA3D8C">
        <w:rPr>
          <w:rFonts w:eastAsia="Calibri" w:cstheme="minorHAnsi"/>
          <w:szCs w:val="20"/>
          <w:lang w:val="sr-Cyrl-RS" w:eastAsia="ja-JP"/>
        </w:rPr>
        <w:t xml:space="preserve">. години се очекује достизање нивоа од </w:t>
      </w:r>
      <w:r>
        <w:rPr>
          <w:rFonts w:eastAsia="Calibri" w:cstheme="minorHAnsi"/>
          <w:szCs w:val="20"/>
          <w:lang w:val="sr-Cyrl-RS" w:eastAsia="ja-JP"/>
        </w:rPr>
        <w:t>чак 7,2</w:t>
      </w:r>
      <w:r w:rsidRPr="00EA3D8C">
        <w:rPr>
          <w:rFonts w:eastAsia="Calibri" w:cstheme="minorHAnsi"/>
          <w:szCs w:val="20"/>
          <w:lang w:val="sr-Cyrl-RS" w:eastAsia="ja-JP"/>
        </w:rPr>
        <w:t xml:space="preserve">% БДП, упркос проблемима које је проузроковала пандемија. </w:t>
      </w:r>
      <w:r>
        <w:rPr>
          <w:rFonts w:eastAsia="Calibri" w:cstheme="minorHAnsi"/>
          <w:szCs w:val="20"/>
          <w:lang w:val="sr-Cyrl-RS" w:eastAsia="ja-JP"/>
        </w:rPr>
        <w:t>У</w:t>
      </w:r>
      <w:r w:rsidRPr="00EA3D8C">
        <w:rPr>
          <w:rFonts w:eastAsia="Calibri" w:cstheme="minorHAnsi"/>
          <w:szCs w:val="20"/>
          <w:lang w:val="sr-Cyrl-RS" w:eastAsia="ja-JP"/>
        </w:rPr>
        <w:t xml:space="preserve"> наредном </w:t>
      </w:r>
      <w:r>
        <w:rPr>
          <w:rFonts w:eastAsia="Calibri" w:cstheme="minorHAnsi"/>
          <w:szCs w:val="20"/>
          <w:lang w:val="sr-Cyrl-RS" w:eastAsia="ja-JP"/>
        </w:rPr>
        <w:t xml:space="preserve">средњорочном периоду </w:t>
      </w:r>
      <w:r w:rsidR="00B906B9">
        <w:rPr>
          <w:rFonts w:eastAsia="Calibri" w:cstheme="minorHAnsi"/>
          <w:szCs w:val="20"/>
          <w:lang w:val="sr-Cyrl-RS" w:eastAsia="ja-JP"/>
        </w:rPr>
        <w:t xml:space="preserve">се </w:t>
      </w:r>
      <w:r>
        <w:rPr>
          <w:rFonts w:eastAsia="Calibri" w:cstheme="minorHAnsi"/>
          <w:szCs w:val="20"/>
          <w:lang w:val="sr-Cyrl-RS" w:eastAsia="ja-JP"/>
        </w:rPr>
        <w:t>очекује ниво</w:t>
      </w:r>
      <w:r w:rsidRPr="00EA3D8C">
        <w:rPr>
          <w:rFonts w:eastAsia="Calibri" w:cstheme="minorHAnsi"/>
          <w:szCs w:val="20"/>
          <w:lang w:val="sr-Cyrl-RS" w:eastAsia="ja-JP"/>
        </w:rPr>
        <w:t xml:space="preserve"> улагања у јавну инфраструктуру</w:t>
      </w:r>
      <w:r>
        <w:rPr>
          <w:rFonts w:eastAsia="Calibri" w:cstheme="minorHAnsi"/>
          <w:szCs w:val="20"/>
          <w:lang w:val="sr-Cyrl-RS" w:eastAsia="ja-JP"/>
        </w:rPr>
        <w:t xml:space="preserve"> који је знатно виши од оног у претходним годинама</w:t>
      </w:r>
      <w:r w:rsidRPr="00EA3D8C">
        <w:rPr>
          <w:rFonts w:eastAsia="Calibri" w:cstheme="minorHAnsi"/>
          <w:szCs w:val="20"/>
          <w:lang w:val="sr-Cyrl-RS" w:eastAsia="ja-JP"/>
        </w:rPr>
        <w:t xml:space="preserve">. </w:t>
      </w:r>
      <w:r w:rsidRPr="009D5693">
        <w:rPr>
          <w:rFonts w:eastAsia="Calibri" w:cstheme="minorHAnsi"/>
          <w:szCs w:val="20"/>
          <w:lang w:val="sr-Cyrl-RS" w:eastAsia="ja-JP"/>
        </w:rPr>
        <w:t>Најзначајнији инфраструктурни радови су на путној, железничкој</w:t>
      </w:r>
      <w:r>
        <w:rPr>
          <w:rFonts w:eastAsia="Calibri" w:cstheme="minorHAnsi"/>
          <w:szCs w:val="20"/>
          <w:lang w:val="sr-Cyrl-RS" w:eastAsia="ja-JP"/>
        </w:rPr>
        <w:t>, комуналној</w:t>
      </w:r>
      <w:r w:rsidRPr="009D5693">
        <w:rPr>
          <w:rFonts w:eastAsia="Calibri" w:cstheme="minorHAnsi"/>
          <w:szCs w:val="20"/>
          <w:lang w:val="sr-Cyrl-RS" w:eastAsia="ja-JP"/>
        </w:rPr>
        <w:t xml:space="preserve"> и водној инфраструктури који се угл</w:t>
      </w:r>
      <w:r w:rsidRPr="00EA3D8C">
        <w:rPr>
          <w:rFonts w:eastAsia="Calibri" w:cstheme="minorHAnsi"/>
          <w:szCs w:val="20"/>
          <w:lang w:val="sr-Cyrl-RS" w:eastAsia="ja-JP"/>
        </w:rPr>
        <w:t xml:space="preserve">авном финансирају из међународних кредита. Поред саобраћајне инфраструктуре обезбеђена су средства за додатна капитална улагања у здравству, </w:t>
      </w:r>
      <w:r>
        <w:rPr>
          <w:rFonts w:eastAsia="Calibri" w:cstheme="minorHAnsi"/>
          <w:szCs w:val="20"/>
          <w:lang w:val="sr-Cyrl-RS" w:eastAsia="ja-JP"/>
        </w:rPr>
        <w:t xml:space="preserve">заштити животне средине, </w:t>
      </w:r>
      <w:r w:rsidRPr="00EA3D8C">
        <w:rPr>
          <w:rFonts w:eastAsia="Calibri" w:cstheme="minorHAnsi"/>
          <w:szCs w:val="20"/>
          <w:lang w:val="sr-Cyrl-RS" w:eastAsia="ja-JP"/>
        </w:rPr>
        <w:t>просвети, култури, одбрани и другим областима које представљају најважније функције државе. Ово је све део новог инвестиционог циклуса на националном нивоу који је омогућен стварањем фискалног простора и подржан повољним условима за задуживање на међународном финансијском тржишту.</w:t>
      </w:r>
    </w:p>
    <w:p w14:paraId="39658370"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 xml:space="preserve">Опште опредељење фискалне политике у средњем року јесте повећање улагања у инфраструктуру на свим нивоима власти. Према проценама Фискалног савета инвестиције локалне самоуправе у средњем року </w:t>
      </w:r>
      <w:r w:rsidR="00082497">
        <w:rPr>
          <w:rFonts w:eastAsia="Calibri" w:cstheme="minorHAnsi"/>
          <w:szCs w:val="20"/>
          <w:lang w:val="sr-Cyrl-RS" w:eastAsia="ja-JP"/>
        </w:rPr>
        <w:t>требало би повећати за најмање 5</w:t>
      </w:r>
      <w:r w:rsidRPr="00EA3D8C">
        <w:rPr>
          <w:rFonts w:eastAsia="Calibri" w:cstheme="minorHAnsi"/>
          <w:szCs w:val="20"/>
          <w:lang w:val="sr-Cyrl-RS" w:eastAsia="ja-JP"/>
        </w:rPr>
        <w:t>5% у односу на њихов садашњи ниво, односно за око 250 мил. евра. Реч је пре свега о улагањима у водоводну и канализациону инфраструктуру, управљању отпадом, локалну путну инфраструктуру и друго.</w:t>
      </w:r>
    </w:p>
    <w:p w14:paraId="06703A48"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У средњорочном</w:t>
      </w:r>
      <w:r>
        <w:rPr>
          <w:rFonts w:eastAsia="Calibri" w:cstheme="minorHAnsi"/>
          <w:szCs w:val="20"/>
          <w:lang w:val="sr-Cyrl-RS" w:eastAsia="ja-JP"/>
        </w:rPr>
        <w:t xml:space="preserve"> фискалном оквиру, до краја 2024</w:t>
      </w:r>
      <w:r w:rsidRPr="00EA3D8C">
        <w:rPr>
          <w:rFonts w:eastAsia="Calibri" w:cstheme="minorHAnsi"/>
          <w:szCs w:val="20"/>
          <w:lang w:val="sr-Cyrl-RS" w:eastAsia="ja-JP"/>
        </w:rPr>
        <w:t>. године, пројектована је избалансирана укупна фискална позиција локалне самоуправе. То значи да у збиру сви градови и општине имају приближно избалансиран буџет. Пројекција је рађена на основу кретања у претходном периоду, у коме су збирно ЈЛС најчешће биле у суфициту. Овакво стање на нивоу свих локалних самоуправа је последица раздуживања у претходном периоду. То не значи да поједина</w:t>
      </w:r>
      <w:r>
        <w:rPr>
          <w:rFonts w:eastAsia="Calibri" w:cstheme="minorHAnsi"/>
          <w:szCs w:val="20"/>
          <w:lang w:val="sr-Cyrl-RS" w:eastAsia="ja-JP"/>
        </w:rPr>
        <w:t>чне ЈЛС не могу ићи у дефицит, шт</w:t>
      </w:r>
      <w:r w:rsidRPr="00EA3D8C">
        <w:rPr>
          <w:rFonts w:eastAsia="Calibri" w:cstheme="minorHAnsi"/>
          <w:szCs w:val="20"/>
          <w:lang w:val="sr-Cyrl-RS" w:eastAsia="ja-JP"/>
        </w:rPr>
        <w:t>о зависи од фискалне позиције сваке појединачне општине и града.</w:t>
      </w:r>
    </w:p>
    <w:p w14:paraId="1A78806D" w14:textId="77777777" w:rsidR="001E3E7D" w:rsidRPr="00FA5A89" w:rsidRDefault="001E3E7D" w:rsidP="00FA5A89">
      <w:pPr>
        <w:spacing w:after="140" w:line="257" w:lineRule="auto"/>
        <w:rPr>
          <w:rFonts w:eastAsia="Calibri" w:cstheme="minorHAnsi"/>
          <w:spacing w:val="-2"/>
          <w:szCs w:val="20"/>
          <w:lang w:val="sr-Cyrl-RS" w:eastAsia="ja-JP"/>
        </w:rPr>
      </w:pPr>
      <w:r w:rsidRPr="00FA5A89">
        <w:rPr>
          <w:rFonts w:eastAsia="Calibri" w:cstheme="minorHAnsi"/>
          <w:spacing w:val="-2"/>
          <w:szCs w:val="20"/>
          <w:lang w:val="sr-Cyrl-RS" w:eastAsia="ja-JP"/>
        </w:rPr>
        <w:t xml:space="preserve">Пројектовано је смањивање нивоа буџетских позајмица и отплате дуга по основу гаранција у </w:t>
      </w:r>
      <w:r w:rsidRPr="00FA5A89">
        <w:rPr>
          <w:rFonts w:eastAsia="Calibri" w:cstheme="minorHAnsi"/>
          <w:spacing w:val="-2"/>
          <w:szCs w:val="20"/>
          <w:lang w:val="sr-Cyrl-RS" w:eastAsia="ja-JP"/>
        </w:rPr>
        <w:lastRenderedPageBreak/>
        <w:t>наредном средњорочном периоду. Укупно учешће ове две категорије у БДП сведено је на 0,4% БДП у 2019. години уз привремени раст у 2020. и 2021. години. До краја 2024. године ови издаци ће бити минимални, са учешћем до 0,3% БДП.</w:t>
      </w:r>
    </w:p>
    <w:p w14:paraId="1BE385C7" w14:textId="77777777" w:rsidR="001E3E7D" w:rsidRPr="00EA3D8C" w:rsidRDefault="001E3E7D" w:rsidP="00FA5A89">
      <w:pPr>
        <w:spacing w:after="140" w:line="257" w:lineRule="auto"/>
        <w:rPr>
          <w:rFonts w:eastAsia="Calibri" w:cstheme="minorHAnsi"/>
          <w:szCs w:val="20"/>
          <w:lang w:val="sr-Cyrl-RS" w:eastAsia="ja-JP"/>
        </w:rPr>
      </w:pPr>
      <w:r w:rsidRPr="00EA3D8C">
        <w:rPr>
          <w:rFonts w:eastAsia="Calibri" w:cstheme="minorHAnsi"/>
          <w:szCs w:val="20"/>
          <w:lang w:val="sr-Cyrl-RS" w:eastAsia="ja-JP"/>
        </w:rPr>
        <w:t xml:space="preserve">Отплата по основу издатих гаранција и плаћање гаранција по комерцијалним трансакцијама представљају обавезе по основу дуга јавних предузећа које је републички буџет преузео на себе, с обзиром да та предузећа нису могла самостално да их извршавају. Ови расходи су представљали велики терет за буџет с обзиром на дугогодишње неефикасно пословање великог броја државних предузећа и привредних друштава. У претходном периоду ови расходи су значајно смањени, а планом отплате предвиђено је да ће </w:t>
      </w:r>
      <w:r>
        <w:rPr>
          <w:rFonts w:eastAsia="Calibri" w:cstheme="minorHAnsi"/>
          <w:szCs w:val="20"/>
          <w:lang w:val="sr-Cyrl-RS" w:eastAsia="ja-JP"/>
        </w:rPr>
        <w:t>до</w:t>
      </w:r>
      <w:r w:rsidRPr="00EA3D8C">
        <w:rPr>
          <w:rFonts w:eastAsia="Calibri" w:cstheme="minorHAnsi"/>
          <w:szCs w:val="20"/>
          <w:lang w:val="sr-Cyrl-RS" w:eastAsia="ja-JP"/>
        </w:rPr>
        <w:t xml:space="preserve"> 202</w:t>
      </w:r>
      <w:r>
        <w:rPr>
          <w:rFonts w:eastAsia="Calibri" w:cstheme="minorHAnsi"/>
          <w:szCs w:val="20"/>
          <w:lang w:val="sr-Cyrl-RS" w:eastAsia="ja-JP"/>
        </w:rPr>
        <w:t>4</w:t>
      </w:r>
      <w:r w:rsidRPr="00EA3D8C">
        <w:rPr>
          <w:rFonts w:eastAsia="Calibri" w:cstheme="minorHAnsi"/>
          <w:szCs w:val="20"/>
          <w:lang w:val="sr-Cyrl-RS" w:eastAsia="ja-JP"/>
        </w:rPr>
        <w:t xml:space="preserve">. године ови расходи </w:t>
      </w:r>
      <w:r>
        <w:rPr>
          <w:rFonts w:eastAsia="Calibri" w:cstheme="minorHAnsi"/>
          <w:szCs w:val="20"/>
          <w:lang w:val="sr-Cyrl-RS" w:eastAsia="ja-JP"/>
        </w:rPr>
        <w:t>бити на нивоу од 0,2</w:t>
      </w:r>
      <w:r w:rsidRPr="00EA3D8C">
        <w:rPr>
          <w:rFonts w:eastAsia="Calibri" w:cstheme="minorHAnsi"/>
          <w:szCs w:val="20"/>
          <w:lang w:val="sr-Cyrl-RS" w:eastAsia="ja-JP"/>
        </w:rPr>
        <w:t>% БДП.</w:t>
      </w:r>
    </w:p>
    <w:p w14:paraId="028FF545" w14:textId="77777777" w:rsidR="001E3E7D" w:rsidRPr="00EA3D8C" w:rsidRDefault="001E3E7D" w:rsidP="00FA5A89">
      <w:pPr>
        <w:spacing w:after="140" w:line="257" w:lineRule="auto"/>
        <w:rPr>
          <w:rFonts w:eastAsia="Calibri" w:cstheme="minorHAnsi"/>
          <w:b/>
          <w:color w:val="2F5496" w:themeColor="accent1" w:themeShade="BF"/>
          <w:sz w:val="22"/>
          <w:szCs w:val="20"/>
          <w:lang w:val="sr-Cyrl-RS" w:eastAsia="ja-JP"/>
        </w:rPr>
      </w:pPr>
      <w:r w:rsidRPr="00EA3D8C">
        <w:rPr>
          <w:rFonts w:eastAsia="Calibri" w:cstheme="minorHAnsi"/>
          <w:b/>
          <w:color w:val="2F5496" w:themeColor="accent1" w:themeShade="BF"/>
          <w:sz w:val="22"/>
          <w:szCs w:val="20"/>
          <w:lang w:val="sr-Cyrl-RS" w:eastAsia="ja-JP"/>
        </w:rPr>
        <w:t>Структурне мере за унапређење стабилности и одрживости јавних финансија</w:t>
      </w:r>
      <w:r w:rsidRPr="00EA3D8C">
        <w:rPr>
          <w:rFonts w:eastAsia="Calibri" w:cstheme="minorHAnsi"/>
          <w:b/>
          <w:color w:val="2F5496" w:themeColor="accent1" w:themeShade="BF"/>
          <w:sz w:val="22"/>
          <w:szCs w:val="20"/>
          <w:vertAlign w:val="superscript"/>
          <w:lang w:val="sr-Cyrl-RS" w:eastAsia="ja-JP"/>
        </w:rPr>
        <w:footnoteReference w:id="2"/>
      </w:r>
    </w:p>
    <w:p w14:paraId="67C1009A"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У тренутку писања овог документа Република Србија се и даље налази у неизвесним условима проузрокованим пандемијом COVID-19, спроводећи трећи пакет мера подршке привреди и становништву, уз истовремену борбу за здравље и животе својих грађана, изградњу нових болничких капацитета и процес вакцинације, што би у догледно време могло да обезбеди повратак државе и друштва у нормалне токове. Налазимо се и између два аранжмана ММФ – претходни аранжман - Инструмент за координацију политика – PCI (</w:t>
      </w:r>
      <w:r w:rsidRPr="001A1F53">
        <w:rPr>
          <w:rFonts w:ascii="Calibri" w:eastAsia="Calibri" w:hAnsi="Calibri" w:cs="Calibri"/>
          <w:i/>
          <w:color w:val="44546A"/>
          <w:szCs w:val="20"/>
          <w:lang w:val="en-GB" w:eastAsia="ja-JP"/>
        </w:rPr>
        <w:t>Policy Coordination Instrument</w:t>
      </w:r>
      <w:r w:rsidRPr="0076053C">
        <w:rPr>
          <w:rFonts w:ascii="Calibri" w:eastAsia="Calibri" w:hAnsi="Calibri" w:cs="Calibri"/>
          <w:color w:val="44546A"/>
          <w:szCs w:val="20"/>
          <w:lang w:val="sr-Cyrl-RS" w:eastAsia="ja-JP"/>
        </w:rPr>
        <w:t>) – успешно је окончан почетком ове године, а у току су преговори о новом аранжману којим би се наставило са подршком макроекономској и фискалној стабилности, економском опоравку и структурним реформама које би подржале Републику Србију на њеном европском путу.</w:t>
      </w:r>
    </w:p>
    <w:p w14:paraId="7240F80D" w14:textId="77777777" w:rsidR="001E3E7D" w:rsidRPr="00FA5A89" w:rsidRDefault="001E3E7D" w:rsidP="00FA5A89">
      <w:pPr>
        <w:spacing w:after="140" w:line="257" w:lineRule="auto"/>
        <w:rPr>
          <w:rFonts w:ascii="Calibri" w:eastAsia="Calibri" w:hAnsi="Calibri" w:cs="Calibri"/>
          <w:color w:val="44546A"/>
          <w:spacing w:val="-2"/>
          <w:szCs w:val="20"/>
          <w:lang w:val="sr-Cyrl-RS" w:eastAsia="ja-JP"/>
        </w:rPr>
      </w:pPr>
      <w:r w:rsidRPr="00FA5A89">
        <w:rPr>
          <w:rFonts w:ascii="Calibri" w:eastAsia="Calibri" w:hAnsi="Calibri" w:cs="Calibri"/>
          <w:color w:val="44546A"/>
          <w:spacing w:val="-2"/>
          <w:szCs w:val="20"/>
          <w:lang w:val="sr-Cyrl-RS" w:eastAsia="ja-JP"/>
        </w:rPr>
        <w:t>Нови аранжман би наставио да пружа подршку очувању макроекономске и фискалне стабилности, јачању финансијског сектора, уз даљи процес динаризације и развој тржишта капитала, што би требало да, заједно са институционалним и структурним реформама, обезбеди високе стопе зеленог,</w:t>
      </w:r>
      <w:r w:rsidR="00E93004" w:rsidRPr="00FA5A89">
        <w:rPr>
          <w:rFonts w:ascii="Calibri" w:eastAsia="Calibri" w:hAnsi="Calibri" w:cs="Calibri"/>
          <w:color w:val="44546A"/>
          <w:spacing w:val="-2"/>
          <w:szCs w:val="20"/>
          <w:lang w:val="sr-Cyrl-RS" w:eastAsia="ja-JP"/>
        </w:rPr>
        <w:t xml:space="preserve"> инклузивног и одрживог раста.</w:t>
      </w:r>
    </w:p>
    <w:p w14:paraId="4178EEFA" w14:textId="77777777" w:rsidR="001E3E7D" w:rsidRPr="00FA5A89" w:rsidRDefault="001E3E7D" w:rsidP="00FA5A89">
      <w:pPr>
        <w:spacing w:after="140" w:line="257" w:lineRule="auto"/>
        <w:rPr>
          <w:rFonts w:ascii="Calibri" w:eastAsia="Calibri" w:hAnsi="Calibri" w:cs="Calibri"/>
          <w:color w:val="44546A"/>
          <w:spacing w:val="-2"/>
          <w:szCs w:val="20"/>
          <w:lang w:val="sr-Cyrl-RS" w:eastAsia="ja-JP"/>
        </w:rPr>
      </w:pPr>
      <w:r w:rsidRPr="00FA5A89">
        <w:rPr>
          <w:rFonts w:ascii="Calibri" w:eastAsia="Calibri" w:hAnsi="Calibri" w:cs="Calibri"/>
          <w:color w:val="44546A"/>
          <w:spacing w:val="-2"/>
          <w:szCs w:val="20"/>
          <w:lang w:val="sr-Cyrl-RS" w:eastAsia="ja-JP"/>
        </w:rPr>
        <w:t>Како би се обезбедила стабилност и одрживост јавних финансија на дужи рок потребан је функционалан систем фискалних правила. Тренутно важећа фискална правила су уведена још 2010. године, али нису помогла у заустављању раста дефицита и јавног дуга. Због пандемије је одложено доношење новог сета фискалних правила. Од 2020. године поново је уведена индексација пензија, где се пензије усклађују коришћењем „швајцарске формуле</w:t>
      </w:r>
      <w:r w:rsidR="00C6085C" w:rsidRPr="00FA5A89">
        <w:rPr>
          <w:rFonts w:ascii="Calibri" w:eastAsia="Calibri" w:hAnsi="Calibri" w:cs="Calibri"/>
          <w:color w:val="44546A"/>
          <w:spacing w:val="-2"/>
          <w:szCs w:val="20"/>
          <w:lang w:val="sr-Cyrl-RS" w:eastAsia="ja-JP"/>
        </w:rPr>
        <w:t>”</w:t>
      </w:r>
      <w:r w:rsidRPr="00FA5A89">
        <w:rPr>
          <w:rFonts w:ascii="Calibri" w:eastAsia="Calibri" w:hAnsi="Calibri" w:cs="Calibri"/>
          <w:color w:val="44546A"/>
          <w:spacing w:val="-2"/>
          <w:szCs w:val="20"/>
          <w:lang w:val="sr-Cyrl-RS" w:eastAsia="ja-JP"/>
        </w:rPr>
        <w:t>, уз поштовање лимита од 11% БДП за укупне расходе за пензије. Очекује се усвајање фискалног правила које дефинише ниво дефицита и којим се обезбеђује да ниво јавног дуга буде постављен на силазну путању. Приликом дефинисања новог сета фискалних правила, осим Министарства финансија, активно учешће имаће ММФ и Фискални савет.</w:t>
      </w:r>
    </w:p>
    <w:p w14:paraId="5774C828"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 xml:space="preserve">У наредном периоду очекује се наставак реформи у области запошљавања, управљања кадровима и система плата у сектору државе. Циљ фискалне политике у средњем року је задржавање расхода за запослене на одрживом нивоу, уз адекватну структуру запослених, како би се обезбедио већи квалитет пружених услуга. У наредном средњорочном периоду акценат је на структурним мерама, које би преко </w:t>
      </w:r>
      <w:r w:rsidR="00CE19A5">
        <w:rPr>
          <w:rFonts w:ascii="Calibri" w:eastAsia="Calibri" w:hAnsi="Calibri" w:cs="Calibri"/>
          <w:color w:val="44546A"/>
          <w:szCs w:val="20"/>
          <w:lang w:val="sr-Cyrl-RS" w:eastAsia="ja-JP"/>
        </w:rPr>
        <w:t>планирања</w:t>
      </w:r>
      <w:r w:rsidRPr="0076053C">
        <w:rPr>
          <w:rFonts w:ascii="Calibri" w:eastAsia="Calibri" w:hAnsi="Calibri" w:cs="Calibri"/>
          <w:color w:val="44546A"/>
          <w:szCs w:val="20"/>
          <w:lang w:val="sr-Cyrl-RS" w:eastAsia="ja-JP"/>
        </w:rPr>
        <w:t xml:space="preserve"> броја запослених с једне стране и успостављања новог система плата у сектору државе, с друге стране, допринеле повећању ефикасности и квалитету пружених јавних услуга.</w:t>
      </w:r>
    </w:p>
    <w:p w14:paraId="362F907B" w14:textId="77777777" w:rsidR="001E3E7D" w:rsidRPr="00E37A4E" w:rsidRDefault="001E3E7D" w:rsidP="00FA5A89">
      <w:pPr>
        <w:spacing w:after="140" w:line="257" w:lineRule="auto"/>
        <w:rPr>
          <w:rFonts w:ascii="Calibri" w:eastAsia="Calibri" w:hAnsi="Calibri" w:cs="Calibri"/>
          <w:szCs w:val="20"/>
          <w:lang w:val="sr-Cyrl-RS" w:eastAsia="ja-JP"/>
        </w:rPr>
      </w:pPr>
      <w:r w:rsidRPr="0076053C">
        <w:rPr>
          <w:rFonts w:ascii="Calibri" w:eastAsia="Calibri" w:hAnsi="Calibri" w:cs="Calibri"/>
          <w:color w:val="44546A"/>
          <w:szCs w:val="20"/>
          <w:lang w:val="sr-Cyrl-RS" w:eastAsia="ja-JP"/>
        </w:rPr>
        <w:t xml:space="preserve">2016. године усвојен је Закон о систему плата у јавном сектору, а затим су усвојена и одговарајућа подзаконска акта, којима се на систематичан и транспарентан начин уређује ова област, с циљем да се у целом јавном сектору обезбеди једнак ниво плата за исту врсту посла. Након више година одлагања, нови систем платних разреда за све запослене у јавном сектору (укључујући војску и полицију), односно нови Закон о платама државних службеника и намештеника и измене Уредбе о каталогу радних места у јавним службама и другим организацијама у јавном сектору, би требало да буду </w:t>
      </w:r>
      <w:r w:rsidRPr="00E37A4E">
        <w:rPr>
          <w:rFonts w:ascii="Calibri" w:eastAsia="Calibri" w:hAnsi="Calibri" w:cs="Calibri"/>
          <w:szCs w:val="20"/>
          <w:lang w:val="sr-Cyrl-RS" w:eastAsia="ja-JP"/>
        </w:rPr>
        <w:t xml:space="preserve">усвојени </w:t>
      </w:r>
      <w:r w:rsidR="00E37A4E" w:rsidRPr="00E37A4E">
        <w:rPr>
          <w:rFonts w:ascii="Calibri" w:eastAsia="Calibri" w:hAnsi="Calibri" w:cs="Calibri"/>
          <w:szCs w:val="20"/>
          <w:lang w:val="sr-Cyrl-RS" w:eastAsia="ja-JP"/>
        </w:rPr>
        <w:t xml:space="preserve">током ове </w:t>
      </w:r>
      <w:r w:rsidRPr="00E37A4E">
        <w:rPr>
          <w:rFonts w:ascii="Calibri" w:eastAsia="Calibri" w:hAnsi="Calibri" w:cs="Calibri"/>
          <w:szCs w:val="20"/>
          <w:lang w:val="sr-Cyrl-RS" w:eastAsia="ja-JP"/>
        </w:rPr>
        <w:t>године, како би све било спремно за имплементацију у постпандемијском периоду.</w:t>
      </w:r>
    </w:p>
    <w:p w14:paraId="59C69261"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lastRenderedPageBreak/>
        <w:t xml:space="preserve">Постојећи систем запошљавања, којим руководи Владина Комисија за давање сагласности за ново запошљавање и додатно радно ангажовање код корисника јавних средстава наставиће да функционише у прелазном периоду до 2023. године, односно све док нови систем не буде у потпуности оперативан. Крајем прошле године усвојене су измене Закона о буџетском систему како би било омогућено да у прелазном периоду институције могу да ангажују нова лица до нивоа од </w:t>
      </w:r>
      <w:r w:rsidRPr="0076053C">
        <w:rPr>
          <w:rFonts w:ascii="Calibri" w:eastAsia="Calibri" w:hAnsi="Calibri" w:cs="Calibri"/>
          <w:color w:val="44546A"/>
          <w:szCs w:val="20"/>
          <w:lang w:val="sr-Latn-RS" w:eastAsia="ja-JP"/>
        </w:rPr>
        <w:t>70</w:t>
      </w:r>
      <w:r w:rsidRPr="0076053C">
        <w:rPr>
          <w:rFonts w:ascii="Calibri" w:eastAsia="Calibri" w:hAnsi="Calibri" w:cs="Calibri"/>
          <w:color w:val="44546A"/>
          <w:szCs w:val="20"/>
          <w:lang w:val="sr-Cyrl-RS" w:eastAsia="ja-JP"/>
        </w:rPr>
        <w:t xml:space="preserve">% оних који напуштају институцију или одлазе у пензију, док је дозвола Комисије потребна уколико број новозапослених пређе </w:t>
      </w:r>
      <w:r w:rsidRPr="0076053C">
        <w:rPr>
          <w:rFonts w:ascii="Calibri" w:eastAsia="Calibri" w:hAnsi="Calibri" w:cs="Calibri"/>
          <w:color w:val="44546A"/>
          <w:szCs w:val="20"/>
          <w:lang w:val="sr-Latn-RS" w:eastAsia="ja-JP"/>
        </w:rPr>
        <w:t>70</w:t>
      </w:r>
      <w:r w:rsidRPr="0076053C">
        <w:rPr>
          <w:rFonts w:ascii="Calibri" w:eastAsia="Calibri" w:hAnsi="Calibri" w:cs="Calibri"/>
          <w:color w:val="44546A"/>
          <w:szCs w:val="20"/>
          <w:lang w:val="sr-Cyrl-RS" w:eastAsia="ja-JP"/>
        </w:rPr>
        <w:t>%. Смисао ове мере је да се обезбеди већа флексибилност у запошљавању на нивоу самих институција, у складу с њиховим потребама за новим кадровима. Такође, постављен је и лимит од 1% за повећање укупног броја запослених на неодређено време у односу на ниво с краја 2020. године. У току је и израда електронског регистра запослених у јавном сектору који би требало да буде завршен до 2023. године, а пилот пројекат који обухвата запослене у Министарству финансија је већ оперативан.</w:t>
      </w:r>
    </w:p>
    <w:p w14:paraId="31EA68F5"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 xml:space="preserve">У циљу смањења различитих облика буџетске подршке јавним и државним предузећима наставља се са </w:t>
      </w:r>
      <w:r>
        <w:rPr>
          <w:rFonts w:ascii="Calibri" w:eastAsia="Calibri" w:hAnsi="Calibri" w:cs="Calibri"/>
          <w:color w:val="44546A"/>
          <w:szCs w:val="20"/>
          <w:lang w:val="sr-Cyrl-RS" w:eastAsia="ja-JP"/>
        </w:rPr>
        <w:t xml:space="preserve">њиховим </w:t>
      </w:r>
      <w:r w:rsidRPr="0076053C">
        <w:rPr>
          <w:rFonts w:ascii="Calibri" w:eastAsia="Calibri" w:hAnsi="Calibri" w:cs="Calibri"/>
          <w:color w:val="44546A"/>
          <w:szCs w:val="20"/>
          <w:lang w:val="sr-Cyrl-RS" w:eastAsia="ja-JP"/>
        </w:rPr>
        <w:t>реформама. Смањење буџетске подршке овим предузећима подразумева: а) ограничење директних и индиректних субвенција, б) забрану издавања гаранција за подршку ликвидности и в) јачање одговорности и транспарентности у пословању ових предузећа, укључујући и контролу и смањење доцњи у плаћањима, нарочито према ЈП ЕПС и ЈП „Србијагас</w:t>
      </w:r>
      <w:r w:rsidR="00C6085C" w:rsidRPr="00C6085C">
        <w:rPr>
          <w:rFonts w:ascii="Calibri" w:eastAsia="Calibri" w:hAnsi="Calibri" w:cs="Calibri"/>
          <w:color w:val="44546A"/>
          <w:szCs w:val="20"/>
          <w:lang w:val="sr-Cyrl-RS" w:eastAsia="ja-JP"/>
        </w:rPr>
        <w:t>”</w:t>
      </w:r>
      <w:r w:rsidRPr="0076053C">
        <w:rPr>
          <w:rFonts w:ascii="Calibri" w:eastAsia="Calibri" w:hAnsi="Calibri" w:cs="Calibri"/>
          <w:color w:val="44546A"/>
          <w:szCs w:val="20"/>
          <w:lang w:val="sr-Latn-RS" w:eastAsia="ja-JP"/>
        </w:rPr>
        <w:t xml:space="preserve"> </w:t>
      </w:r>
      <w:r w:rsidRPr="0076053C">
        <w:rPr>
          <w:rFonts w:ascii="Calibri" w:eastAsia="Calibri" w:hAnsi="Calibri" w:cs="Calibri"/>
          <w:color w:val="44546A"/>
          <w:szCs w:val="20"/>
          <w:lang w:val="sr-Cyrl-RS" w:eastAsia="ja-JP"/>
        </w:rPr>
        <w:t>и превенцију њиховог гомилања у будућности.</w:t>
      </w:r>
    </w:p>
    <w:p w14:paraId="08C9510E" w14:textId="77777777" w:rsidR="001E3E7D" w:rsidRPr="00C71251" w:rsidRDefault="001E3E7D" w:rsidP="00FA5A89">
      <w:pPr>
        <w:spacing w:after="140" w:line="257" w:lineRule="auto"/>
        <w:rPr>
          <w:rFonts w:ascii="Calibri" w:eastAsia="Calibri" w:hAnsi="Calibri" w:cs="Calibri"/>
          <w:szCs w:val="20"/>
          <w:lang w:val="sr-Cyrl-RS" w:eastAsia="ja-JP"/>
        </w:rPr>
      </w:pPr>
      <w:r w:rsidRPr="00C71251">
        <w:rPr>
          <w:rFonts w:ascii="Calibri" w:eastAsia="Calibri" w:hAnsi="Calibri" w:cs="Calibri"/>
          <w:szCs w:val="20"/>
          <w:lang w:val="sr-Cyrl-RS" w:eastAsia="ja-JP"/>
        </w:rPr>
        <w:t>Статус предузећа из портфолија бивше Агенције за приватизацију решава се кроз поступак стечаја или приватизације. До марта 2021. године проглашен је стечај за више од 310 предузећа, док је 6</w:t>
      </w:r>
      <w:r w:rsidR="00C71251" w:rsidRPr="00C71251">
        <w:rPr>
          <w:rFonts w:ascii="Calibri" w:eastAsia="Calibri" w:hAnsi="Calibri" w:cs="Calibri"/>
          <w:szCs w:val="20"/>
          <w:lang w:val="sr-Latn-RS" w:eastAsia="ja-JP"/>
        </w:rPr>
        <w:t>8</w:t>
      </w:r>
      <w:r w:rsidRPr="00C71251">
        <w:rPr>
          <w:rFonts w:ascii="Calibri" w:eastAsia="Calibri" w:hAnsi="Calibri" w:cs="Calibri"/>
          <w:szCs w:val="20"/>
          <w:lang w:val="sr-Cyrl-RS" w:eastAsia="ja-JP"/>
        </w:rPr>
        <w:t xml:space="preserve"> приватизовано од краја 2014. године. Око 36.000 запослених из 357 предузећа прихватило је социјални програм. Интензивно се ради на проналажењу решења за још 7</w:t>
      </w:r>
      <w:r w:rsidR="00C71251" w:rsidRPr="00C71251">
        <w:rPr>
          <w:rFonts w:ascii="Calibri" w:eastAsia="Calibri" w:hAnsi="Calibri" w:cs="Calibri"/>
          <w:szCs w:val="20"/>
          <w:lang w:val="sr-Latn-RS" w:eastAsia="ja-JP"/>
        </w:rPr>
        <w:t>6</w:t>
      </w:r>
      <w:r w:rsidRPr="00C71251">
        <w:rPr>
          <w:rFonts w:ascii="Calibri" w:eastAsia="Calibri" w:hAnsi="Calibri" w:cs="Calibri"/>
          <w:szCs w:val="20"/>
          <w:lang w:val="sr-Cyrl-RS" w:eastAsia="ja-JP"/>
        </w:rPr>
        <w:t xml:space="preserve"> предузећа са готово 28.000 запослених.</w:t>
      </w:r>
    </w:p>
    <w:p w14:paraId="2E373598" w14:textId="77777777" w:rsidR="001E3E7D" w:rsidRPr="0076053C" w:rsidRDefault="001E3E7D" w:rsidP="00FA5A89">
      <w:pPr>
        <w:spacing w:after="140" w:line="257" w:lineRule="auto"/>
        <w:rPr>
          <w:rFonts w:ascii="Calibri" w:eastAsia="Calibri" w:hAnsi="Calibri" w:cs="Calibri"/>
          <w:szCs w:val="20"/>
          <w:lang w:val="sr-Cyrl-RS" w:eastAsia="ja-JP"/>
        </w:rPr>
      </w:pPr>
      <w:r>
        <w:rPr>
          <w:rFonts w:ascii="Calibri" w:eastAsia="Calibri" w:hAnsi="Calibri" w:cs="Calibri"/>
          <w:szCs w:val="20"/>
          <w:lang w:val="sr-Cyrl-RS" w:eastAsia="ja-JP"/>
        </w:rPr>
        <w:t>Влада је, уз подршку ЕБРД, усвојила Стратегију</w:t>
      </w:r>
      <w:r w:rsidR="00103068">
        <w:rPr>
          <w:rFonts w:ascii="Calibri" w:eastAsia="Calibri" w:hAnsi="Calibri" w:cs="Calibri"/>
          <w:szCs w:val="20"/>
          <w:lang w:val="sr-Cyrl-RS" w:eastAsia="ja-JP"/>
        </w:rPr>
        <w:t xml:space="preserve"> државног </w:t>
      </w:r>
      <w:r w:rsidRPr="004740C9">
        <w:rPr>
          <w:rFonts w:ascii="Calibri" w:eastAsia="Calibri" w:hAnsi="Calibri" w:cs="Calibri"/>
          <w:szCs w:val="20"/>
          <w:lang w:val="sr-Cyrl-RS" w:eastAsia="ja-JP"/>
        </w:rPr>
        <w:t xml:space="preserve">власништва и управљања привредним субјектима који су у власништву Републике Србије </w:t>
      </w:r>
      <w:r w:rsidRPr="004740C9">
        <w:rPr>
          <w:rFonts w:ascii="Calibri" w:eastAsia="Calibri" w:hAnsi="Calibri" w:cs="Calibri"/>
          <w:szCs w:val="20"/>
          <w:lang w:val="sr-Cyrl-RS" w:eastAsia="ja-JP"/>
        </w:rPr>
        <w:t>за период од 2021. до 2027. године као</w:t>
      </w:r>
      <w:r>
        <w:rPr>
          <w:rFonts w:ascii="Calibri" w:eastAsia="Calibri" w:hAnsi="Calibri" w:cs="Calibri"/>
          <w:szCs w:val="20"/>
          <w:lang w:val="sr-Cyrl-RS" w:eastAsia="ja-JP"/>
        </w:rPr>
        <w:t xml:space="preserve"> јединствени </w:t>
      </w:r>
      <w:r w:rsidRPr="004740C9">
        <w:rPr>
          <w:rFonts w:ascii="Calibri" w:eastAsia="Calibri" w:hAnsi="Calibri" w:cs="Calibri"/>
          <w:szCs w:val="20"/>
          <w:lang w:val="sr-Cyrl-RS" w:eastAsia="ja-JP"/>
        </w:rPr>
        <w:t>акт</w:t>
      </w:r>
      <w:r>
        <w:rPr>
          <w:rFonts w:ascii="Calibri" w:eastAsia="Calibri" w:hAnsi="Calibri" w:cs="Calibri"/>
          <w:szCs w:val="20"/>
          <w:lang w:val="sr-Cyrl-RS" w:eastAsia="ja-JP"/>
        </w:rPr>
        <w:t xml:space="preserve"> који пружа стратешку визију </w:t>
      </w:r>
      <w:r w:rsidR="00103068">
        <w:rPr>
          <w:rFonts w:ascii="Calibri" w:eastAsia="Calibri" w:hAnsi="Calibri" w:cs="Calibri"/>
          <w:szCs w:val="20"/>
          <w:lang w:val="sr-Cyrl-RS" w:eastAsia="ja-JP"/>
        </w:rPr>
        <w:t xml:space="preserve">и </w:t>
      </w:r>
      <w:r w:rsidRPr="004740C9">
        <w:rPr>
          <w:rFonts w:ascii="Calibri" w:eastAsia="Calibri" w:hAnsi="Calibri" w:cs="Calibri"/>
          <w:szCs w:val="20"/>
          <w:lang w:val="sr-Cyrl-RS" w:eastAsia="ja-JP"/>
        </w:rPr>
        <w:t>упут</w:t>
      </w:r>
      <w:r>
        <w:rPr>
          <w:rFonts w:ascii="Calibri" w:eastAsia="Calibri" w:hAnsi="Calibri" w:cs="Calibri"/>
          <w:szCs w:val="20"/>
          <w:lang w:val="sr-Cyrl-RS" w:eastAsia="ja-JP"/>
        </w:rPr>
        <w:t xml:space="preserve">ства </w:t>
      </w:r>
      <w:r w:rsidRPr="004740C9">
        <w:rPr>
          <w:rFonts w:ascii="Calibri" w:eastAsia="Calibri" w:hAnsi="Calibri" w:cs="Calibri"/>
          <w:szCs w:val="20"/>
          <w:lang w:val="sr-Cyrl-RS" w:eastAsia="ja-JP"/>
        </w:rPr>
        <w:t>у</w:t>
      </w:r>
      <w:r>
        <w:rPr>
          <w:rFonts w:ascii="Calibri" w:eastAsia="Calibri" w:hAnsi="Calibri" w:cs="Calibri"/>
          <w:szCs w:val="20"/>
          <w:lang w:val="sr-Cyrl-RS" w:eastAsia="ja-JP"/>
        </w:rPr>
        <w:t xml:space="preserve"> вези </w:t>
      </w:r>
      <w:r w:rsidRPr="004740C9">
        <w:rPr>
          <w:rFonts w:ascii="Calibri" w:eastAsia="Calibri" w:hAnsi="Calibri" w:cs="Calibri"/>
          <w:szCs w:val="20"/>
          <w:lang w:val="sr-Cyrl-RS" w:eastAsia="ja-JP"/>
        </w:rPr>
        <w:t>са</w:t>
      </w:r>
      <w:r>
        <w:rPr>
          <w:rFonts w:ascii="Calibri" w:eastAsia="Calibri" w:hAnsi="Calibri" w:cs="Calibri"/>
          <w:szCs w:val="20"/>
          <w:lang w:val="sr-Cyrl-RS" w:eastAsia="ja-JP"/>
        </w:rPr>
        <w:t xml:space="preserve"> циљевима власничког управљања</w:t>
      </w:r>
      <w:r w:rsidRPr="004740C9">
        <w:rPr>
          <w:rFonts w:ascii="Calibri" w:eastAsia="Calibri" w:hAnsi="Calibri" w:cs="Calibri"/>
          <w:szCs w:val="20"/>
          <w:lang w:val="sr-Cyrl-RS" w:eastAsia="ja-JP"/>
        </w:rPr>
        <w:t>, циљевима финансијских и јав</w:t>
      </w:r>
      <w:r>
        <w:rPr>
          <w:rFonts w:ascii="Calibri" w:eastAsia="Calibri" w:hAnsi="Calibri" w:cs="Calibri"/>
          <w:szCs w:val="20"/>
          <w:lang w:val="sr-Cyrl-RS" w:eastAsia="ja-JP"/>
        </w:rPr>
        <w:t xml:space="preserve">них политика, као и принципима </w:t>
      </w:r>
      <w:r w:rsidR="00103068">
        <w:rPr>
          <w:rFonts w:ascii="Calibri" w:eastAsia="Calibri" w:hAnsi="Calibri" w:cs="Calibri"/>
          <w:szCs w:val="20"/>
          <w:lang w:val="sr-Cyrl-RS" w:eastAsia="ja-JP"/>
        </w:rPr>
        <w:t xml:space="preserve">корпоративног </w:t>
      </w:r>
      <w:r w:rsidRPr="004740C9">
        <w:rPr>
          <w:rFonts w:ascii="Calibri" w:eastAsia="Calibri" w:hAnsi="Calibri" w:cs="Calibri"/>
          <w:szCs w:val="20"/>
          <w:lang w:val="sr-Cyrl-RS" w:eastAsia="ja-JP"/>
        </w:rPr>
        <w:t>у</w:t>
      </w:r>
      <w:r>
        <w:rPr>
          <w:rFonts w:ascii="Calibri" w:eastAsia="Calibri" w:hAnsi="Calibri" w:cs="Calibri"/>
          <w:szCs w:val="20"/>
          <w:lang w:val="sr-Cyrl-RS" w:eastAsia="ja-JP"/>
        </w:rPr>
        <w:t xml:space="preserve">прављања и праксама надзора у складу </w:t>
      </w:r>
      <w:r w:rsidRPr="004740C9">
        <w:rPr>
          <w:rFonts w:ascii="Calibri" w:eastAsia="Calibri" w:hAnsi="Calibri" w:cs="Calibri"/>
          <w:szCs w:val="20"/>
          <w:lang w:val="sr-Cyrl-RS" w:eastAsia="ja-JP"/>
        </w:rPr>
        <w:t xml:space="preserve">са међународним </w:t>
      </w:r>
      <w:r>
        <w:rPr>
          <w:rFonts w:ascii="Calibri" w:eastAsia="Calibri" w:hAnsi="Calibri" w:cs="Calibri"/>
          <w:szCs w:val="20"/>
          <w:lang w:val="sr-Cyrl-RS" w:eastAsia="ja-JP"/>
        </w:rPr>
        <w:t>стандардима и најбољом праксом.</w:t>
      </w:r>
    </w:p>
    <w:p w14:paraId="170FC1D7" w14:textId="77777777" w:rsidR="001E3E7D" w:rsidRPr="000746C0" w:rsidRDefault="001E3E7D" w:rsidP="00FA5A89">
      <w:pPr>
        <w:spacing w:after="140" w:line="257" w:lineRule="auto"/>
        <w:rPr>
          <w:rFonts w:ascii="Calibri" w:eastAsia="Calibri" w:hAnsi="Calibri" w:cs="Calibri"/>
          <w:szCs w:val="20"/>
          <w:lang w:val="sr-Cyrl-RS" w:eastAsia="ja-JP"/>
        </w:rPr>
      </w:pPr>
      <w:r w:rsidRPr="0076053C">
        <w:rPr>
          <w:rFonts w:ascii="Calibri" w:eastAsia="Calibri" w:hAnsi="Calibri" w:cs="Calibri"/>
          <w:szCs w:val="20"/>
          <w:lang w:val="sr-Cyrl-RS" w:eastAsia="ja-JP"/>
        </w:rPr>
        <w:t>За предузећа која чине стратешке компаније из портфолија бивше Агенције за приватизацију, решење се налази или кроз приватизационе тендере, или кроз стечај. За саобраћајно предузеће „Ласта</w:t>
      </w:r>
      <w:r w:rsidR="00C6085C" w:rsidRPr="00C6085C">
        <w:rPr>
          <w:rFonts w:ascii="Calibri" w:eastAsia="Calibri" w:hAnsi="Calibri" w:cs="Calibri"/>
          <w:szCs w:val="20"/>
          <w:lang w:val="sr-Cyrl-RS" w:eastAsia="ja-JP"/>
        </w:rPr>
        <w:t>”</w:t>
      </w:r>
      <w:r w:rsidRPr="0076053C">
        <w:rPr>
          <w:rFonts w:ascii="Calibri" w:eastAsia="Calibri" w:hAnsi="Calibri" w:cs="Calibri"/>
          <w:szCs w:val="20"/>
          <w:lang w:val="sr-Cyrl-RS" w:eastAsia="ja-JP"/>
        </w:rPr>
        <w:t xml:space="preserve"> АД Београд изабран је приватизациони саветник још</w:t>
      </w:r>
      <w:r w:rsidRPr="0076053C">
        <w:rPr>
          <w:rFonts w:ascii="Calibri" w:eastAsia="Calibri" w:hAnsi="Calibri" w:cs="Calibri"/>
          <w:szCs w:val="20"/>
          <w:lang w:val="sr-Latn-RS" w:eastAsia="ja-JP"/>
        </w:rPr>
        <w:t xml:space="preserve"> 2019.</w:t>
      </w:r>
      <w:r w:rsidRPr="0076053C">
        <w:rPr>
          <w:rFonts w:ascii="Calibri" w:eastAsia="Calibri" w:hAnsi="Calibri" w:cs="Calibri"/>
          <w:szCs w:val="20"/>
          <w:lang w:val="sr-Cyrl-RS" w:eastAsia="ja-JP"/>
        </w:rPr>
        <w:t xml:space="preserve"> године, међутим поступак приватизације је одложен због </w:t>
      </w:r>
      <w:r w:rsidRPr="0076053C">
        <w:rPr>
          <w:rFonts w:ascii="Calibri" w:eastAsia="Calibri" w:hAnsi="Calibri" w:cs="Calibri"/>
          <w:szCs w:val="20"/>
          <w:lang w:val="sr-Latn-RS" w:eastAsia="ja-JP"/>
        </w:rPr>
        <w:t>пандемије</w:t>
      </w:r>
      <w:r w:rsidRPr="0076053C">
        <w:rPr>
          <w:rFonts w:ascii="Calibri" w:eastAsia="Calibri" w:hAnsi="Calibri" w:cs="Calibri"/>
          <w:szCs w:val="20"/>
          <w:lang w:val="sr-Cyrl-RS" w:eastAsia="ja-JP"/>
        </w:rPr>
        <w:t>. Уз подршку Светске банке дефинисан је акциони план за ЈП ПЕУ „Ресавица</w:t>
      </w:r>
      <w:r w:rsidR="00C6085C" w:rsidRPr="00C6085C">
        <w:rPr>
          <w:rFonts w:ascii="Calibri" w:eastAsia="Calibri" w:hAnsi="Calibri" w:cs="Calibri"/>
          <w:szCs w:val="20"/>
          <w:lang w:val="sr-Cyrl-RS" w:eastAsia="ja-JP"/>
        </w:rPr>
        <w:t>”</w:t>
      </w:r>
      <w:r w:rsidRPr="0076053C">
        <w:rPr>
          <w:rFonts w:ascii="Calibri" w:eastAsia="Calibri" w:hAnsi="Calibri" w:cs="Calibri"/>
          <w:szCs w:val="20"/>
          <w:lang w:val="sr-Cyrl-RS" w:eastAsia="ja-JP"/>
        </w:rPr>
        <w:t xml:space="preserve">, чије спровођење укључује проналажење решења за затварање економски неодрживих рудника и план рационализације, уз могућност добровољног одласка уз обезбеђена средства за социјални програм и средства за подршку пословању како не би дошло до гомилања доцњи у плаћањима, нарочито према ЈП ЕПС. За ХИП Петрохемија у току су разговори са потенцијалним инвеститорима, ангажован је приватизациони саветник, након чега ће бити расписан тендерски поступак, с циљем да се он оконча до краја године. За ХИП Азотара је, након неуспелих покушаја да се пронађе стратешки партнер, проглашен стечај, односно предвиђена је продаја путем јавног надметања, </w:t>
      </w:r>
      <w:r w:rsidRPr="000746C0">
        <w:rPr>
          <w:rFonts w:ascii="Calibri" w:eastAsia="Calibri" w:hAnsi="Calibri" w:cs="Calibri"/>
          <w:szCs w:val="20"/>
          <w:lang w:val="sr-Cyrl-RS" w:eastAsia="ja-JP"/>
        </w:rPr>
        <w:t>док се за МСК Кикинда решење тражи у налажењу стратешких партнера или инвеститора.</w:t>
      </w:r>
    </w:p>
    <w:p w14:paraId="528C22BB"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За одређени број компанија у државном власништву се траже стратешки партнери или други модели приватизације, односно спровођење унапред припремљених планова реорганизације (УППР).</w:t>
      </w:r>
    </w:p>
    <w:p w14:paraId="651D40AA"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 xml:space="preserve">Побољшање управљања јавним финансијама је нужно не само као подршка мерама фискалне </w:t>
      </w:r>
      <w:r>
        <w:rPr>
          <w:rFonts w:ascii="Calibri" w:eastAsia="Calibri" w:hAnsi="Calibri" w:cs="Calibri"/>
          <w:color w:val="44546A"/>
          <w:szCs w:val="20"/>
          <w:lang w:val="sr-Cyrl-RS" w:eastAsia="ja-JP"/>
        </w:rPr>
        <w:t>стабилизације</w:t>
      </w:r>
      <w:r w:rsidRPr="0076053C">
        <w:rPr>
          <w:rFonts w:ascii="Calibri" w:eastAsia="Calibri" w:hAnsi="Calibri" w:cs="Calibri"/>
          <w:color w:val="44546A"/>
          <w:szCs w:val="20"/>
          <w:lang w:val="sr-Cyrl-RS" w:eastAsia="ja-JP"/>
        </w:rPr>
        <w:t xml:space="preserve"> и структурним реформама, већ као процес који подиже квалитет државне управе и осигурава привлачан амбијент за инвеститоре. Реформске активности у оквиру различитих подсистема управљања јавним финансијама (УЈФ) обухваћене су ревидираним Програмом реформе управљања јавним финансијама 2016</w:t>
      </w:r>
      <w:r>
        <w:rPr>
          <w:rFonts w:ascii="Calibri" w:eastAsia="Calibri" w:hAnsi="Calibri" w:cs="Calibri"/>
          <w:color w:val="44546A"/>
          <w:szCs w:val="20"/>
          <w:lang w:val="sr-Cyrl-RS" w:eastAsia="ja-JP"/>
        </w:rPr>
        <w:t xml:space="preserve"> </w:t>
      </w:r>
      <w:r w:rsidRPr="0076053C">
        <w:rPr>
          <w:rFonts w:ascii="Calibri" w:eastAsia="Calibri" w:hAnsi="Calibri" w:cs="Calibri"/>
          <w:color w:val="44546A"/>
          <w:szCs w:val="20"/>
          <w:lang w:val="sr-Cyrl-RS" w:eastAsia="ja-JP"/>
        </w:rPr>
        <w:t>–</w:t>
      </w:r>
      <w:r>
        <w:rPr>
          <w:rFonts w:ascii="Calibri" w:eastAsia="Calibri" w:hAnsi="Calibri" w:cs="Calibri"/>
          <w:color w:val="44546A"/>
          <w:szCs w:val="20"/>
          <w:lang w:val="sr-Cyrl-RS" w:eastAsia="ja-JP"/>
        </w:rPr>
        <w:t xml:space="preserve"> </w:t>
      </w:r>
      <w:r w:rsidRPr="0076053C">
        <w:rPr>
          <w:rFonts w:ascii="Calibri" w:eastAsia="Calibri" w:hAnsi="Calibri" w:cs="Calibri"/>
          <w:color w:val="44546A"/>
          <w:szCs w:val="20"/>
          <w:lang w:val="sr-Cyrl-RS" w:eastAsia="ja-JP"/>
        </w:rPr>
        <w:t xml:space="preserve">2020. године (Програм РУЈФ). Министарство финансија </w:t>
      </w:r>
      <w:r w:rsidR="00E03465">
        <w:rPr>
          <w:rFonts w:ascii="Calibri" w:eastAsia="Calibri" w:hAnsi="Calibri" w:cs="Calibri"/>
          <w:color w:val="44546A"/>
          <w:szCs w:val="20"/>
          <w:lang w:val="sr-Cyrl-RS" w:eastAsia="ja-JP"/>
        </w:rPr>
        <w:t>приводи крају израду</w:t>
      </w:r>
      <w:r w:rsidRPr="0076053C">
        <w:rPr>
          <w:lang w:val="sr-Cyrl-RS"/>
        </w:rPr>
        <w:t xml:space="preserve"> </w:t>
      </w:r>
      <w:r w:rsidRPr="0076053C">
        <w:rPr>
          <w:rFonts w:ascii="Calibri" w:eastAsia="Calibri" w:hAnsi="Calibri" w:cs="Calibri"/>
          <w:color w:val="44546A"/>
          <w:szCs w:val="20"/>
          <w:lang w:val="sr-Cyrl-RS" w:eastAsia="ja-JP"/>
        </w:rPr>
        <w:t xml:space="preserve">новог Програма реформе </w:t>
      </w:r>
      <w:r w:rsidRPr="0076053C">
        <w:rPr>
          <w:rFonts w:ascii="Calibri" w:eastAsia="Calibri" w:hAnsi="Calibri" w:cs="Calibri"/>
          <w:color w:val="44546A"/>
          <w:szCs w:val="20"/>
          <w:lang w:val="sr-Cyrl-RS" w:eastAsia="ja-JP"/>
        </w:rPr>
        <w:lastRenderedPageBreak/>
        <w:t>управљања јавним финансијама за период од 2021–2025. године.</w:t>
      </w:r>
    </w:p>
    <w:p w14:paraId="2E46A6B4"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Информацион</w:t>
      </w:r>
      <w:r>
        <w:rPr>
          <w:rFonts w:ascii="Calibri" w:eastAsia="Calibri" w:hAnsi="Calibri" w:cs="Calibri"/>
          <w:color w:val="44546A"/>
          <w:szCs w:val="20"/>
          <w:lang w:val="sr-Cyrl-RS" w:eastAsia="ja-JP"/>
        </w:rPr>
        <w:t>и систем извршења буџета – ИСИБ,</w:t>
      </w:r>
      <w:r w:rsidRPr="0076053C">
        <w:rPr>
          <w:rFonts w:ascii="Calibri" w:eastAsia="Calibri" w:hAnsi="Calibri" w:cs="Calibri"/>
          <w:color w:val="44546A"/>
          <w:szCs w:val="20"/>
          <w:lang w:val="sr-Cyrl-RS" w:eastAsia="ja-JP"/>
        </w:rPr>
        <w:t xml:space="preserve"> је део система управљања јавним финансијама који обухвата процесе и поступке који се спроводе електронском комуникацијом са Управом за трезор у саставу Министарства финансија. Развој овог система ће омогућити укључивање свих индиректних корисника централног нивоа власти. У систем су укључени директни корисници јавних средстава, правосудни органи и индиректни корисници Министарства културе и информисања и Управе за извршење кривичних санкција, који нису били део претходног система (ФМИС). Од 2019. године су укључене и институције социјалне заштите, тако да се ван система налазе још само индиректни корисници Министарства просвете, науке и технолошког развоја. Систем је оспособљен да убудуће омогу</w:t>
      </w:r>
      <w:r w:rsidR="00F814B6">
        <w:rPr>
          <w:rFonts w:ascii="Calibri" w:eastAsia="Calibri" w:hAnsi="Calibri" w:cs="Calibri"/>
          <w:color w:val="44546A"/>
          <w:szCs w:val="20"/>
          <w:lang w:val="sr-Cyrl-RS" w:eastAsia="ja-JP"/>
        </w:rPr>
        <w:t>ћи интеграцију нових корисника.</w:t>
      </w:r>
    </w:p>
    <w:p w14:paraId="67762546"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Област управљања јавним финансијама којој је озбиљно посвећена пажња и на чијем се унапређењу ради је управљање јавним инвестицијама. Јачањем оквира управљања јавним инвестицијама интензивирају се нови инфраструктурни пројекти и подиже квалитет постојеће инфраструктуре. У априлу 2018. године усвојен је Закон о планском систему Републике Србије, којим је успостављен национални оквир за планирање и којим су дефинисани План развоја и Инвестициони план. Систем управљања јавним инвестицијама, који се развија уз помоћ Светске банке, укључује интегрисану базу података о инвестиционим пројектима, која је тренутно у развоју и успостављену јединствену листу приоритетних пројеката (</w:t>
      </w:r>
      <w:r w:rsidRPr="00F64301">
        <w:rPr>
          <w:rFonts w:ascii="Calibri" w:eastAsia="Calibri" w:hAnsi="Calibri" w:cs="Calibri"/>
          <w:i/>
          <w:color w:val="44546A"/>
          <w:szCs w:val="20"/>
          <w:lang w:val="en-GB" w:eastAsia="ja-JP"/>
        </w:rPr>
        <w:t>Single Project Pipeline</w:t>
      </w:r>
      <w:r w:rsidRPr="0076053C">
        <w:rPr>
          <w:rFonts w:ascii="Calibri" w:eastAsia="Calibri" w:hAnsi="Calibri" w:cs="Calibri"/>
          <w:color w:val="44546A"/>
          <w:szCs w:val="20"/>
          <w:lang w:val="sr-Cyrl-RS" w:eastAsia="ja-JP"/>
        </w:rPr>
        <w:t>), како би систем почео с функционисањем током текуће године, а постао потпуно функционалан током 2022. године.</w:t>
      </w:r>
    </w:p>
    <w:p w14:paraId="3A80DF1F" w14:textId="77777777" w:rsidR="001E3E7D" w:rsidRPr="00FA5A89" w:rsidRDefault="001E3E7D" w:rsidP="00FA5A89">
      <w:pPr>
        <w:spacing w:after="140" w:line="257" w:lineRule="auto"/>
        <w:rPr>
          <w:rFonts w:ascii="Calibri" w:eastAsia="Calibri" w:hAnsi="Calibri" w:cs="Calibri"/>
          <w:color w:val="44546A"/>
          <w:spacing w:val="-2"/>
          <w:szCs w:val="20"/>
          <w:lang w:val="sr-Cyrl-RS" w:eastAsia="ja-JP"/>
        </w:rPr>
      </w:pPr>
      <w:r w:rsidRPr="00FA5A89">
        <w:rPr>
          <w:rFonts w:ascii="Calibri" w:eastAsia="Calibri" w:hAnsi="Calibri" w:cs="Calibri"/>
          <w:color w:val="44546A"/>
          <w:spacing w:val="-2"/>
          <w:szCs w:val="20"/>
          <w:lang w:val="sr-Cyrl-RS" w:eastAsia="ja-JP"/>
        </w:rPr>
        <w:t>Јавно-приватна партнерства (</w:t>
      </w:r>
      <w:r w:rsidRPr="00F64301">
        <w:rPr>
          <w:rFonts w:ascii="Calibri" w:eastAsia="Calibri" w:hAnsi="Calibri" w:cs="Calibri"/>
          <w:i/>
          <w:color w:val="44546A"/>
          <w:spacing w:val="-2"/>
          <w:szCs w:val="20"/>
          <w:lang w:val="en-GB" w:eastAsia="ja-JP"/>
        </w:rPr>
        <w:t>Public-Private Partnerships</w:t>
      </w:r>
      <w:r w:rsidRPr="00FA5A89">
        <w:rPr>
          <w:rFonts w:ascii="Calibri" w:eastAsia="Calibri" w:hAnsi="Calibri" w:cs="Calibri"/>
          <w:color w:val="44546A"/>
          <w:spacing w:val="-2"/>
          <w:szCs w:val="20"/>
          <w:lang w:val="sr-Cyrl-RS" w:eastAsia="ja-JP"/>
        </w:rPr>
        <w:t xml:space="preserve"> – PPP), као специфичан вид сарадње државе и приватног сектора захтевају посебну пажњу и опрез, стога ће Министарство финансија убудуће вршити процену свих предлога с гледишта анализе трошкова и користи и поделе ризика.</w:t>
      </w:r>
    </w:p>
    <w:p w14:paraId="7CFC894A" w14:textId="77777777" w:rsidR="001E3E7D" w:rsidRPr="0076053C"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 xml:space="preserve">Акциони план трансформације Пореске управе за период 2018–2023. године усвојен у децембру </w:t>
      </w:r>
      <w:r w:rsidRPr="0076053C">
        <w:rPr>
          <w:rFonts w:ascii="Calibri" w:eastAsia="Calibri" w:hAnsi="Calibri" w:cs="Calibri"/>
          <w:color w:val="44546A"/>
          <w:szCs w:val="20"/>
          <w:lang w:val="sr-Cyrl-RS" w:eastAsia="ja-JP"/>
        </w:rPr>
        <w:t>2017. године</w:t>
      </w:r>
      <w:r>
        <w:rPr>
          <w:rFonts w:ascii="Calibri" w:eastAsia="Calibri" w:hAnsi="Calibri" w:cs="Calibri"/>
          <w:color w:val="44546A"/>
          <w:szCs w:val="20"/>
          <w:lang w:val="sr-Cyrl-RS" w:eastAsia="ja-JP"/>
        </w:rPr>
        <w:t>,</w:t>
      </w:r>
      <w:r w:rsidRPr="0076053C">
        <w:rPr>
          <w:rFonts w:ascii="Calibri" w:eastAsia="Calibri" w:hAnsi="Calibri" w:cs="Calibri"/>
          <w:color w:val="44546A"/>
          <w:szCs w:val="20"/>
          <w:lang w:val="sr-Cyrl-RS" w:eastAsia="ja-JP"/>
        </w:rPr>
        <w:t xml:space="preserve"> дефинише стратешке смернице и временске рокове у којим ће бити спроведене активности потребне за стварање модерне пореске администрације, која ће, уз коришћење савремених електронских процеса пружити бољу и свеобухватнију услугу пореским обвезницима и бољу контролу и наплату прихода, односно поспешити борбу против сиве економије, заједно са реформом и модернизацијом инспекцијског надзора. </w:t>
      </w:r>
      <w:r>
        <w:rPr>
          <w:rFonts w:ascii="Calibri" w:eastAsia="Calibri" w:hAnsi="Calibri" w:cs="Calibri"/>
          <w:color w:val="44546A"/>
          <w:szCs w:val="20"/>
          <w:lang w:val="sr-Cyrl-RS" w:eastAsia="ja-JP"/>
        </w:rPr>
        <w:t>С</w:t>
      </w:r>
      <w:r w:rsidRPr="0076053C">
        <w:rPr>
          <w:rFonts w:ascii="Calibri" w:eastAsia="Calibri" w:hAnsi="Calibri" w:cs="Calibri"/>
          <w:color w:val="44546A"/>
          <w:szCs w:val="20"/>
          <w:lang w:val="sr-Cyrl-RS" w:eastAsia="ja-JP"/>
        </w:rPr>
        <w:t xml:space="preserve">проведено је организационо раздвајање основних активности од оних које се сматрају споредним, с тим да се основне активности сад обављају у мањем броју организационих јединица, односно извршена је њихова консолидација. Анализа пословних процеса и потребних ресурса, омогућиће развијање адекватне организационе структуре и менаџмента, унапређење управљања пројектима и дизајн адекватне структуре запослених. Следећа фаза реформи је усмерена на информационе системе, а тендер за замену постојећег система новим се очекује средином текуће године. Нови систем ће омогућити постепено увођење електронске фактуре, које ће прво издавати субјекти у јавном сектору, а након тога и приватни сектор. Фазно увођење е-фактура је планирано од наредне године за јавни сектор, односно од 2023. године за приватни сектор. Наставља се спровођење мера које за циљ имају смањење просечног времена за повраћај ПДВ, односно поштовање прописаних рокова, уз примену начела опрезности, како би се могућности превара свеле на минимум, а обвезницима с ниским ризиком повраћаји били исплаћени што раније. Центар за велике пореске обвезнике (ЦВПО) ће проширити свој делокруг, односно биће повећан број субјеката који своје пореске обавезе измирују преко овог система, </w:t>
      </w:r>
      <w:r>
        <w:rPr>
          <w:rFonts w:ascii="Calibri" w:eastAsia="Calibri" w:hAnsi="Calibri" w:cs="Calibri"/>
          <w:color w:val="44546A"/>
          <w:szCs w:val="20"/>
          <w:lang w:val="sr-Cyrl-RS" w:eastAsia="ja-JP"/>
        </w:rPr>
        <w:t xml:space="preserve">а истовремено се </w:t>
      </w:r>
      <w:r w:rsidRPr="0076053C">
        <w:rPr>
          <w:rFonts w:ascii="Calibri" w:eastAsia="Calibri" w:hAnsi="Calibri" w:cs="Calibri"/>
          <w:color w:val="44546A"/>
          <w:szCs w:val="20"/>
          <w:lang w:val="sr-Cyrl-RS" w:eastAsia="ja-JP"/>
        </w:rPr>
        <w:t>ради и на јачању капацитета ове веома значајне организационе јединице у оквиру Пореске управе. Усвајањем Закона о утврђивању порекла имовине и посебном порезу и образовањем посебне организационе јединице Пореске управе, створили су се услови за унакрсну анализу имовине и прихода лица, како би се истражили случајеви неоснованог обогаћења и утврдиле обавезе по основу посебног пореза. Покренут је поступак</w:t>
      </w:r>
      <w:r>
        <w:rPr>
          <w:rFonts w:ascii="Calibri" w:eastAsia="Calibri" w:hAnsi="Calibri" w:cs="Calibri"/>
          <w:color w:val="44546A"/>
          <w:szCs w:val="20"/>
          <w:lang w:val="sr-Cyrl-RS" w:eastAsia="ja-JP"/>
        </w:rPr>
        <w:t xml:space="preserve"> за избор екстерног консултанта</w:t>
      </w:r>
      <w:r w:rsidRPr="0076053C">
        <w:rPr>
          <w:rFonts w:ascii="Calibri" w:eastAsia="Calibri" w:hAnsi="Calibri" w:cs="Calibri"/>
          <w:color w:val="44546A"/>
          <w:szCs w:val="20"/>
          <w:lang w:val="sr-Cyrl-RS" w:eastAsia="ja-JP"/>
        </w:rPr>
        <w:t xml:space="preserve"> који ће извршити преглед постојећих пословних процеса </w:t>
      </w:r>
      <w:r w:rsidRPr="0076053C">
        <w:rPr>
          <w:rFonts w:ascii="Calibri" w:eastAsia="Calibri" w:hAnsi="Calibri" w:cs="Calibri"/>
          <w:color w:val="44546A"/>
          <w:szCs w:val="20"/>
          <w:lang w:val="sr-Cyrl-RS" w:eastAsia="ja-JP"/>
        </w:rPr>
        <w:lastRenderedPageBreak/>
        <w:t>и водити поступак њиховог реинжењеринга и модернизације. Пореска управа је имала значајну улогу у спровођењу дела мера које су предузете као одговор на кризу изазвану COVID-19: одлагање плаћања пореза на зараде и доприносе и њихово плаћање на 24 рате, почевши од јануара ове године, одлагање плаћања аконтације пореза на добит правних лица за други квартал 2020. године, тромесечни мораторијум на принудну наплату и смањење камате на порески дуг.</w:t>
      </w:r>
    </w:p>
    <w:p w14:paraId="7F2BE4B3" w14:textId="77777777" w:rsidR="001E3E7D" w:rsidRDefault="001E3E7D" w:rsidP="00FA5A89">
      <w:pPr>
        <w:spacing w:after="140" w:line="257" w:lineRule="auto"/>
        <w:rPr>
          <w:rFonts w:ascii="Calibri" w:eastAsia="Calibri" w:hAnsi="Calibri" w:cs="Calibri"/>
          <w:color w:val="44546A"/>
          <w:szCs w:val="20"/>
          <w:lang w:val="sr-Cyrl-RS" w:eastAsia="ja-JP"/>
        </w:rPr>
      </w:pPr>
      <w:r w:rsidRPr="0076053C">
        <w:rPr>
          <w:rFonts w:ascii="Calibri" w:eastAsia="Calibri" w:hAnsi="Calibri" w:cs="Calibri"/>
          <w:color w:val="44546A"/>
          <w:szCs w:val="20"/>
          <w:lang w:val="sr-Cyrl-RS" w:eastAsia="ja-JP"/>
        </w:rPr>
        <w:t xml:space="preserve">Побољшање квалитета и транспарентности националне статистике се врши кроз унапређење свеобухватне, правовремене и аутоматске размене података између надлежних институција. У априлу 2018. године објављена је листа институција које чине сектор опште државе, као и остале секторе, у складу са Европским системом рачуна (ESA) 2010 и GFSM 2014, на основу чега ће РЗС (у сарадњи са Министарством финансија и НБС) током ове године почети с достављањем података у Проширени општи систем дисеминације података (e-GDDS). Ови подаци ће бити у складу са методологијом GFSM 2014. Сектор за макроекономске и фискалне анализе и пројекције Министарства финансија у сарадњи са ММФ је први покренуо поступак конверзије података о јавним финансијама из националне методологије у методологију GFSM 2014 и израду консолидованих података за ниво опште државе, како би у будућности био омогућен потпуни </w:t>
      </w:r>
      <w:r w:rsidRPr="0076053C">
        <w:rPr>
          <w:rFonts w:ascii="Calibri" w:eastAsia="Calibri" w:hAnsi="Calibri" w:cs="Calibri"/>
          <w:color w:val="44546A"/>
          <w:szCs w:val="20"/>
          <w:lang w:val="sr-Cyrl-RS" w:eastAsia="ja-JP"/>
        </w:rPr>
        <w:t>прелазак на нову методологију у смислу обухвата, планирања и извештавања.</w:t>
      </w:r>
    </w:p>
    <w:p w14:paraId="51F19AF1" w14:textId="77777777" w:rsidR="001E3E7D" w:rsidRPr="00EA3D8C" w:rsidRDefault="001E3E7D" w:rsidP="00FA5A89">
      <w:pPr>
        <w:spacing w:after="140" w:line="257" w:lineRule="auto"/>
        <w:rPr>
          <w:rFonts w:cstheme="minorHAnsi"/>
          <w:b/>
          <w:bCs/>
          <w:color w:val="2F5496" w:themeColor="accent1" w:themeShade="BF"/>
          <w:sz w:val="22"/>
          <w:szCs w:val="20"/>
          <w:lang w:val="sr-Cyrl-RS"/>
        </w:rPr>
      </w:pPr>
      <w:r w:rsidRPr="00EA3D8C">
        <w:rPr>
          <w:rFonts w:cstheme="minorHAnsi"/>
          <w:b/>
          <w:bCs/>
          <w:color w:val="2F5496" w:themeColor="accent1" w:themeShade="BF"/>
          <w:sz w:val="22"/>
          <w:szCs w:val="20"/>
          <w:lang w:val="sr-Cyrl-RS"/>
        </w:rPr>
        <w:t>Поређење са претходним програмом</w:t>
      </w:r>
    </w:p>
    <w:p w14:paraId="3CD1E964" w14:textId="77777777" w:rsidR="001E3E7D" w:rsidRDefault="001E3E7D" w:rsidP="00FA5A89">
      <w:pPr>
        <w:spacing w:after="140" w:line="257" w:lineRule="auto"/>
        <w:rPr>
          <w:rFonts w:cstheme="minorHAnsi"/>
          <w:bCs/>
          <w:szCs w:val="20"/>
          <w:lang w:val="sr-Cyrl-RS"/>
        </w:rPr>
      </w:pPr>
      <w:r w:rsidRPr="00EA3D8C">
        <w:rPr>
          <w:rFonts w:cstheme="minorHAnsi"/>
          <w:bCs/>
          <w:szCs w:val="20"/>
          <w:lang w:val="sr-Cyrl-RS"/>
        </w:rPr>
        <w:t xml:space="preserve">Средњорочни фискални оквир значајно </w:t>
      </w:r>
      <w:r w:rsidR="00F64301">
        <w:rPr>
          <w:rFonts w:cstheme="minorHAnsi"/>
          <w:bCs/>
          <w:szCs w:val="20"/>
          <w:lang w:val="sr-Cyrl-RS"/>
        </w:rPr>
        <w:t>је</w:t>
      </w:r>
      <w:r w:rsidRPr="00EA3D8C">
        <w:rPr>
          <w:rFonts w:cstheme="minorHAnsi"/>
          <w:bCs/>
          <w:szCs w:val="20"/>
          <w:lang w:val="sr-Cyrl-RS"/>
        </w:rPr>
        <w:t xml:space="preserve"> промењен у односу на претходни документ</w:t>
      </w:r>
      <w:r w:rsidRPr="00EA3D8C">
        <w:rPr>
          <w:rFonts w:cstheme="minorHAnsi"/>
          <w:bCs/>
          <w:szCs w:val="20"/>
          <w:vertAlign w:val="superscript"/>
          <w:lang w:val="sr-Cyrl-RS"/>
        </w:rPr>
        <w:footnoteReference w:id="3"/>
      </w:r>
      <w:r w:rsidRPr="00EA3D8C">
        <w:rPr>
          <w:rFonts w:cstheme="minorHAnsi"/>
          <w:bCs/>
          <w:szCs w:val="20"/>
          <w:lang w:val="sr-Cyrl-RS"/>
        </w:rPr>
        <w:t xml:space="preserve"> с обзиром на негативне ефекте пандемије на економска кретања</w:t>
      </w:r>
      <w:r>
        <w:rPr>
          <w:rFonts w:cstheme="minorHAnsi"/>
          <w:bCs/>
          <w:szCs w:val="20"/>
        </w:rPr>
        <w:t xml:space="preserve"> </w:t>
      </w:r>
      <w:r>
        <w:rPr>
          <w:rFonts w:cstheme="minorHAnsi"/>
          <w:bCs/>
          <w:szCs w:val="20"/>
          <w:lang w:val="sr-Cyrl-RS"/>
        </w:rPr>
        <w:t>који се изражавају и у 2021. години, али и на боље приходе и у овој и у прошлој години</w:t>
      </w:r>
      <w:r w:rsidRPr="00EA3D8C">
        <w:rPr>
          <w:rFonts w:cstheme="minorHAnsi"/>
          <w:bCs/>
          <w:szCs w:val="20"/>
          <w:lang w:val="sr-Cyrl-RS"/>
        </w:rPr>
        <w:t xml:space="preserve">. </w:t>
      </w:r>
      <w:r>
        <w:rPr>
          <w:rFonts w:cstheme="minorHAnsi"/>
          <w:bCs/>
          <w:szCs w:val="20"/>
          <w:lang w:val="sr-Cyrl-RS"/>
        </w:rPr>
        <w:t xml:space="preserve">Раст прихода, </w:t>
      </w:r>
      <w:r w:rsidRPr="00EA3D8C">
        <w:rPr>
          <w:rFonts w:cstheme="minorHAnsi"/>
          <w:bCs/>
          <w:szCs w:val="20"/>
          <w:lang w:val="sr-Cyrl-RS"/>
        </w:rPr>
        <w:t>расхода и дефицита су основне разлике у одно</w:t>
      </w:r>
      <w:r>
        <w:rPr>
          <w:rFonts w:cstheme="minorHAnsi"/>
          <w:bCs/>
          <w:szCs w:val="20"/>
          <w:lang w:val="sr-Cyrl-RS"/>
        </w:rPr>
        <w:t>су на претходни документ. У 2021</w:t>
      </w:r>
      <w:r w:rsidRPr="00EA3D8C">
        <w:rPr>
          <w:rFonts w:cstheme="minorHAnsi"/>
          <w:bCs/>
          <w:szCs w:val="20"/>
          <w:lang w:val="sr-Cyrl-RS"/>
        </w:rPr>
        <w:t xml:space="preserve">. години </w:t>
      </w:r>
      <w:r>
        <w:rPr>
          <w:rFonts w:cstheme="minorHAnsi"/>
          <w:bCs/>
          <w:szCs w:val="20"/>
          <w:lang w:val="sr-Cyrl-RS"/>
        </w:rPr>
        <w:t xml:space="preserve">највећу промену је узроковао нови пакет мера на расходној страни, </w:t>
      </w:r>
      <w:r w:rsidRPr="00EA3D8C">
        <w:rPr>
          <w:rFonts w:cstheme="minorHAnsi"/>
          <w:bCs/>
          <w:szCs w:val="20"/>
          <w:lang w:val="sr-Cyrl-RS"/>
        </w:rPr>
        <w:t>пре свега преко значајног улагања у здравствени систем, а онда и преко субвенција и других фискалних стимуланса у циљу ублажавања ефеката криз</w:t>
      </w:r>
      <w:r>
        <w:rPr>
          <w:rFonts w:cstheme="minorHAnsi"/>
          <w:bCs/>
          <w:szCs w:val="20"/>
          <w:lang w:val="sr-Cyrl-RS"/>
        </w:rPr>
        <w:t>е у привреди и код становништва. Осим тога ребалансом републичког буџета је предвиђено и значајно увећање капиталних издатака.</w:t>
      </w:r>
      <w:r w:rsidRPr="00EA3D8C">
        <w:rPr>
          <w:rFonts w:cstheme="minorHAnsi"/>
          <w:bCs/>
          <w:szCs w:val="20"/>
          <w:lang w:val="sr-Cyrl-RS"/>
        </w:rPr>
        <w:t xml:space="preserve"> У наредном периоду расходи ће се постепено </w:t>
      </w:r>
      <w:r>
        <w:rPr>
          <w:rFonts w:cstheme="minorHAnsi"/>
          <w:bCs/>
          <w:szCs w:val="20"/>
          <w:lang w:val="sr-Cyrl-RS"/>
        </w:rPr>
        <w:t>смањивати у смислу учешћа у БДП, с тим да,</w:t>
      </w:r>
      <w:r w:rsidRPr="00EA3D8C">
        <w:rPr>
          <w:rFonts w:cstheme="minorHAnsi"/>
          <w:bCs/>
          <w:szCs w:val="20"/>
          <w:lang w:val="sr-Cyrl-RS"/>
        </w:rPr>
        <w:t xml:space="preserve"> док год траје неизвесност везана за пандемију, биће вођена нешто </w:t>
      </w:r>
      <w:r w:rsidRPr="006239CC">
        <w:rPr>
          <w:rFonts w:cstheme="minorHAnsi"/>
          <w:bCs/>
          <w:szCs w:val="20"/>
          <w:lang w:val="sr-Cyrl-RS"/>
        </w:rPr>
        <w:t>експанзивнија</w:t>
      </w:r>
      <w:r w:rsidRPr="00EA3D8C">
        <w:rPr>
          <w:rFonts w:cstheme="minorHAnsi"/>
          <w:bCs/>
          <w:szCs w:val="20"/>
          <w:lang w:val="sr-Cyrl-RS"/>
        </w:rPr>
        <w:t xml:space="preserve"> фискална политика. </w:t>
      </w:r>
      <w:r>
        <w:rPr>
          <w:rFonts w:cstheme="minorHAnsi"/>
          <w:bCs/>
          <w:szCs w:val="20"/>
          <w:lang w:val="sr-Cyrl-RS"/>
        </w:rPr>
        <w:t xml:space="preserve">План снижавања дефицита је померен за једну годину, тако да је спуштање на ниво од 1% БДП предвиђено за 2024. годину уместо за 2023. како је било предвиђено претходним документом. </w:t>
      </w:r>
      <w:r w:rsidRPr="00EA3D8C">
        <w:rPr>
          <w:rFonts w:cstheme="minorHAnsi"/>
          <w:bCs/>
          <w:szCs w:val="20"/>
          <w:lang w:val="sr-Cyrl-RS"/>
        </w:rPr>
        <w:t>Планирани дефицити омогућавају смањивање учешћа јавног дуга у БДП, а у дугорочном периоду планира се враћање на</w:t>
      </w:r>
      <w:r>
        <w:rPr>
          <w:rFonts w:cstheme="minorHAnsi"/>
          <w:bCs/>
          <w:szCs w:val="20"/>
          <w:lang w:val="sr-Cyrl-RS"/>
        </w:rPr>
        <w:t xml:space="preserve"> ниске нивое</w:t>
      </w:r>
      <w:r w:rsidRPr="00EA3D8C">
        <w:rPr>
          <w:rFonts w:cstheme="minorHAnsi"/>
          <w:bCs/>
          <w:szCs w:val="20"/>
          <w:lang w:val="sr-Cyrl-RS"/>
        </w:rPr>
        <w:t xml:space="preserve"> дефицит</w:t>
      </w:r>
      <w:r>
        <w:rPr>
          <w:rFonts w:cstheme="minorHAnsi"/>
          <w:bCs/>
          <w:szCs w:val="20"/>
          <w:lang w:val="sr-Cyrl-RS"/>
        </w:rPr>
        <w:t>а</w:t>
      </w:r>
      <w:r w:rsidRPr="00EA3D8C">
        <w:rPr>
          <w:rFonts w:cstheme="minorHAnsi"/>
          <w:bCs/>
          <w:szCs w:val="20"/>
          <w:lang w:val="sr-Cyrl-RS"/>
        </w:rPr>
        <w:t>.</w:t>
      </w:r>
    </w:p>
    <w:p w14:paraId="5BF37300" w14:textId="77777777" w:rsidR="00FA5A89" w:rsidRPr="00EA3D8C" w:rsidRDefault="00FA5A89" w:rsidP="005D42AC">
      <w:pPr>
        <w:rPr>
          <w:rFonts w:cstheme="minorHAnsi"/>
          <w:bCs/>
          <w:szCs w:val="20"/>
          <w:lang w:val="sr-Cyrl-RS"/>
        </w:rPr>
        <w:sectPr w:rsidR="00FA5A89" w:rsidRPr="00EA3D8C" w:rsidSect="00AE40EB">
          <w:footerReference w:type="even" r:id="rId125"/>
          <w:footerReference w:type="default" r:id="rId126"/>
          <w:headerReference w:type="first" r:id="rId127"/>
          <w:type w:val="continuous"/>
          <w:pgSz w:w="12240" w:h="15840" w:code="1"/>
          <w:pgMar w:top="1440" w:right="1440" w:bottom="1440" w:left="1440" w:header="720" w:footer="720" w:gutter="0"/>
          <w:cols w:num="2" w:space="720"/>
          <w:docGrid w:linePitch="360"/>
          <w15:footnoteColumns w:val="1"/>
        </w:sectPr>
      </w:pPr>
    </w:p>
    <w:p w14:paraId="258FA064" w14:textId="77777777" w:rsidR="001E3E7D" w:rsidRPr="00EA3D8C" w:rsidRDefault="001E3E7D" w:rsidP="00FA5A89">
      <w:pPr>
        <w:spacing w:before="320" w:after="120"/>
        <w:jc w:val="center"/>
        <w:rPr>
          <w:rFonts w:eastAsia="MS PGothic" w:cstheme="minorHAnsi"/>
          <w:b/>
          <w:color w:val="002060"/>
          <w:szCs w:val="20"/>
          <w:lang w:val="sr-Cyrl-RS" w:eastAsia="ja-JP"/>
        </w:rPr>
      </w:pPr>
      <w:r>
        <w:rPr>
          <w:rFonts w:eastAsia="MS PGothic" w:cstheme="minorHAnsi"/>
          <w:b/>
          <w:color w:val="002060"/>
          <w:szCs w:val="20"/>
          <w:lang w:val="sr-Cyrl-RS" w:eastAsia="ja-JP"/>
        </w:rPr>
        <w:t>Табела 13</w:t>
      </w:r>
      <w:r w:rsidRPr="00EA3D8C">
        <w:rPr>
          <w:rFonts w:eastAsia="MS PGothic" w:cstheme="minorHAnsi"/>
          <w:b/>
          <w:color w:val="002060"/>
          <w:szCs w:val="20"/>
          <w:lang w:val="sr-Cyrl-RS" w:eastAsia="ja-JP"/>
        </w:rPr>
        <w:t>. Поређење фискалних показатеља два програма, у % БДП</w:t>
      </w:r>
    </w:p>
    <w:tbl>
      <w:tblPr>
        <w:tblStyle w:val="ListTable6Colorful-Accent610"/>
        <w:tblW w:w="5000" w:type="pct"/>
        <w:tblLook w:val="04A0" w:firstRow="1" w:lastRow="0" w:firstColumn="1" w:lastColumn="0" w:noHBand="0" w:noVBand="1"/>
      </w:tblPr>
      <w:tblGrid>
        <w:gridCol w:w="2740"/>
        <w:gridCol w:w="1324"/>
        <w:gridCol w:w="1324"/>
        <w:gridCol w:w="1324"/>
        <w:gridCol w:w="1324"/>
        <w:gridCol w:w="1324"/>
      </w:tblGrid>
      <w:tr w:rsidR="001E3E7D" w:rsidRPr="00417419" w14:paraId="60154AE8" w14:textId="77777777" w:rsidTr="00F64301">
        <w:trPr>
          <w:cnfStyle w:val="100000000000" w:firstRow="1" w:lastRow="0" w:firstColumn="0" w:lastColumn="0" w:oddVBand="0" w:evenVBand="0" w:oddHBand="0"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single" w:sz="4" w:space="0" w:color="002060"/>
              <w:bottom w:val="single" w:sz="4" w:space="0" w:color="FFFFFF" w:themeColor="background1"/>
            </w:tcBorders>
            <w:shd w:val="clear" w:color="auto" w:fill="FFFFFF" w:themeFill="background1"/>
            <w:noWrap/>
            <w:hideMark/>
          </w:tcPr>
          <w:p w14:paraId="1208EA8E" w14:textId="77777777" w:rsidR="001E3E7D" w:rsidRPr="00DB116D"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p>
        </w:tc>
        <w:tc>
          <w:tcPr>
            <w:tcW w:w="707" w:type="pct"/>
            <w:tcBorders>
              <w:top w:val="single" w:sz="4" w:space="0" w:color="002060"/>
              <w:bottom w:val="single" w:sz="4" w:space="0" w:color="002060"/>
            </w:tcBorders>
            <w:shd w:val="clear" w:color="auto" w:fill="FFFFFF" w:themeFill="background1"/>
            <w:noWrap/>
            <w:hideMark/>
          </w:tcPr>
          <w:p w14:paraId="7B1B1556" w14:textId="77777777" w:rsidR="001E3E7D" w:rsidRPr="00DB116D" w:rsidRDefault="001E3E7D" w:rsidP="008265F0">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RS"/>
              </w:rPr>
            </w:pPr>
            <w:r w:rsidRPr="00DB116D">
              <w:rPr>
                <w:rFonts w:eastAsia="Times New Roman" w:cstheme="minorHAnsi"/>
                <w:b w:val="0"/>
                <w:color w:val="002060"/>
                <w:sz w:val="18"/>
                <w:szCs w:val="18"/>
                <w:lang w:val="sr-Cyrl-RS"/>
              </w:rPr>
              <w:t>2020</w:t>
            </w:r>
          </w:p>
        </w:tc>
        <w:tc>
          <w:tcPr>
            <w:tcW w:w="707" w:type="pct"/>
            <w:tcBorders>
              <w:top w:val="single" w:sz="4" w:space="0" w:color="002060"/>
              <w:bottom w:val="single" w:sz="4" w:space="0" w:color="002060"/>
            </w:tcBorders>
            <w:shd w:val="clear" w:color="auto" w:fill="FFFFFF" w:themeFill="background1"/>
            <w:noWrap/>
            <w:hideMark/>
          </w:tcPr>
          <w:p w14:paraId="590E7695" w14:textId="77777777" w:rsidR="001E3E7D" w:rsidRPr="00DB116D" w:rsidRDefault="001E3E7D" w:rsidP="008265F0">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RS"/>
              </w:rPr>
            </w:pPr>
            <w:r w:rsidRPr="00DB116D">
              <w:rPr>
                <w:rFonts w:eastAsia="Times New Roman" w:cstheme="minorHAnsi"/>
                <w:b w:val="0"/>
                <w:color w:val="002060"/>
                <w:sz w:val="18"/>
                <w:szCs w:val="18"/>
                <w:lang w:val="sr-Cyrl-RS"/>
              </w:rPr>
              <w:t>2021</w:t>
            </w:r>
          </w:p>
        </w:tc>
        <w:tc>
          <w:tcPr>
            <w:tcW w:w="707" w:type="pct"/>
            <w:tcBorders>
              <w:top w:val="single" w:sz="4" w:space="0" w:color="002060"/>
              <w:bottom w:val="single" w:sz="4" w:space="0" w:color="002060"/>
            </w:tcBorders>
            <w:shd w:val="clear" w:color="auto" w:fill="FFFFFF" w:themeFill="background1"/>
            <w:noWrap/>
            <w:hideMark/>
          </w:tcPr>
          <w:p w14:paraId="1AE8132A" w14:textId="77777777" w:rsidR="001E3E7D" w:rsidRPr="00DB116D" w:rsidRDefault="001E3E7D" w:rsidP="008265F0">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RS"/>
              </w:rPr>
            </w:pPr>
            <w:r w:rsidRPr="00DB116D">
              <w:rPr>
                <w:rFonts w:eastAsia="Times New Roman" w:cstheme="minorHAnsi"/>
                <w:b w:val="0"/>
                <w:color w:val="002060"/>
                <w:sz w:val="18"/>
                <w:szCs w:val="18"/>
                <w:lang w:val="sr-Cyrl-RS"/>
              </w:rPr>
              <w:t>2022</w:t>
            </w:r>
          </w:p>
        </w:tc>
        <w:tc>
          <w:tcPr>
            <w:tcW w:w="707" w:type="pct"/>
            <w:tcBorders>
              <w:top w:val="single" w:sz="4" w:space="0" w:color="002060"/>
              <w:bottom w:val="single" w:sz="4" w:space="0" w:color="002060"/>
            </w:tcBorders>
            <w:shd w:val="clear" w:color="auto" w:fill="FFFFFF" w:themeFill="background1"/>
            <w:noWrap/>
            <w:hideMark/>
          </w:tcPr>
          <w:p w14:paraId="5433EE59" w14:textId="77777777" w:rsidR="001E3E7D" w:rsidRPr="00DB116D" w:rsidRDefault="001E3E7D" w:rsidP="008265F0">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RS"/>
              </w:rPr>
            </w:pPr>
            <w:r w:rsidRPr="00DB116D">
              <w:rPr>
                <w:rFonts w:eastAsia="Times New Roman" w:cstheme="minorHAnsi"/>
                <w:b w:val="0"/>
                <w:color w:val="002060"/>
                <w:sz w:val="18"/>
                <w:szCs w:val="18"/>
                <w:lang w:val="sr-Cyrl-RS"/>
              </w:rPr>
              <w:t>2023</w:t>
            </w:r>
          </w:p>
        </w:tc>
        <w:tc>
          <w:tcPr>
            <w:tcW w:w="707" w:type="pct"/>
            <w:tcBorders>
              <w:top w:val="single" w:sz="4" w:space="0" w:color="002060"/>
              <w:bottom w:val="single" w:sz="4" w:space="0" w:color="002060"/>
            </w:tcBorders>
            <w:shd w:val="clear" w:color="auto" w:fill="FFFFFF" w:themeFill="background1"/>
            <w:noWrap/>
            <w:hideMark/>
          </w:tcPr>
          <w:p w14:paraId="674BC018" w14:textId="77777777" w:rsidR="001E3E7D" w:rsidRPr="00DB116D" w:rsidRDefault="001E3E7D" w:rsidP="008265F0">
            <w:pPr>
              <w:keepNext/>
              <w:widowControl w:val="0"/>
              <w:shd w:val="clear" w:color="auto" w:fill="FFFFFF" w:themeFill="background1"/>
              <w:spacing w:line="276" w:lineRule="auto"/>
              <w:jc w:val="right"/>
              <w:cnfStyle w:val="100000000000" w:firstRow="1" w:lastRow="0" w:firstColumn="0" w:lastColumn="0" w:oddVBand="0" w:evenVBand="0" w:oddHBand="0" w:evenHBand="0" w:firstRowFirstColumn="0" w:firstRowLastColumn="0" w:lastRowFirstColumn="0" w:lastRowLastColumn="0"/>
              <w:rPr>
                <w:rFonts w:eastAsia="Times New Roman" w:cstheme="minorHAnsi"/>
                <w:b w:val="0"/>
                <w:color w:val="002060"/>
                <w:sz w:val="18"/>
                <w:szCs w:val="18"/>
                <w:lang w:val="sr-Cyrl-RS"/>
              </w:rPr>
            </w:pPr>
            <w:r>
              <w:rPr>
                <w:rFonts w:eastAsia="Times New Roman" w:cstheme="minorHAnsi"/>
                <w:b w:val="0"/>
                <w:color w:val="002060"/>
                <w:sz w:val="18"/>
                <w:szCs w:val="18"/>
                <w:lang w:val="sr-Cyrl-RS"/>
              </w:rPr>
              <w:t>2024</w:t>
            </w:r>
          </w:p>
        </w:tc>
      </w:tr>
      <w:tr w:rsidR="001E3E7D" w:rsidRPr="00417419" w14:paraId="42FA4C6C"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single" w:sz="4" w:space="0" w:color="FFFFFF" w:themeColor="background1"/>
            </w:tcBorders>
            <w:shd w:val="clear" w:color="auto" w:fill="FFFFFF" w:themeFill="background1"/>
            <w:noWrap/>
            <w:hideMark/>
          </w:tcPr>
          <w:p w14:paraId="2BE79F97" w14:textId="77777777" w:rsidR="001E3E7D" w:rsidRPr="00CD7EDF" w:rsidRDefault="001E3E7D" w:rsidP="005D42AC">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Фискална стратегија 2021–2023</w:t>
            </w:r>
            <w:r w:rsidRPr="00CD7EDF">
              <w:rPr>
                <w:rStyle w:val="FootnoteReference"/>
                <w:rFonts w:eastAsia="Times New Roman" w:cstheme="minorHAnsi"/>
                <w:b w:val="0"/>
                <w:color w:val="002060"/>
                <w:sz w:val="18"/>
                <w:szCs w:val="18"/>
                <w:lang w:val="sr-Cyrl-RS"/>
              </w:rPr>
              <w:footnoteReference w:id="4"/>
            </w:r>
          </w:p>
        </w:tc>
        <w:tc>
          <w:tcPr>
            <w:tcW w:w="707" w:type="pct"/>
            <w:tcBorders>
              <w:top w:val="single" w:sz="4" w:space="0" w:color="002060"/>
            </w:tcBorders>
            <w:shd w:val="clear" w:color="auto" w:fill="FFFFFF" w:themeFill="background1"/>
            <w:noWrap/>
            <w:hideMark/>
          </w:tcPr>
          <w:p w14:paraId="6FE2409D" w14:textId="77777777" w:rsidR="001E3E7D" w:rsidRPr="00CD7EDF" w:rsidRDefault="001E3E7D" w:rsidP="00C130D2">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top w:val="single" w:sz="4" w:space="0" w:color="002060"/>
            </w:tcBorders>
            <w:shd w:val="clear" w:color="auto" w:fill="FFFFFF" w:themeFill="background1"/>
            <w:noWrap/>
            <w:hideMark/>
          </w:tcPr>
          <w:p w14:paraId="55D5C24B" w14:textId="77777777" w:rsidR="001E3E7D" w:rsidRPr="00CD7EDF" w:rsidRDefault="001E3E7D" w:rsidP="00C130D2">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top w:val="single" w:sz="4" w:space="0" w:color="002060"/>
            </w:tcBorders>
            <w:shd w:val="clear" w:color="auto" w:fill="FFFFFF" w:themeFill="background1"/>
            <w:noWrap/>
            <w:hideMark/>
          </w:tcPr>
          <w:p w14:paraId="048B8972" w14:textId="77777777" w:rsidR="001E3E7D" w:rsidRPr="00CD7EDF" w:rsidRDefault="001E3E7D" w:rsidP="00C130D2">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top w:val="single" w:sz="4" w:space="0" w:color="002060"/>
            </w:tcBorders>
            <w:shd w:val="clear" w:color="auto" w:fill="FFFFFF" w:themeFill="background1"/>
            <w:noWrap/>
            <w:hideMark/>
          </w:tcPr>
          <w:p w14:paraId="782497DA" w14:textId="77777777" w:rsidR="001E3E7D" w:rsidRPr="00CD7EDF" w:rsidRDefault="001E3E7D" w:rsidP="00C130D2">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top w:val="single" w:sz="4" w:space="0" w:color="002060"/>
            </w:tcBorders>
            <w:shd w:val="clear" w:color="auto" w:fill="FFFFFF" w:themeFill="background1"/>
            <w:noWrap/>
            <w:hideMark/>
          </w:tcPr>
          <w:p w14:paraId="2EE2844D" w14:textId="77777777" w:rsidR="001E3E7D" w:rsidRPr="00CD7EDF" w:rsidRDefault="001E3E7D" w:rsidP="00C130D2">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r>
      <w:tr w:rsidR="001E3E7D" w:rsidRPr="00417419" w14:paraId="4049A4E6"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1752ABE5"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Приходи</w:t>
            </w:r>
          </w:p>
        </w:tc>
        <w:tc>
          <w:tcPr>
            <w:tcW w:w="707" w:type="pct"/>
            <w:shd w:val="clear" w:color="auto" w:fill="FFFFFF" w:themeFill="background1"/>
            <w:noWrap/>
            <w:hideMark/>
          </w:tcPr>
          <w:p w14:paraId="59992FCE"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40,7</w:t>
            </w:r>
          </w:p>
        </w:tc>
        <w:tc>
          <w:tcPr>
            <w:tcW w:w="707" w:type="pct"/>
            <w:shd w:val="clear" w:color="auto" w:fill="FFFFFF" w:themeFill="background1"/>
            <w:noWrap/>
            <w:hideMark/>
          </w:tcPr>
          <w:p w14:paraId="64CBD3D7"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40,8</w:t>
            </w:r>
          </w:p>
        </w:tc>
        <w:tc>
          <w:tcPr>
            <w:tcW w:w="707" w:type="pct"/>
            <w:shd w:val="clear" w:color="auto" w:fill="FFFFFF" w:themeFill="background1"/>
            <w:noWrap/>
            <w:hideMark/>
          </w:tcPr>
          <w:p w14:paraId="7A8ACF6B"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40,9</w:t>
            </w:r>
          </w:p>
        </w:tc>
        <w:tc>
          <w:tcPr>
            <w:tcW w:w="707" w:type="pct"/>
            <w:shd w:val="clear" w:color="auto" w:fill="FFFFFF" w:themeFill="background1"/>
            <w:noWrap/>
            <w:hideMark/>
          </w:tcPr>
          <w:p w14:paraId="3A4446CA"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color w:val="002060"/>
                <w:sz w:val="18"/>
                <w:szCs w:val="18"/>
              </w:rPr>
              <w:t>40,1</w:t>
            </w:r>
          </w:p>
        </w:tc>
        <w:tc>
          <w:tcPr>
            <w:tcW w:w="707" w:type="pct"/>
            <w:shd w:val="clear" w:color="auto" w:fill="FFFFFF" w:themeFill="background1"/>
            <w:noWrap/>
            <w:hideMark/>
          </w:tcPr>
          <w:p w14:paraId="685C843A"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w:t>
            </w:r>
          </w:p>
        </w:tc>
      </w:tr>
      <w:tr w:rsidR="001E3E7D" w:rsidRPr="00417419" w14:paraId="3BAFD567"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6447E0BF"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Расходи</w:t>
            </w:r>
          </w:p>
        </w:tc>
        <w:tc>
          <w:tcPr>
            <w:tcW w:w="707" w:type="pct"/>
            <w:shd w:val="clear" w:color="auto" w:fill="FFFFFF" w:themeFill="background1"/>
            <w:noWrap/>
            <w:hideMark/>
          </w:tcPr>
          <w:p w14:paraId="3485ED62"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49,7</w:t>
            </w:r>
          </w:p>
        </w:tc>
        <w:tc>
          <w:tcPr>
            <w:tcW w:w="707" w:type="pct"/>
            <w:shd w:val="clear" w:color="auto" w:fill="FFFFFF" w:themeFill="background1"/>
            <w:noWrap/>
            <w:hideMark/>
          </w:tcPr>
          <w:p w14:paraId="10F094F5"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43,8</w:t>
            </w:r>
          </w:p>
        </w:tc>
        <w:tc>
          <w:tcPr>
            <w:tcW w:w="707" w:type="pct"/>
            <w:shd w:val="clear" w:color="auto" w:fill="FFFFFF" w:themeFill="background1"/>
            <w:noWrap/>
            <w:hideMark/>
          </w:tcPr>
          <w:p w14:paraId="788F3200"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42,5</w:t>
            </w:r>
          </w:p>
        </w:tc>
        <w:tc>
          <w:tcPr>
            <w:tcW w:w="707" w:type="pct"/>
            <w:shd w:val="clear" w:color="auto" w:fill="FFFFFF" w:themeFill="background1"/>
            <w:noWrap/>
            <w:hideMark/>
          </w:tcPr>
          <w:p w14:paraId="287E1047"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color w:val="002060"/>
                <w:sz w:val="18"/>
                <w:szCs w:val="18"/>
              </w:rPr>
              <w:t>41,2</w:t>
            </w:r>
          </w:p>
        </w:tc>
        <w:tc>
          <w:tcPr>
            <w:tcW w:w="707" w:type="pct"/>
            <w:shd w:val="clear" w:color="auto" w:fill="FFFFFF" w:themeFill="background1"/>
            <w:noWrap/>
            <w:hideMark/>
          </w:tcPr>
          <w:p w14:paraId="07434B63"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w:t>
            </w:r>
          </w:p>
        </w:tc>
      </w:tr>
      <w:tr w:rsidR="001E3E7D" w:rsidRPr="00417419" w14:paraId="0951393F"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639AB259"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Резултат</w:t>
            </w:r>
          </w:p>
        </w:tc>
        <w:tc>
          <w:tcPr>
            <w:tcW w:w="707" w:type="pct"/>
            <w:shd w:val="clear" w:color="auto" w:fill="FFFFFF" w:themeFill="background1"/>
            <w:noWrap/>
            <w:hideMark/>
          </w:tcPr>
          <w:p w14:paraId="40B8E9AE"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color w:val="002060"/>
                <w:sz w:val="18"/>
                <w:szCs w:val="18"/>
                <w:lang w:val="sr-Cyrl-RS"/>
              </w:rPr>
              <w:t>-</w:t>
            </w:r>
            <w:r w:rsidRPr="00CD7EDF">
              <w:rPr>
                <w:rFonts w:eastAsia="Times New Roman" w:cstheme="minorHAnsi"/>
                <w:color w:val="002060"/>
                <w:sz w:val="18"/>
                <w:szCs w:val="18"/>
              </w:rPr>
              <w:t>9,0</w:t>
            </w:r>
          </w:p>
        </w:tc>
        <w:tc>
          <w:tcPr>
            <w:tcW w:w="707" w:type="pct"/>
            <w:shd w:val="clear" w:color="auto" w:fill="FFFFFF" w:themeFill="background1"/>
            <w:noWrap/>
            <w:hideMark/>
          </w:tcPr>
          <w:p w14:paraId="10E9A0E4"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-3,0</w:t>
            </w:r>
          </w:p>
        </w:tc>
        <w:tc>
          <w:tcPr>
            <w:tcW w:w="707" w:type="pct"/>
            <w:shd w:val="clear" w:color="auto" w:fill="FFFFFF" w:themeFill="background1"/>
            <w:noWrap/>
            <w:hideMark/>
          </w:tcPr>
          <w:p w14:paraId="6DCDF4C9"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color w:val="002060"/>
                <w:sz w:val="18"/>
                <w:szCs w:val="18"/>
                <w:lang w:val="sr-Cyrl-RS"/>
              </w:rPr>
              <w:t>-1,</w:t>
            </w:r>
            <w:r w:rsidRPr="00CD7EDF">
              <w:rPr>
                <w:rFonts w:eastAsia="Times New Roman" w:cstheme="minorHAnsi"/>
                <w:color w:val="002060"/>
                <w:sz w:val="18"/>
                <w:szCs w:val="18"/>
              </w:rPr>
              <w:t>7</w:t>
            </w:r>
          </w:p>
        </w:tc>
        <w:tc>
          <w:tcPr>
            <w:tcW w:w="707" w:type="pct"/>
            <w:shd w:val="clear" w:color="auto" w:fill="FFFFFF" w:themeFill="background1"/>
            <w:noWrap/>
            <w:hideMark/>
          </w:tcPr>
          <w:p w14:paraId="1134B86F"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-1,1</w:t>
            </w:r>
          </w:p>
        </w:tc>
        <w:tc>
          <w:tcPr>
            <w:tcW w:w="707" w:type="pct"/>
            <w:shd w:val="clear" w:color="auto" w:fill="FFFFFF" w:themeFill="background1"/>
            <w:noWrap/>
            <w:hideMark/>
          </w:tcPr>
          <w:p w14:paraId="2E944614"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w:t>
            </w:r>
          </w:p>
        </w:tc>
      </w:tr>
      <w:tr w:rsidR="001E3E7D" w:rsidRPr="00417419" w14:paraId="56719CFE"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0C0DE069"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Фискална стратегија 2022–2024</w:t>
            </w:r>
          </w:p>
        </w:tc>
        <w:tc>
          <w:tcPr>
            <w:tcW w:w="707" w:type="pct"/>
            <w:shd w:val="clear" w:color="auto" w:fill="FFFFFF" w:themeFill="background1"/>
            <w:noWrap/>
            <w:hideMark/>
          </w:tcPr>
          <w:p w14:paraId="0B66CA4E"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shd w:val="clear" w:color="auto" w:fill="FFFFFF" w:themeFill="background1"/>
            <w:noWrap/>
            <w:hideMark/>
          </w:tcPr>
          <w:p w14:paraId="016BC19F"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bottom w:val="nil"/>
            </w:tcBorders>
            <w:shd w:val="clear" w:color="auto" w:fill="FFFFFF" w:themeFill="background1"/>
            <w:noWrap/>
            <w:hideMark/>
          </w:tcPr>
          <w:p w14:paraId="1DEF957B"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bottom w:val="nil"/>
            </w:tcBorders>
            <w:shd w:val="clear" w:color="auto" w:fill="FFFFFF" w:themeFill="background1"/>
            <w:noWrap/>
            <w:hideMark/>
          </w:tcPr>
          <w:p w14:paraId="0B464350"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tcBorders>
              <w:bottom w:val="nil"/>
            </w:tcBorders>
            <w:shd w:val="clear" w:color="auto" w:fill="FFFFFF" w:themeFill="background1"/>
            <w:noWrap/>
            <w:hideMark/>
          </w:tcPr>
          <w:p w14:paraId="219118D0"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r>
      <w:tr w:rsidR="001E3E7D" w:rsidRPr="00417419" w14:paraId="65958CF0"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5FA0B206"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Приходи</w:t>
            </w:r>
          </w:p>
        </w:tc>
        <w:tc>
          <w:tcPr>
            <w:tcW w:w="707" w:type="pct"/>
            <w:shd w:val="clear" w:color="auto" w:fill="FFFFFF" w:themeFill="background1"/>
            <w:noWrap/>
            <w:hideMark/>
          </w:tcPr>
          <w:p w14:paraId="32DA67FF"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41,3</w:t>
            </w:r>
          </w:p>
        </w:tc>
        <w:tc>
          <w:tcPr>
            <w:tcW w:w="707" w:type="pct"/>
            <w:shd w:val="clear" w:color="auto" w:fill="FFFFFF" w:themeFill="background1"/>
            <w:noWrap/>
            <w:hideMark/>
          </w:tcPr>
          <w:p w14:paraId="7FD476FA"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41,8</w:t>
            </w:r>
          </w:p>
        </w:tc>
        <w:tc>
          <w:tcPr>
            <w:tcW w:w="707" w:type="pct"/>
            <w:tcBorders>
              <w:top w:val="nil"/>
              <w:bottom w:val="nil"/>
            </w:tcBorders>
            <w:shd w:val="clear" w:color="auto" w:fill="auto"/>
            <w:noWrap/>
            <w:vAlign w:val="center"/>
            <w:hideMark/>
          </w:tcPr>
          <w:p w14:paraId="14E550C1"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41,8</w:t>
            </w:r>
          </w:p>
        </w:tc>
        <w:tc>
          <w:tcPr>
            <w:tcW w:w="707" w:type="pct"/>
            <w:tcBorders>
              <w:top w:val="nil"/>
              <w:bottom w:val="nil"/>
            </w:tcBorders>
            <w:shd w:val="clear" w:color="auto" w:fill="auto"/>
            <w:noWrap/>
            <w:vAlign w:val="center"/>
            <w:hideMark/>
          </w:tcPr>
          <w:p w14:paraId="3C57C060"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40,8</w:t>
            </w:r>
          </w:p>
        </w:tc>
        <w:tc>
          <w:tcPr>
            <w:tcW w:w="707" w:type="pct"/>
            <w:tcBorders>
              <w:top w:val="nil"/>
              <w:bottom w:val="nil"/>
            </w:tcBorders>
            <w:shd w:val="clear" w:color="auto" w:fill="auto"/>
            <w:noWrap/>
            <w:vAlign w:val="center"/>
            <w:hideMark/>
          </w:tcPr>
          <w:p w14:paraId="0D7BE890"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40,6</w:t>
            </w:r>
          </w:p>
        </w:tc>
      </w:tr>
      <w:tr w:rsidR="001E3E7D" w:rsidRPr="00417419" w14:paraId="7140A3E5"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354CCEF8"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Расходи</w:t>
            </w:r>
          </w:p>
        </w:tc>
        <w:tc>
          <w:tcPr>
            <w:tcW w:w="707" w:type="pct"/>
            <w:shd w:val="clear" w:color="auto" w:fill="FFFFFF" w:themeFill="background1"/>
            <w:noWrap/>
            <w:hideMark/>
          </w:tcPr>
          <w:p w14:paraId="5EACDCA1"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49,4</w:t>
            </w:r>
          </w:p>
        </w:tc>
        <w:tc>
          <w:tcPr>
            <w:tcW w:w="707" w:type="pct"/>
            <w:shd w:val="clear" w:color="auto" w:fill="FFFFFF" w:themeFill="background1"/>
            <w:noWrap/>
            <w:hideMark/>
          </w:tcPr>
          <w:p w14:paraId="2898F2D8"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48,7</w:t>
            </w:r>
          </w:p>
        </w:tc>
        <w:tc>
          <w:tcPr>
            <w:tcW w:w="707" w:type="pct"/>
            <w:tcBorders>
              <w:top w:val="nil"/>
            </w:tcBorders>
            <w:shd w:val="clear" w:color="auto" w:fill="auto"/>
            <w:noWrap/>
            <w:vAlign w:val="center"/>
            <w:hideMark/>
          </w:tcPr>
          <w:p w14:paraId="0EA90098"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44,7</w:t>
            </w:r>
          </w:p>
        </w:tc>
        <w:tc>
          <w:tcPr>
            <w:tcW w:w="707" w:type="pct"/>
            <w:tcBorders>
              <w:top w:val="nil"/>
            </w:tcBorders>
            <w:shd w:val="clear" w:color="auto" w:fill="auto"/>
            <w:noWrap/>
            <w:vAlign w:val="center"/>
            <w:hideMark/>
          </w:tcPr>
          <w:p w14:paraId="04887C92"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42,4</w:t>
            </w:r>
          </w:p>
        </w:tc>
        <w:tc>
          <w:tcPr>
            <w:tcW w:w="707" w:type="pct"/>
            <w:tcBorders>
              <w:top w:val="nil"/>
            </w:tcBorders>
            <w:shd w:val="clear" w:color="auto" w:fill="auto"/>
            <w:noWrap/>
            <w:vAlign w:val="center"/>
            <w:hideMark/>
          </w:tcPr>
          <w:p w14:paraId="031FAD1B"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cstheme="minorHAnsi"/>
                <w:color w:val="002060"/>
                <w:sz w:val="18"/>
                <w:szCs w:val="18"/>
                <w:lang w:val="sr-Cyrl-RS"/>
              </w:rPr>
              <w:t>41,6</w:t>
            </w:r>
          </w:p>
        </w:tc>
      </w:tr>
      <w:tr w:rsidR="001E3E7D" w:rsidRPr="00417419" w14:paraId="1C218BA5"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57DC8626"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Резултат</w:t>
            </w:r>
          </w:p>
        </w:tc>
        <w:tc>
          <w:tcPr>
            <w:tcW w:w="707" w:type="pct"/>
            <w:shd w:val="clear" w:color="auto" w:fill="FFFFFF" w:themeFill="background1"/>
            <w:noWrap/>
            <w:hideMark/>
          </w:tcPr>
          <w:p w14:paraId="4213373F"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-8,1</w:t>
            </w:r>
          </w:p>
        </w:tc>
        <w:tc>
          <w:tcPr>
            <w:tcW w:w="707" w:type="pct"/>
            <w:shd w:val="clear" w:color="auto" w:fill="FFFFFF" w:themeFill="background1"/>
            <w:noWrap/>
            <w:hideMark/>
          </w:tcPr>
          <w:p w14:paraId="763B44C0"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-6,9</w:t>
            </w:r>
          </w:p>
        </w:tc>
        <w:tc>
          <w:tcPr>
            <w:tcW w:w="707" w:type="pct"/>
            <w:shd w:val="clear" w:color="auto" w:fill="FFFFFF" w:themeFill="background1"/>
            <w:noWrap/>
            <w:hideMark/>
          </w:tcPr>
          <w:p w14:paraId="5AC963EC"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-3,0</w:t>
            </w:r>
          </w:p>
        </w:tc>
        <w:tc>
          <w:tcPr>
            <w:tcW w:w="707" w:type="pct"/>
            <w:shd w:val="clear" w:color="auto" w:fill="FFFFFF" w:themeFill="background1"/>
            <w:noWrap/>
            <w:hideMark/>
          </w:tcPr>
          <w:p w14:paraId="7B0B3D68"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-1,5</w:t>
            </w:r>
          </w:p>
        </w:tc>
        <w:tc>
          <w:tcPr>
            <w:tcW w:w="707" w:type="pct"/>
            <w:shd w:val="clear" w:color="auto" w:fill="FFFFFF" w:themeFill="background1"/>
            <w:noWrap/>
            <w:hideMark/>
          </w:tcPr>
          <w:p w14:paraId="793FB577"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color w:val="002060"/>
                <w:sz w:val="18"/>
                <w:szCs w:val="18"/>
                <w:lang w:val="sr-Cyrl-RS"/>
              </w:rPr>
              <w:t>-1,0</w:t>
            </w:r>
          </w:p>
        </w:tc>
      </w:tr>
      <w:tr w:rsidR="001E3E7D" w:rsidRPr="00417419" w14:paraId="46E140BD"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4DF704B2"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Разлика</w:t>
            </w:r>
          </w:p>
        </w:tc>
        <w:tc>
          <w:tcPr>
            <w:tcW w:w="707" w:type="pct"/>
            <w:shd w:val="clear" w:color="auto" w:fill="FFFFFF" w:themeFill="background1"/>
            <w:noWrap/>
            <w:hideMark/>
          </w:tcPr>
          <w:p w14:paraId="187BECA5"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shd w:val="clear" w:color="auto" w:fill="FFFFFF" w:themeFill="background1"/>
            <w:noWrap/>
            <w:hideMark/>
          </w:tcPr>
          <w:p w14:paraId="65323075"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shd w:val="clear" w:color="auto" w:fill="FFFFFF" w:themeFill="background1"/>
            <w:noWrap/>
            <w:hideMark/>
          </w:tcPr>
          <w:p w14:paraId="5179F363"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shd w:val="clear" w:color="auto" w:fill="FFFFFF" w:themeFill="background1"/>
            <w:noWrap/>
            <w:hideMark/>
          </w:tcPr>
          <w:p w14:paraId="4E7AF29B"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c>
          <w:tcPr>
            <w:tcW w:w="707" w:type="pct"/>
            <w:shd w:val="clear" w:color="auto" w:fill="FFFFFF" w:themeFill="background1"/>
            <w:noWrap/>
            <w:hideMark/>
          </w:tcPr>
          <w:p w14:paraId="5DBA15C0"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p>
        </w:tc>
      </w:tr>
      <w:tr w:rsidR="001E3E7D" w:rsidRPr="00417419" w14:paraId="3DF86CA4"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shd w:val="clear" w:color="auto" w:fill="FFFFFF" w:themeFill="background1"/>
            <w:noWrap/>
            <w:hideMark/>
          </w:tcPr>
          <w:p w14:paraId="4A7D7245"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Приходи</w:t>
            </w:r>
          </w:p>
        </w:tc>
        <w:tc>
          <w:tcPr>
            <w:tcW w:w="707" w:type="pct"/>
            <w:shd w:val="clear" w:color="auto" w:fill="FFFFFF" w:themeFill="background1"/>
            <w:noWrap/>
            <w:hideMark/>
          </w:tcPr>
          <w:p w14:paraId="49959237"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lang w:val="sr-Cyrl-RS"/>
              </w:rPr>
              <w:t>0,</w:t>
            </w:r>
            <w:r w:rsidRPr="00CD7EDF">
              <w:rPr>
                <w:rFonts w:eastAsia="Times New Roman" w:cstheme="minorHAnsi"/>
                <w:bCs/>
                <w:color w:val="002060"/>
                <w:sz w:val="18"/>
                <w:szCs w:val="18"/>
              </w:rPr>
              <w:t>6</w:t>
            </w:r>
          </w:p>
        </w:tc>
        <w:tc>
          <w:tcPr>
            <w:tcW w:w="707" w:type="pct"/>
            <w:shd w:val="clear" w:color="auto" w:fill="FFFFFF" w:themeFill="background1"/>
            <w:noWrap/>
            <w:hideMark/>
          </w:tcPr>
          <w:p w14:paraId="0A1716F5"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1,0</w:t>
            </w:r>
          </w:p>
        </w:tc>
        <w:tc>
          <w:tcPr>
            <w:tcW w:w="707" w:type="pct"/>
            <w:shd w:val="clear" w:color="auto" w:fill="FFFFFF" w:themeFill="background1"/>
            <w:noWrap/>
            <w:hideMark/>
          </w:tcPr>
          <w:p w14:paraId="32D879B7"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rPr>
              <w:t>0,9</w:t>
            </w:r>
          </w:p>
        </w:tc>
        <w:tc>
          <w:tcPr>
            <w:tcW w:w="707" w:type="pct"/>
            <w:shd w:val="clear" w:color="auto" w:fill="FFFFFF" w:themeFill="background1"/>
            <w:noWrap/>
            <w:hideMark/>
          </w:tcPr>
          <w:p w14:paraId="35C22A9D"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rPr>
              <w:t>0,7</w:t>
            </w:r>
          </w:p>
        </w:tc>
        <w:tc>
          <w:tcPr>
            <w:tcW w:w="707" w:type="pct"/>
            <w:shd w:val="clear" w:color="auto" w:fill="FFFFFF" w:themeFill="background1"/>
            <w:noWrap/>
            <w:hideMark/>
          </w:tcPr>
          <w:p w14:paraId="74E9874C"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w:t>
            </w:r>
          </w:p>
        </w:tc>
      </w:tr>
      <w:tr w:rsidR="001E3E7D" w:rsidRPr="00417419" w14:paraId="54280CBF" w14:textId="77777777" w:rsidTr="00F64301">
        <w:trPr>
          <w:cnfStyle w:val="000000100000" w:firstRow="0" w:lastRow="0" w:firstColumn="0" w:lastColumn="0" w:oddVBand="0" w:evenVBand="0" w:oddHBand="1" w:evenHBand="0" w:firstRowFirstColumn="0" w:firstRowLastColumn="0" w:lastRowFirstColumn="0" w:lastRowLastColumn="0"/>
          <w:trHeight w:val="241"/>
        </w:trPr>
        <w:tc>
          <w:tcPr>
            <w:cnfStyle w:val="001000000000" w:firstRow="0" w:lastRow="0" w:firstColumn="1" w:lastColumn="0" w:oddVBand="0" w:evenVBand="0" w:oddHBand="0" w:evenHBand="0" w:firstRowFirstColumn="0" w:firstRowLastColumn="0" w:lastRowFirstColumn="0" w:lastRowLastColumn="0"/>
            <w:tcW w:w="1464" w:type="pct"/>
            <w:tcBorders>
              <w:bottom w:val="nil"/>
            </w:tcBorders>
            <w:shd w:val="clear" w:color="auto" w:fill="FFFFFF" w:themeFill="background1"/>
            <w:noWrap/>
            <w:hideMark/>
          </w:tcPr>
          <w:p w14:paraId="7E6C9722"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Расходи</w:t>
            </w:r>
          </w:p>
        </w:tc>
        <w:tc>
          <w:tcPr>
            <w:tcW w:w="707" w:type="pct"/>
            <w:tcBorders>
              <w:bottom w:val="nil"/>
            </w:tcBorders>
            <w:shd w:val="clear" w:color="auto" w:fill="FFFFFF" w:themeFill="background1"/>
            <w:noWrap/>
            <w:hideMark/>
          </w:tcPr>
          <w:p w14:paraId="26EEDF1A"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rPr>
              <w:t>-</w:t>
            </w:r>
            <w:r w:rsidRPr="00CD7EDF">
              <w:rPr>
                <w:rFonts w:eastAsia="Times New Roman" w:cstheme="minorHAnsi"/>
                <w:bCs/>
                <w:color w:val="002060"/>
                <w:sz w:val="18"/>
                <w:szCs w:val="18"/>
                <w:lang w:val="sr-Cyrl-RS"/>
              </w:rPr>
              <w:t>0,2</w:t>
            </w:r>
          </w:p>
        </w:tc>
        <w:tc>
          <w:tcPr>
            <w:tcW w:w="707" w:type="pct"/>
            <w:tcBorders>
              <w:bottom w:val="nil"/>
            </w:tcBorders>
            <w:shd w:val="clear" w:color="auto" w:fill="FFFFFF" w:themeFill="background1"/>
            <w:noWrap/>
            <w:hideMark/>
          </w:tcPr>
          <w:p w14:paraId="34F1A3B7"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rPr>
              <w:t>4,9</w:t>
            </w:r>
          </w:p>
        </w:tc>
        <w:tc>
          <w:tcPr>
            <w:tcW w:w="707" w:type="pct"/>
            <w:tcBorders>
              <w:bottom w:val="nil"/>
            </w:tcBorders>
            <w:shd w:val="clear" w:color="auto" w:fill="FFFFFF" w:themeFill="background1"/>
            <w:noWrap/>
            <w:hideMark/>
          </w:tcPr>
          <w:p w14:paraId="352270F5"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rPr>
              <w:t>2,2</w:t>
            </w:r>
          </w:p>
        </w:tc>
        <w:tc>
          <w:tcPr>
            <w:tcW w:w="707" w:type="pct"/>
            <w:tcBorders>
              <w:bottom w:val="nil"/>
            </w:tcBorders>
            <w:shd w:val="clear" w:color="auto" w:fill="FFFFFF" w:themeFill="background1"/>
            <w:noWrap/>
            <w:hideMark/>
          </w:tcPr>
          <w:p w14:paraId="055439CE"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rPr>
            </w:pPr>
            <w:r w:rsidRPr="00CD7EDF">
              <w:rPr>
                <w:rFonts w:eastAsia="Times New Roman" w:cstheme="minorHAnsi"/>
                <w:bCs/>
                <w:color w:val="002060"/>
                <w:sz w:val="18"/>
                <w:szCs w:val="18"/>
                <w:lang w:val="sr-Cyrl-RS"/>
              </w:rPr>
              <w:t>1,</w:t>
            </w:r>
            <w:r w:rsidRPr="00CD7EDF">
              <w:rPr>
                <w:rFonts w:eastAsia="Times New Roman" w:cstheme="minorHAnsi"/>
                <w:bCs/>
                <w:color w:val="002060"/>
                <w:sz w:val="18"/>
                <w:szCs w:val="18"/>
              </w:rPr>
              <w:t>2</w:t>
            </w:r>
          </w:p>
        </w:tc>
        <w:tc>
          <w:tcPr>
            <w:tcW w:w="707" w:type="pct"/>
            <w:tcBorders>
              <w:bottom w:val="nil"/>
            </w:tcBorders>
            <w:shd w:val="clear" w:color="auto" w:fill="FFFFFF" w:themeFill="background1"/>
            <w:noWrap/>
            <w:hideMark/>
          </w:tcPr>
          <w:p w14:paraId="0B3A3C4D" w14:textId="77777777" w:rsidR="001E3E7D" w:rsidRPr="00CD7EDF" w:rsidRDefault="001E3E7D" w:rsidP="008265F0">
            <w:pPr>
              <w:keepNext/>
              <w:widowControl w:val="0"/>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w:t>
            </w:r>
          </w:p>
        </w:tc>
      </w:tr>
      <w:tr w:rsidR="001E3E7D" w:rsidRPr="00417419" w14:paraId="290CF5AC" w14:textId="77777777" w:rsidTr="00F64301">
        <w:trPr>
          <w:trHeight w:val="241"/>
        </w:trPr>
        <w:tc>
          <w:tcPr>
            <w:cnfStyle w:val="001000000000" w:firstRow="0" w:lastRow="0" w:firstColumn="1" w:lastColumn="0" w:oddVBand="0" w:evenVBand="0" w:oddHBand="0" w:evenHBand="0" w:firstRowFirstColumn="0" w:firstRowLastColumn="0" w:lastRowFirstColumn="0" w:lastRowLastColumn="0"/>
            <w:tcW w:w="1464" w:type="pct"/>
            <w:tcBorders>
              <w:top w:val="nil"/>
              <w:bottom w:val="single" w:sz="4" w:space="0" w:color="002060"/>
            </w:tcBorders>
            <w:shd w:val="clear" w:color="auto" w:fill="FFFFFF" w:themeFill="background1"/>
            <w:noWrap/>
            <w:hideMark/>
          </w:tcPr>
          <w:p w14:paraId="1F7DCCC3" w14:textId="77777777" w:rsidR="001E3E7D" w:rsidRPr="00CD7EDF" w:rsidRDefault="001E3E7D" w:rsidP="008265F0">
            <w:pPr>
              <w:keepNext/>
              <w:widowControl w:val="0"/>
              <w:shd w:val="clear" w:color="auto" w:fill="FFFFFF" w:themeFill="background1"/>
              <w:spacing w:line="276" w:lineRule="auto"/>
              <w:rPr>
                <w:rFonts w:eastAsia="Times New Roman" w:cstheme="minorHAnsi"/>
                <w:b w:val="0"/>
                <w:color w:val="002060"/>
                <w:sz w:val="18"/>
                <w:szCs w:val="18"/>
                <w:lang w:val="sr-Cyrl-RS"/>
              </w:rPr>
            </w:pPr>
            <w:r w:rsidRPr="00CD7EDF">
              <w:rPr>
                <w:rFonts w:eastAsia="Times New Roman" w:cstheme="minorHAnsi"/>
                <w:b w:val="0"/>
                <w:color w:val="002060"/>
                <w:sz w:val="18"/>
                <w:szCs w:val="18"/>
                <w:lang w:val="sr-Cyrl-RS"/>
              </w:rPr>
              <w:t>Резултат</w:t>
            </w:r>
          </w:p>
        </w:tc>
        <w:tc>
          <w:tcPr>
            <w:tcW w:w="707" w:type="pct"/>
            <w:tcBorders>
              <w:top w:val="nil"/>
              <w:bottom w:val="single" w:sz="4" w:space="0" w:color="002060"/>
            </w:tcBorders>
            <w:shd w:val="clear" w:color="auto" w:fill="FFFFFF" w:themeFill="background1"/>
            <w:noWrap/>
            <w:hideMark/>
          </w:tcPr>
          <w:p w14:paraId="3825125B"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0,8</w:t>
            </w:r>
          </w:p>
        </w:tc>
        <w:tc>
          <w:tcPr>
            <w:tcW w:w="707" w:type="pct"/>
            <w:tcBorders>
              <w:top w:val="nil"/>
              <w:bottom w:val="single" w:sz="4" w:space="0" w:color="002060"/>
            </w:tcBorders>
            <w:shd w:val="clear" w:color="auto" w:fill="FFFFFF" w:themeFill="background1"/>
            <w:noWrap/>
            <w:hideMark/>
          </w:tcPr>
          <w:p w14:paraId="013E0BC6"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-3,9</w:t>
            </w:r>
          </w:p>
        </w:tc>
        <w:tc>
          <w:tcPr>
            <w:tcW w:w="707" w:type="pct"/>
            <w:tcBorders>
              <w:top w:val="nil"/>
              <w:bottom w:val="single" w:sz="4" w:space="0" w:color="002060"/>
            </w:tcBorders>
            <w:shd w:val="clear" w:color="auto" w:fill="FFFFFF" w:themeFill="background1"/>
            <w:noWrap/>
            <w:hideMark/>
          </w:tcPr>
          <w:p w14:paraId="44564ED2"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-1,3</w:t>
            </w:r>
          </w:p>
        </w:tc>
        <w:tc>
          <w:tcPr>
            <w:tcW w:w="707" w:type="pct"/>
            <w:tcBorders>
              <w:top w:val="nil"/>
              <w:bottom w:val="single" w:sz="4" w:space="0" w:color="002060"/>
            </w:tcBorders>
            <w:shd w:val="clear" w:color="auto" w:fill="FFFFFF" w:themeFill="background1"/>
            <w:noWrap/>
            <w:hideMark/>
          </w:tcPr>
          <w:p w14:paraId="3E1AA85B"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-0,5</w:t>
            </w:r>
          </w:p>
        </w:tc>
        <w:tc>
          <w:tcPr>
            <w:tcW w:w="707" w:type="pct"/>
            <w:tcBorders>
              <w:top w:val="nil"/>
              <w:bottom w:val="single" w:sz="4" w:space="0" w:color="002060"/>
            </w:tcBorders>
            <w:shd w:val="clear" w:color="auto" w:fill="FFFFFF" w:themeFill="background1"/>
            <w:noWrap/>
            <w:hideMark/>
          </w:tcPr>
          <w:p w14:paraId="1FB976BD" w14:textId="77777777" w:rsidR="001E3E7D" w:rsidRPr="00CD7EDF" w:rsidRDefault="001E3E7D" w:rsidP="008265F0">
            <w:pPr>
              <w:keepNext/>
              <w:widowControl w:val="0"/>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2060"/>
                <w:sz w:val="18"/>
                <w:szCs w:val="18"/>
                <w:lang w:val="sr-Cyrl-RS"/>
              </w:rPr>
            </w:pPr>
            <w:r w:rsidRPr="00CD7EDF">
              <w:rPr>
                <w:rFonts w:eastAsia="Times New Roman" w:cstheme="minorHAnsi"/>
                <w:bCs/>
                <w:color w:val="002060"/>
                <w:sz w:val="18"/>
                <w:szCs w:val="18"/>
                <w:lang w:val="sr-Cyrl-RS"/>
              </w:rPr>
              <w:t>–</w:t>
            </w:r>
          </w:p>
        </w:tc>
      </w:tr>
    </w:tbl>
    <w:p w14:paraId="7139861F" w14:textId="77777777" w:rsidR="001E3E7D" w:rsidRPr="00EA3D8C" w:rsidRDefault="001E3E7D" w:rsidP="00FA5A89">
      <w:pPr>
        <w:spacing w:after="0" w:line="276" w:lineRule="auto"/>
        <w:rPr>
          <w:rFonts w:cstheme="minorHAnsi"/>
          <w:sz w:val="16"/>
          <w:szCs w:val="20"/>
          <w:lang w:val="sr-Cyrl-RS"/>
        </w:rPr>
      </w:pPr>
      <w:r w:rsidRPr="00EA3D8C">
        <w:rPr>
          <w:rFonts w:eastAsia="Calibri" w:cstheme="minorHAnsi"/>
          <w:bCs/>
          <w:sz w:val="16"/>
          <w:szCs w:val="20"/>
          <w:lang w:val="sr-Cyrl-RS" w:eastAsia="ja-JP"/>
        </w:rPr>
        <w:t xml:space="preserve">Извор: </w:t>
      </w:r>
      <w:r w:rsidRPr="00EA3D8C">
        <w:rPr>
          <w:rFonts w:cstheme="minorHAnsi"/>
          <w:sz w:val="16"/>
          <w:szCs w:val="20"/>
          <w:lang w:val="sr-Cyrl-RS"/>
        </w:rPr>
        <w:t>Министарство финансија</w:t>
      </w:r>
    </w:p>
    <w:p w14:paraId="46DB4DC5" w14:textId="77777777" w:rsidR="001E3E7D" w:rsidRPr="00EA3D8C" w:rsidRDefault="001E3E7D" w:rsidP="00FA5A89">
      <w:pPr>
        <w:spacing w:after="0" w:line="276" w:lineRule="auto"/>
        <w:rPr>
          <w:rFonts w:cstheme="minorHAnsi"/>
          <w:bCs/>
          <w:szCs w:val="20"/>
          <w:lang w:val="sr-Cyrl-RS"/>
        </w:rPr>
        <w:sectPr w:rsidR="001E3E7D" w:rsidRPr="00EA3D8C" w:rsidSect="00AE40EB">
          <w:type w:val="continuous"/>
          <w:pgSz w:w="12240" w:h="15840" w:code="1"/>
          <w:pgMar w:top="1440" w:right="1440" w:bottom="1440" w:left="1440" w:header="720" w:footer="720" w:gutter="0"/>
          <w:cols w:space="720"/>
          <w:docGrid w:linePitch="360"/>
        </w:sectPr>
      </w:pPr>
    </w:p>
    <w:p w14:paraId="664357CE" w14:textId="77777777" w:rsidR="001E3E7D" w:rsidRPr="00EA3D8C" w:rsidRDefault="001E3E7D" w:rsidP="008265F0">
      <w:pPr>
        <w:keepNext/>
        <w:keepLines/>
        <w:spacing w:after="120"/>
        <w:jc w:val="center"/>
        <w:outlineLvl w:val="1"/>
        <w:rPr>
          <w:rFonts w:eastAsia="MS PGothic" w:cstheme="minorHAnsi"/>
          <w:b/>
          <w:color w:val="2F5496" w:themeColor="accent1" w:themeShade="BF"/>
          <w:sz w:val="24"/>
          <w:szCs w:val="26"/>
          <w:lang w:val="sr-Cyrl-RS" w:eastAsia="ja-JP"/>
        </w:rPr>
      </w:pPr>
      <w:bookmarkStart w:id="29" w:name="_Toc23342469"/>
      <w:bookmarkStart w:id="30" w:name="_Toc56667079"/>
      <w:bookmarkStart w:id="31" w:name="_Toc73364971"/>
      <w:bookmarkStart w:id="32" w:name="_Toc499650053"/>
      <w:bookmarkStart w:id="33" w:name="_Toc530635109"/>
      <w:bookmarkStart w:id="34" w:name="_Toc11155995"/>
      <w:r w:rsidRPr="00EA3D8C">
        <w:rPr>
          <w:rFonts w:eastAsia="MS PGothic" w:cstheme="minorHAnsi"/>
          <w:b/>
          <w:color w:val="2F5496" w:themeColor="accent1" w:themeShade="BF"/>
          <w:sz w:val="24"/>
          <w:szCs w:val="26"/>
          <w:lang w:val="sr-Cyrl-RS" w:eastAsia="ja-JP"/>
        </w:rPr>
        <w:lastRenderedPageBreak/>
        <w:t>5. Фискални ризици</w:t>
      </w:r>
      <w:bookmarkEnd w:id="29"/>
      <w:bookmarkEnd w:id="30"/>
      <w:bookmarkEnd w:id="31"/>
    </w:p>
    <w:p w14:paraId="408C607D" w14:textId="77777777" w:rsidR="001E3E7D" w:rsidRDefault="001E3E7D" w:rsidP="00FE1A26">
      <w:pPr>
        <w:spacing w:after="120" w:line="276" w:lineRule="auto"/>
        <w:rPr>
          <w:rFonts w:eastAsia="MS PGothic" w:cstheme="minorHAnsi"/>
          <w:szCs w:val="20"/>
          <w:lang w:val="sr-Cyrl-RS" w:eastAsia="ja-JP"/>
        </w:rPr>
        <w:sectPr w:rsidR="001E3E7D" w:rsidSect="009B76B2">
          <w:headerReference w:type="default" r:id="rId128"/>
          <w:pgSz w:w="12240" w:h="15840" w:code="1"/>
          <w:pgMar w:top="1440" w:right="1440" w:bottom="1440" w:left="1440" w:header="720" w:footer="720" w:gutter="0"/>
          <w:cols w:space="720"/>
          <w:docGrid w:linePitch="360"/>
        </w:sectPr>
      </w:pPr>
    </w:p>
    <w:p w14:paraId="645E6F67"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У</w:t>
      </w:r>
      <w:r w:rsidRPr="00347E91">
        <w:rPr>
          <w:rFonts w:eastAsia="MS PGothic" w:cstheme="minorHAnsi"/>
          <w:b/>
          <w:szCs w:val="20"/>
          <w:lang w:val="sr-Cyrl-CS" w:eastAsia="ja-JP"/>
        </w:rPr>
        <w:t xml:space="preserve"> </w:t>
      </w:r>
      <w:r w:rsidRPr="00347E91">
        <w:rPr>
          <w:rFonts w:eastAsia="MS PGothic" w:cstheme="minorHAnsi"/>
          <w:szCs w:val="20"/>
          <w:lang w:val="sr-Cyrl-CS" w:eastAsia="ja-JP"/>
        </w:rPr>
        <w:t>претходној деценији Република Србија суочила се са реализацијом бројних ризика који су озбиљно угрозили њену фискалну позицију. Финансијска криза и рецесија погоршале су стање јавних финансија, узрокујући високе дефиците и убрзан раст јавног дуга. Глобална финансијска криза, као спољни фактор, активирала је и унутрашње ризике, те су отплате по основу гарантованих кредита, извршења судских одлука, решавања питања државних финансијских институција и преузимање обавеза јавних предузећа у јавни дуг, додат</w:t>
      </w:r>
      <w:r w:rsidR="006B3A48">
        <w:rPr>
          <w:rFonts w:eastAsia="MS PGothic" w:cstheme="minorHAnsi"/>
          <w:szCs w:val="20"/>
          <w:lang w:val="sr-Cyrl-CS" w:eastAsia="ja-JP"/>
        </w:rPr>
        <w:t>но погоршали фискалну позицију.</w:t>
      </w:r>
    </w:p>
    <w:p w14:paraId="15E4B403" w14:textId="77777777" w:rsidR="001E3E7D" w:rsidRPr="002C06AB" w:rsidRDefault="001E3E7D" w:rsidP="004B6B0E">
      <w:pPr>
        <w:rPr>
          <w:rFonts w:eastAsia="MS PGothic" w:cstheme="minorHAnsi"/>
          <w:spacing w:val="-2"/>
          <w:szCs w:val="20"/>
          <w:lang w:val="sr-Cyrl-RS" w:eastAsia="ja-JP"/>
        </w:rPr>
      </w:pPr>
      <w:r w:rsidRPr="002C06AB">
        <w:rPr>
          <w:rFonts w:eastAsia="MS PGothic" w:cstheme="minorHAnsi"/>
          <w:spacing w:val="-2"/>
          <w:szCs w:val="20"/>
          <w:lang w:val="sr-Cyrl-RS" w:eastAsia="ja-JP"/>
        </w:rPr>
        <w:t>Поред наведених ризика Република Србија је као и већина земаља у свету погођена здравственом и економском кризом, која је изазвана пандемијом вируса SARS-Cov-2. Пандемија се може сматрати негативним егзогеним шоком чије се деловање шири кроз економски систем, изазивајући економски пад и рецесију. Економска криза је у врло кратком времену обухватила глобалну агрегатну понуду и агрегатну тражњу, захваљ</w:t>
      </w:r>
      <w:r w:rsidR="00103068">
        <w:rPr>
          <w:rFonts w:eastAsia="MS PGothic" w:cstheme="minorHAnsi"/>
          <w:spacing w:val="-2"/>
          <w:szCs w:val="20"/>
          <w:lang w:val="sr-Cyrl-RS" w:eastAsia="ja-JP"/>
        </w:rPr>
        <w:t xml:space="preserve">ујући, између осталог, високом </w:t>
      </w:r>
      <w:r w:rsidRPr="002C06AB">
        <w:rPr>
          <w:rFonts w:eastAsia="MS PGothic" w:cstheme="minorHAnsi"/>
          <w:spacing w:val="-2"/>
          <w:szCs w:val="20"/>
          <w:lang w:val="sr-Cyrl-RS" w:eastAsia="ja-JP"/>
        </w:rPr>
        <w:t>степену међузависности глобалне економије који због ефеката преливања негативних економских и друштвених последица с једне државе на другу, као и изолацијом великог броја људи, доводи до последица широких размера. Мерење ефеката пандемије је изузетно сложено и ствара значајну неизвесност у вези са економским изгледима и пратећим негативним последицама. Поједини сектори, попут угоститељства, туризма, авиопревоза, али и низа различитих услуга готово преко ноћи су морали потпуно да обуставе рад, како би се избегла циркулација грађана и смањ</w:t>
      </w:r>
      <w:r w:rsidR="00103068">
        <w:rPr>
          <w:rFonts w:eastAsia="MS PGothic" w:cstheme="minorHAnsi"/>
          <w:spacing w:val="-2"/>
          <w:szCs w:val="20"/>
          <w:lang w:val="sr-Cyrl-RS" w:eastAsia="ja-JP"/>
        </w:rPr>
        <w:t xml:space="preserve">ило ширење вируса. На удару су </w:t>
      </w:r>
      <w:r w:rsidRPr="002C06AB">
        <w:rPr>
          <w:rFonts w:eastAsia="MS PGothic" w:cstheme="minorHAnsi"/>
          <w:spacing w:val="-2"/>
          <w:szCs w:val="20"/>
          <w:lang w:val="sr-Cyrl-RS" w:eastAsia="ja-JP"/>
        </w:rPr>
        <w:t>највећим делом била мала и средња предузећа која су имала мање резерве на располагању како би премостила шок који је деловао. Пандемија је ограничила или зауставила производњу, што због покиданих ланаца снабдевања и недостатка сировина, што због немогућности да се производња организује тако да не омогућава ширење вируса међу запосленима.</w:t>
      </w:r>
    </w:p>
    <w:p w14:paraId="01DA98A8" w14:textId="77777777" w:rsidR="001E3E7D" w:rsidRPr="00347E91" w:rsidRDefault="001E3E7D" w:rsidP="004B6B0E">
      <w:pPr>
        <w:rPr>
          <w:rFonts w:eastAsia="MS PGothic" w:cstheme="minorHAnsi"/>
          <w:szCs w:val="20"/>
          <w:lang w:val="sr-Cyrl-RS" w:eastAsia="ja-JP"/>
        </w:rPr>
      </w:pPr>
      <w:r w:rsidRPr="00347E91">
        <w:rPr>
          <w:rFonts w:eastAsia="MS PGothic" w:cstheme="minorHAnsi"/>
          <w:szCs w:val="20"/>
          <w:lang w:val="sr-Cyrl-RS" w:eastAsia="ja-JP"/>
        </w:rPr>
        <w:t>Као одговор на економску кризу изазвану пандемијом вируса SARS-CoV-2 Република Србија је реаговала снажним интервентним мерама.</w:t>
      </w:r>
      <w:r w:rsidRPr="00347E91">
        <w:rPr>
          <w:rFonts w:eastAsia="MS PGothic" w:cstheme="minorHAnsi"/>
          <w:szCs w:val="20"/>
          <w:lang w:val="en-GB" w:eastAsia="ja-JP"/>
        </w:rPr>
        <w:t xml:space="preserve"> </w:t>
      </w:r>
      <w:r w:rsidRPr="00347E91">
        <w:rPr>
          <w:rFonts w:eastAsia="MS PGothic" w:cstheme="minorHAnsi"/>
          <w:szCs w:val="20"/>
          <w:lang w:val="sr-Cyrl-RS" w:eastAsia="ja-JP"/>
        </w:rPr>
        <w:t xml:space="preserve">У </w:t>
      </w:r>
      <w:r w:rsidRPr="00347E91">
        <w:rPr>
          <w:rFonts w:eastAsia="MS PGothic" w:cstheme="minorHAnsi"/>
          <w:szCs w:val="20"/>
          <w:lang w:val="sr-Cyrl-RS" w:eastAsia="ja-JP"/>
        </w:rPr>
        <w:t>циљу отклањања штетних последица услед болести COVID-19, донет је сет свеобухватних пакета економских мера са циљем смањења незапослености и ширења неликвидности предузећа, одржавања инвестиционих улагања, опстанка појединих секторских грана (туризам, пољопривреда, итд.), помоћ одређеним слојевима становништва (пензионери, здравствени радници), као и укупном пунолетном становништву у циљу подизања агрегатне тражње. Сврха ових мера, које су припремљене у складу са међународном праксом и предлозима релевантних међународних финансијских</w:t>
      </w:r>
      <w:r w:rsidR="00103068">
        <w:rPr>
          <w:rFonts w:eastAsia="MS PGothic" w:cstheme="minorHAnsi"/>
          <w:szCs w:val="20"/>
          <w:lang w:val="sr-Cyrl-RS" w:eastAsia="ja-JP"/>
        </w:rPr>
        <w:t xml:space="preserve"> институција, је да се помогне </w:t>
      </w:r>
      <w:r w:rsidRPr="00347E91">
        <w:rPr>
          <w:rFonts w:eastAsia="MS PGothic" w:cstheme="minorHAnsi"/>
          <w:szCs w:val="20"/>
          <w:lang w:val="sr-Cyrl-RS" w:eastAsia="ja-JP"/>
        </w:rPr>
        <w:t>пословање приватног сектора и смање негативни ефекти пада пословне активности.</w:t>
      </w:r>
    </w:p>
    <w:p w14:paraId="3A1F1609"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Фискални ризици представљају изложеност јавних финансија одређеним околностима које могу проузроковати одступања од пројектованог фискалног оквира. До одступања може доћи у приходима, расходима, фискалном резултату, као и у имовини и обавезама државе, у односу на оно што је планирано и очекивано. На спољашње ризике, попут природних катастрофа или глобалних финансијских криза, Влада не може да утиче, али могуће је дефинисати излазне стратегије које би ублажиле њихово дејство (очување стабилности у добрим временима како би у условима рецесије или кризе фискална политика имала простора за адекватан одговор, осигурање у случају природних катастрофа и сл.). Унутрашњи ризици, односно њихова материјализација последица су активности у јавном сектору, те се на вероватноћу њихове реализације може утицати одлукама и политикама Владе.</w:t>
      </w:r>
    </w:p>
    <w:p w14:paraId="559D292B"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 xml:space="preserve">Идентификација највећих фискалних ризика који могу утицати на државне финансије у средњем року полазна је тачка у бољем управљању фискалним ризицима. О одређеним фискалним ризицима постоје детаљни подаци и лако се може идентификовати да ли ће и са коликом вероватноћом утицати на фискалне агрегате у средњем року. За друге, пак, не постоје довољно детаљни подаци, али и само њихово идентификовање подиже свест о могућности да у </w:t>
      </w:r>
      <w:r w:rsidRPr="00347E91">
        <w:rPr>
          <w:rFonts w:eastAsia="MS PGothic" w:cstheme="minorHAnsi"/>
          <w:szCs w:val="20"/>
          <w:lang w:val="sr-Cyrl-CS" w:eastAsia="ja-JP"/>
        </w:rPr>
        <w:lastRenderedPageBreak/>
        <w:t>наредном периоду доведу до одступања од планираног фискалног оквира.</w:t>
      </w:r>
    </w:p>
    <w:p w14:paraId="0941358F"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Министарство финансија има водећу улогу у управљању фискалним ризицима. Као кључна институција за средњорочно макроекономско и фискално планирање, формулацију и управљање буџетом, Министарство финансија мора имати и водећу улогу у успостављању институционалне и законске структуре, те изградњи капацитета неопходних за управљање фискалним ризицима. Организациона јединица за управљање фискалним ризицима у Министарству финансија основана је са циљем да ради на јачању законске регулативе и методолошког оквира, изградњи капацитета, те развијању техничких алата и модела неопходних за праћење и процену фискалних ризика. Намера је да резултат ових активности буде идентификација и процена ризика и предлагање излазних стратегија, као помоћ Влади у очувању стабилности јавних финансија што је кључни циљ фискалне политике и један од основних предуслова за динамичнији привредни раст.</w:t>
      </w:r>
    </w:p>
    <w:p w14:paraId="25B067BF" w14:textId="77777777" w:rsidR="001E3E7D" w:rsidRPr="00347E91" w:rsidRDefault="001E3E7D" w:rsidP="004B6B0E">
      <w:pPr>
        <w:rPr>
          <w:rFonts w:cstheme="minorHAnsi"/>
          <w:b/>
          <w:bCs/>
          <w:color w:val="2F5496" w:themeColor="accent1" w:themeShade="BF"/>
          <w:sz w:val="22"/>
          <w:szCs w:val="20"/>
          <w:lang w:val="sr-Cyrl-RS"/>
        </w:rPr>
      </w:pPr>
      <w:r w:rsidRPr="00347E91">
        <w:rPr>
          <w:rFonts w:cstheme="minorHAnsi"/>
          <w:b/>
          <w:bCs/>
          <w:color w:val="2F5496" w:themeColor="accent1" w:themeShade="BF"/>
          <w:sz w:val="22"/>
          <w:szCs w:val="20"/>
          <w:lang w:val="sr-Cyrl-RS"/>
        </w:rPr>
        <w:t>Макроекономске претпоставке и осетљивост фискалних агрегата</w:t>
      </w:r>
    </w:p>
    <w:p w14:paraId="7B88D816"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Одступања макроекономских претпоставки од основног сценарија могу довести до одступања фискалних агрегата од пројектованог нивоа.</w:t>
      </w:r>
    </w:p>
    <w:p w14:paraId="4BD6ABB1" w14:textId="77777777" w:rsidR="001E3E7D" w:rsidRPr="002C06AB" w:rsidRDefault="001E3E7D" w:rsidP="004B6B0E">
      <w:pPr>
        <w:rPr>
          <w:rFonts w:eastAsia="MS PGothic" w:cstheme="minorHAnsi"/>
          <w:szCs w:val="20"/>
          <w:lang w:val="sr-Cyrl-CS" w:eastAsia="ja-JP"/>
        </w:rPr>
      </w:pPr>
      <w:r w:rsidRPr="002C06AB">
        <w:rPr>
          <w:rFonts w:eastAsia="MS PGothic" w:cstheme="minorHAnsi"/>
          <w:szCs w:val="20"/>
          <w:lang w:val="sr-Cyrl-CS" w:eastAsia="ja-JP"/>
        </w:rPr>
        <w:t>Негативни сценарио који у наредном периоду подразумева пад привредне активности или мањи раст, довео би до значајног смањења прилива капитала и смањења спољнотрговинске размене. У том случају дошло би до мањих прихода, и последично већег дефицита, уколико се не би ишло на додатно прилагођавање на расходној страни. У складу са оценама осетљивости фискалног баланса, свак</w:t>
      </w:r>
      <w:r w:rsidR="005E67C7">
        <w:rPr>
          <w:rFonts w:eastAsia="MS PGothic" w:cstheme="minorHAnsi"/>
          <w:szCs w:val="20"/>
          <w:lang w:val="sr-Cyrl-CS" w:eastAsia="ja-JP"/>
        </w:rPr>
        <w:t>а промена реалног раста за 1 п.</w:t>
      </w:r>
      <w:r w:rsidRPr="002C06AB">
        <w:rPr>
          <w:rFonts w:eastAsia="MS PGothic" w:cstheme="minorHAnsi"/>
          <w:szCs w:val="20"/>
          <w:lang w:val="sr-Cyrl-CS" w:eastAsia="ja-JP"/>
        </w:rPr>
        <w:t>п. БДП доводи до промене фискалног резултата од око 0,36% БДП. У случају да се у наредном трогодишњем периоду остваре ниже с</w:t>
      </w:r>
      <w:r w:rsidR="005E67C7">
        <w:rPr>
          <w:rFonts w:eastAsia="MS PGothic" w:cstheme="minorHAnsi"/>
          <w:szCs w:val="20"/>
          <w:lang w:val="sr-Cyrl-CS" w:eastAsia="ja-JP"/>
        </w:rPr>
        <w:t>топе реалног раста БДП (по 1 п.</w:t>
      </w:r>
      <w:r w:rsidRPr="002C06AB">
        <w:rPr>
          <w:rFonts w:eastAsia="MS PGothic" w:cstheme="minorHAnsi"/>
          <w:szCs w:val="20"/>
          <w:lang w:val="sr-Cyrl-CS" w:eastAsia="ja-JP"/>
        </w:rPr>
        <w:t xml:space="preserve">п. мање просечно годишње) од планираних, кумулативно повећање </w:t>
      </w:r>
      <w:r w:rsidRPr="002C06AB">
        <w:rPr>
          <w:rFonts w:eastAsia="MS PGothic" w:cstheme="minorHAnsi"/>
          <w:szCs w:val="20"/>
          <w:lang w:val="sr-Cyrl-CS" w:eastAsia="ja-JP"/>
        </w:rPr>
        <w:t>фискалног дефицита би износило преко 50 млрд динара.</w:t>
      </w:r>
    </w:p>
    <w:p w14:paraId="05858E21" w14:textId="77777777" w:rsidR="001E3E7D" w:rsidRPr="002C06AB" w:rsidRDefault="001E3E7D" w:rsidP="004B6B0E">
      <w:pPr>
        <w:rPr>
          <w:rFonts w:eastAsia="MS PGothic" w:cstheme="minorHAnsi"/>
          <w:szCs w:val="20"/>
          <w:lang w:val="sr-Cyrl-CS" w:eastAsia="ja-JP"/>
        </w:rPr>
      </w:pPr>
      <w:r w:rsidRPr="002C06AB">
        <w:rPr>
          <w:rFonts w:eastAsia="MS PGothic" w:cstheme="minorHAnsi"/>
          <w:szCs w:val="20"/>
          <w:lang w:val="sr-Cyrl-CS" w:eastAsia="ja-JP"/>
        </w:rPr>
        <w:t>Инфлација је основна детерминанта опште макроекономске стабилности. Услед модификације фискалних правила о индексацији плата и пензија, у наредном периоду инфлација ће у мањој мери опредељивати кретање укупног нивоа расхода, него што је то био случај у ранијем периоду. Што се тиче приходне стране утицај инфлације на индиректне порезе може бити краткорочно повољан, али услед неминовног прилагођавања реалног нивоа потрошње тај ефекат се губи уколико је ниво дохотка ограничен. Сличан краткорочни ефекат има и девизни курс. Поједине приходне ставке се усклађују годишње са инфлацијом (углавном непорески приходи и висина појединих акцизних стопа), па са те стране постоји одређени ризик, али услед ниских пројектованих вредности инфлације он није висок. Инфлација са друге стране може индиректно да утиче на висину дефицита и јавног дуга. У случају да се креће значајно изнад таргетираних вредности, током процеса усклађивања релевантних каматних стопа, може доћи до повећања каматних стопа на јавни дуг. Са друге стране индекс потрошачких цена великим делом утиче на кретање укупног дефлатора БДП, самим тим и на висину номиналног БДП, као имениоца учешћа дефицита и јавног дуга у бруто домаћем производу.</w:t>
      </w:r>
    </w:p>
    <w:p w14:paraId="6FAA3FE2" w14:textId="77777777" w:rsidR="002C06AB" w:rsidRDefault="001E3E7D" w:rsidP="004B6B0E">
      <w:pPr>
        <w:rPr>
          <w:rFonts w:eastAsia="MS PGothic" w:cstheme="minorHAnsi"/>
          <w:szCs w:val="20"/>
          <w:lang w:val="sr-Cyrl-CS" w:eastAsia="ja-JP"/>
        </w:rPr>
        <w:sectPr w:rsidR="002C06AB" w:rsidSect="009B76B2">
          <w:type w:val="continuous"/>
          <w:pgSz w:w="12240" w:h="15840" w:code="1"/>
          <w:pgMar w:top="1440" w:right="1440" w:bottom="1440" w:left="1440" w:header="720" w:footer="720" w:gutter="0"/>
          <w:cols w:num="2" w:space="720"/>
          <w:docGrid w:linePitch="360"/>
          <w15:footnoteColumns w:val="1"/>
        </w:sectPr>
      </w:pPr>
      <w:r w:rsidRPr="002C06AB">
        <w:rPr>
          <w:rFonts w:eastAsia="MS PGothic" w:cstheme="minorHAnsi"/>
          <w:szCs w:val="20"/>
          <w:lang w:val="sr-Cyrl-CS" w:eastAsia="ja-JP"/>
        </w:rPr>
        <w:t>На издатке за камате, осим висине и структуре јавног дуга утичу и фактори као што су девизни курс и каматне стопе на међународном и домаћем тржишту. С обзиром на непредвидивост кретања појединих варијабли, могуће је повећање потребних средстава за камате у наредном периоду. Каматна политика коју воде одређене међународне институције (ФЕД, ЕЦБ итд.) може утицати на општи ниво каматних стопа на међународном тржишту, што за Републику Србију као малу отворену економију представља додатни фискални ризик.</w:t>
      </w:r>
    </w:p>
    <w:p w14:paraId="7161AE45" w14:textId="77777777" w:rsidR="001E3E7D" w:rsidRPr="00347E91" w:rsidRDefault="001E3E7D" w:rsidP="004B6B0E">
      <w:pPr>
        <w:rPr>
          <w:rFonts w:eastAsia="MS PGothic" w:cstheme="minorHAnsi"/>
          <w:szCs w:val="20"/>
          <w:lang w:val="sr-Cyrl-CS" w:eastAsia="ja-JP"/>
        </w:rPr>
      </w:pPr>
    </w:p>
    <w:p w14:paraId="4B677FEE" w14:textId="77777777" w:rsidR="002C06AB" w:rsidRDefault="002C06AB">
      <w:pPr>
        <w:jc w:val="left"/>
        <w:rPr>
          <w:rFonts w:cstheme="minorHAnsi"/>
          <w:b/>
          <w:bCs/>
          <w:color w:val="2F5496" w:themeColor="accent1" w:themeShade="BF"/>
          <w:sz w:val="22"/>
          <w:szCs w:val="20"/>
          <w:lang w:val="sr-Cyrl-RS"/>
        </w:rPr>
      </w:pPr>
      <w:r>
        <w:rPr>
          <w:rFonts w:cstheme="minorHAnsi"/>
          <w:b/>
          <w:bCs/>
          <w:color w:val="2F5496" w:themeColor="accent1" w:themeShade="BF"/>
          <w:sz w:val="22"/>
          <w:szCs w:val="20"/>
          <w:lang w:val="sr-Cyrl-RS"/>
        </w:rPr>
        <w:br w:type="page"/>
      </w:r>
    </w:p>
    <w:p w14:paraId="5CA3B8D5" w14:textId="77777777" w:rsidR="001E3E7D" w:rsidRPr="00347E91" w:rsidRDefault="001E3E7D" w:rsidP="004B6B0E">
      <w:pPr>
        <w:rPr>
          <w:rFonts w:cstheme="minorHAnsi"/>
          <w:b/>
          <w:bCs/>
          <w:color w:val="2F5496" w:themeColor="accent1" w:themeShade="BF"/>
          <w:sz w:val="22"/>
          <w:szCs w:val="20"/>
          <w:lang w:val="sr-Cyrl-RS"/>
        </w:rPr>
      </w:pPr>
      <w:r w:rsidRPr="00347E91">
        <w:rPr>
          <w:rFonts w:cstheme="minorHAnsi"/>
          <w:b/>
          <w:bCs/>
          <w:color w:val="2F5496" w:themeColor="accent1" w:themeShade="BF"/>
          <w:sz w:val="22"/>
          <w:szCs w:val="20"/>
          <w:lang w:val="sr-Cyrl-RS"/>
        </w:rPr>
        <w:lastRenderedPageBreak/>
        <w:t>Државне гаранције</w:t>
      </w:r>
    </w:p>
    <w:p w14:paraId="0FF6A863" w14:textId="77777777" w:rsidR="001E3E7D" w:rsidRPr="00347E91" w:rsidRDefault="001E3E7D" w:rsidP="004B6B0E">
      <w:pPr>
        <w:rPr>
          <w:rFonts w:eastAsia="MS PGothic" w:cstheme="minorHAnsi"/>
          <w:szCs w:val="20"/>
          <w:lang w:val="sr-Cyrl-CS" w:eastAsia="ja-JP"/>
        </w:rPr>
      </w:pPr>
      <w:r w:rsidRPr="00347E91">
        <w:rPr>
          <w:rFonts w:eastAsia="MS PGothic" w:cstheme="minorHAnsi"/>
          <w:szCs w:val="20"/>
          <w:lang w:val="sr-Cyrl-CS" w:eastAsia="ja-JP"/>
        </w:rPr>
        <w:t>Гаранције издате од стране државе утичу на висину јавног дуга, али и на висину дефицита, уколико отплату по кредиту уместо првобитног дужника преузме држава. Издате гаранције су према дефиницији одређеној Законом о јавном дугу</w:t>
      </w:r>
      <w:r w:rsidRPr="00347E91">
        <w:rPr>
          <w:rFonts w:eastAsia="MS PGothic" w:cstheme="minorHAnsi"/>
          <w:szCs w:val="20"/>
          <w:vertAlign w:val="superscript"/>
          <w:lang w:val="sr-Cyrl-CS" w:eastAsia="ja-JP"/>
        </w:rPr>
        <w:footnoteReference w:id="5"/>
      </w:r>
      <w:r w:rsidRPr="00347E91">
        <w:rPr>
          <w:rFonts w:eastAsia="MS PGothic" w:cstheme="minorHAnsi"/>
          <w:szCs w:val="20"/>
          <w:lang w:val="sr-Cyrl-CS" w:eastAsia="ja-JP"/>
        </w:rPr>
        <w:t xml:space="preserve"> део индиректних обавеза и у укупном износу се укључују у јавни дуг</w:t>
      </w:r>
      <w:r w:rsidRPr="00347E91">
        <w:rPr>
          <w:rFonts w:eastAsia="MS PGothic" w:cstheme="minorHAnsi"/>
          <w:szCs w:val="20"/>
          <w:vertAlign w:val="superscript"/>
          <w:lang w:val="sr-Cyrl-CS" w:eastAsia="ja-JP"/>
        </w:rPr>
        <w:footnoteReference w:id="6"/>
      </w:r>
      <w:r w:rsidRPr="00347E91">
        <w:rPr>
          <w:rFonts w:eastAsia="MS PGothic" w:cstheme="minorHAnsi"/>
          <w:szCs w:val="20"/>
          <w:lang w:val="sr-Cyrl-CS" w:eastAsia="ja-JP"/>
        </w:rPr>
        <w:t>. Ограничења постављена на издавање нових гаранција дала су резултате те се учешће индиректних обавеза у укупном јавном дугу смањује. Индиректне обавезе (издате гаранције од стране Републике Србије) су учествовале са 5,3% у укупном јавном дугу, према националној методологији, на крају 2020. године. Учешће ових обавеза у јавном дугу је на приближно истом нивоу и у текућој години, те на крају марта 2021. године оне чине 5,</w:t>
      </w:r>
      <w:r w:rsidRPr="00347E91">
        <w:rPr>
          <w:rFonts w:eastAsia="MS PGothic" w:cstheme="minorHAnsi"/>
          <w:szCs w:val="20"/>
          <w:lang w:val="sr-Cyrl-RS" w:eastAsia="ja-JP"/>
        </w:rPr>
        <w:t>0%</w:t>
      </w:r>
      <w:r w:rsidRPr="00347E91">
        <w:rPr>
          <w:rFonts w:eastAsia="MS PGothic" w:cstheme="minorHAnsi"/>
          <w:szCs w:val="20"/>
          <w:lang w:val="sr-Cyrl-CS" w:eastAsia="ja-JP"/>
        </w:rPr>
        <w:t xml:space="preserve"> укупног јавног дуга. Највеће учешће ових обавеза у јавном дугу, нешто изнад 14% у просеку забележено је између 2009. и 2013. године.</w:t>
      </w:r>
    </w:p>
    <w:p w14:paraId="04A68BC0" w14:textId="77777777" w:rsidR="001E3E7D" w:rsidRPr="00347E91" w:rsidRDefault="002C06AB" w:rsidP="001D27BA">
      <w:pPr>
        <w:spacing w:after="0"/>
        <w:jc w:val="left"/>
        <w:rPr>
          <w:rFonts w:cstheme="minorHAnsi"/>
          <w:b/>
          <w:bCs/>
          <w:color w:val="2F5496" w:themeColor="accent1" w:themeShade="BF"/>
          <w:sz w:val="22"/>
          <w:szCs w:val="20"/>
          <w:lang w:val="sr-Cyrl-RS"/>
        </w:rPr>
      </w:pPr>
      <w:r>
        <w:rPr>
          <w:rFonts w:cstheme="minorHAnsi"/>
          <w:b/>
          <w:bCs/>
          <w:color w:val="2F5496" w:themeColor="accent1" w:themeShade="BF"/>
          <w:sz w:val="22"/>
          <w:szCs w:val="20"/>
          <w:lang w:val="sr-Cyrl-RS"/>
        </w:rPr>
        <w:br w:type="column"/>
      </w:r>
      <w:r w:rsidR="001E3E7D" w:rsidRPr="00347E91">
        <w:rPr>
          <w:rFonts w:cstheme="minorHAnsi"/>
          <w:b/>
          <w:bCs/>
          <w:color w:val="2F5496" w:themeColor="accent1" w:themeShade="BF"/>
          <w:sz w:val="22"/>
          <w:szCs w:val="20"/>
          <w:lang w:val="sr-Cyrl-RS"/>
        </w:rPr>
        <w:t>Учешће индиректног дуга у укупном јавном дугу Републике Србије</w:t>
      </w:r>
    </w:p>
    <w:p w14:paraId="044BF78E" w14:textId="77777777" w:rsidR="001E3E7D" w:rsidRPr="00347E91" w:rsidRDefault="001E3E7D" w:rsidP="002C06AB">
      <w:pPr>
        <w:spacing w:after="0"/>
        <w:rPr>
          <w:rFonts w:eastAsia="MS PGothic" w:cstheme="minorHAnsi"/>
          <w:szCs w:val="20"/>
          <w:lang w:val="sr-Cyrl-CS" w:eastAsia="ja-JP"/>
        </w:rPr>
      </w:pPr>
      <w:r w:rsidRPr="00347E91">
        <w:rPr>
          <w:rFonts w:eastAsia="MS PGothic" w:cstheme="minorHAnsi"/>
          <w:noProof/>
          <w:szCs w:val="20"/>
        </w:rPr>
        <w:drawing>
          <wp:inline distT="0" distB="0" distL="0" distR="0" wp14:anchorId="066E9543" wp14:editId="5B60DBAB">
            <wp:extent cx="3032945" cy="19881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038569" cy="1991872"/>
                    </a:xfrm>
                    <a:prstGeom prst="rect">
                      <a:avLst/>
                    </a:prstGeom>
                    <a:noFill/>
                    <a:ln>
                      <a:noFill/>
                    </a:ln>
                  </pic:spPr>
                </pic:pic>
              </a:graphicData>
            </a:graphic>
          </wp:inline>
        </w:drawing>
      </w:r>
    </w:p>
    <w:p w14:paraId="7164BBE7" w14:textId="77777777" w:rsidR="001E3E7D" w:rsidRDefault="001E3E7D" w:rsidP="00F06F9F">
      <w:pPr>
        <w:spacing w:after="360"/>
        <w:rPr>
          <w:rFonts w:eastAsia="MS PGothic" w:cstheme="minorHAnsi"/>
          <w:szCs w:val="20"/>
          <w:lang w:val="sr-Cyrl-CS" w:eastAsia="ja-JP"/>
        </w:rPr>
      </w:pPr>
      <w:r w:rsidRPr="00347E91">
        <w:rPr>
          <w:rFonts w:eastAsia="MS PGothic" w:cstheme="minorHAnsi"/>
          <w:szCs w:val="20"/>
          <w:lang w:val="sr-Cyrl-CS" w:eastAsia="ja-JP"/>
        </w:rPr>
        <w:t>На крају 2020. године стање дуга по основу издатих гаранција износило је 1,4</w:t>
      </w:r>
      <w:r w:rsidRPr="00347E91">
        <w:rPr>
          <w:rFonts w:eastAsia="MS PGothic" w:cstheme="minorHAnsi"/>
          <w:szCs w:val="20"/>
          <w:lang w:val="sr-Latn-RS" w:eastAsia="ja-JP"/>
        </w:rPr>
        <w:t>23</w:t>
      </w:r>
      <w:r w:rsidRPr="00347E91">
        <w:rPr>
          <w:rFonts w:eastAsia="MS PGothic" w:cstheme="minorHAnsi"/>
          <w:szCs w:val="20"/>
          <w:lang w:val="sr-Cyrl-CS" w:eastAsia="ja-JP"/>
        </w:rPr>
        <w:t xml:space="preserve"> млрд евра, односно 3,1% БДП. Стање дуга по овом основу смањено је за близу 65 милиона евра у односу на крај 2019. године. До </w:t>
      </w:r>
      <w:r w:rsidRPr="00347E91">
        <w:rPr>
          <w:rFonts w:eastAsia="MS PGothic" w:cstheme="minorHAnsi"/>
          <w:szCs w:val="20"/>
          <w:lang w:val="sr-Cyrl-RS" w:eastAsia="ja-JP"/>
        </w:rPr>
        <w:t>марта</w:t>
      </w:r>
      <w:r w:rsidRPr="00347E91">
        <w:rPr>
          <w:rFonts w:eastAsia="MS PGothic" w:cstheme="minorHAnsi"/>
          <w:szCs w:val="20"/>
          <w:lang w:val="sr-Cyrl-CS" w:eastAsia="ja-JP"/>
        </w:rPr>
        <w:t xml:space="preserve"> текуће године стање дуга по гаранцијама смањено је за 23 милиона евра, у односу на крај 2020. године</w:t>
      </w:r>
      <w:r w:rsidRPr="00347E91">
        <w:rPr>
          <w:rFonts w:eastAsia="MS PGothic" w:cstheme="minorHAnsi"/>
          <w:szCs w:val="20"/>
          <w:lang w:val="sr-Latn-RS" w:eastAsia="ja-JP"/>
        </w:rPr>
        <w:t xml:space="preserve"> </w:t>
      </w:r>
      <w:r w:rsidRPr="00347E91">
        <w:rPr>
          <w:rFonts w:eastAsia="MS PGothic" w:cstheme="minorHAnsi"/>
          <w:szCs w:val="20"/>
          <w:lang w:val="sr-Cyrl-RS" w:eastAsia="ja-JP"/>
        </w:rPr>
        <w:t>и износи 1,4 млрд евра на дан 31.0</w:t>
      </w:r>
      <w:r w:rsidRPr="00347E91">
        <w:rPr>
          <w:rFonts w:eastAsia="MS PGothic" w:cstheme="minorHAnsi"/>
          <w:szCs w:val="20"/>
          <w:lang w:val="en-GB" w:eastAsia="ja-JP"/>
        </w:rPr>
        <w:t>3</w:t>
      </w:r>
      <w:r w:rsidRPr="00347E91">
        <w:rPr>
          <w:rFonts w:eastAsia="MS PGothic" w:cstheme="minorHAnsi"/>
          <w:szCs w:val="20"/>
          <w:lang w:val="sr-Cyrl-RS" w:eastAsia="ja-JP"/>
        </w:rPr>
        <w:t>.2021. године</w:t>
      </w:r>
      <w:r w:rsidRPr="00347E91">
        <w:rPr>
          <w:rFonts w:eastAsia="MS PGothic" w:cstheme="minorHAnsi"/>
          <w:szCs w:val="20"/>
          <w:lang w:val="sr-Cyrl-CS" w:eastAsia="ja-JP"/>
        </w:rPr>
        <w:t>.</w:t>
      </w:r>
    </w:p>
    <w:p w14:paraId="40898B66" w14:textId="77777777" w:rsidR="00F06F9F" w:rsidRPr="00347E91" w:rsidRDefault="00F06F9F" w:rsidP="004B6B0E">
      <w:pPr>
        <w:rPr>
          <w:rFonts w:eastAsia="MS PGothic" w:cstheme="minorHAnsi"/>
          <w:szCs w:val="20"/>
          <w:lang w:val="sr-Cyrl-CS" w:eastAsia="ja-JP"/>
        </w:rPr>
        <w:sectPr w:rsidR="00F06F9F" w:rsidRPr="00347E91" w:rsidSect="009B76B2">
          <w:type w:val="continuous"/>
          <w:pgSz w:w="12240" w:h="15840" w:code="1"/>
          <w:pgMar w:top="1440" w:right="1440" w:bottom="1440" w:left="1440" w:header="720" w:footer="720" w:gutter="0"/>
          <w:cols w:num="2" w:space="720"/>
          <w:docGrid w:linePitch="360"/>
          <w15:footnoteColumns w:val="1"/>
        </w:sectPr>
      </w:pPr>
    </w:p>
    <w:p w14:paraId="77B592E8" w14:textId="77777777" w:rsidR="001E3E7D" w:rsidRPr="004B6B0E" w:rsidRDefault="001E3E7D" w:rsidP="00E93004">
      <w:pPr>
        <w:spacing w:after="120" w:line="276" w:lineRule="auto"/>
        <w:jc w:val="center"/>
        <w:rPr>
          <w:rFonts w:eastAsia="MS PGothic" w:cstheme="minorHAnsi"/>
          <w:b/>
          <w:bCs/>
          <w:color w:val="002060"/>
          <w:szCs w:val="20"/>
          <w:lang w:val="sr-Cyrl-CS" w:eastAsia="ja-JP"/>
        </w:rPr>
      </w:pPr>
      <w:r w:rsidRPr="004B6B0E">
        <w:rPr>
          <w:rFonts w:eastAsia="MS PGothic" w:cstheme="minorHAnsi"/>
          <w:b/>
          <w:bCs/>
          <w:color w:val="002060"/>
          <w:szCs w:val="20"/>
          <w:lang w:val="sr-Cyrl-CS" w:eastAsia="ja-JP"/>
        </w:rPr>
        <w:t>Табела 14. Стање дуга по основу издатих гаранција у мил. евра</w:t>
      </w:r>
    </w:p>
    <w:tbl>
      <w:tblPr>
        <w:tblW w:w="8596" w:type="dxa"/>
        <w:jc w:val="center"/>
        <w:tblLook w:val="04A0" w:firstRow="1" w:lastRow="0" w:firstColumn="1" w:lastColumn="0" w:noHBand="0" w:noVBand="1"/>
      </w:tblPr>
      <w:tblGrid>
        <w:gridCol w:w="6700"/>
        <w:gridCol w:w="1896"/>
      </w:tblGrid>
      <w:tr w:rsidR="00E93004" w:rsidRPr="00E93004" w14:paraId="2B5A6443" w14:textId="77777777" w:rsidTr="00E93004">
        <w:trPr>
          <w:trHeight w:hRule="exact" w:val="227"/>
          <w:tblHeader/>
          <w:jc w:val="center"/>
        </w:trPr>
        <w:tc>
          <w:tcPr>
            <w:tcW w:w="6700" w:type="dxa"/>
            <w:tcBorders>
              <w:top w:val="single" w:sz="8" w:space="0" w:color="002060"/>
              <w:left w:val="nil"/>
              <w:bottom w:val="single" w:sz="8" w:space="0" w:color="002060"/>
              <w:right w:val="nil"/>
            </w:tcBorders>
            <w:shd w:val="clear" w:color="auto" w:fill="auto"/>
            <w:noWrap/>
            <w:vAlign w:val="center"/>
            <w:hideMark/>
          </w:tcPr>
          <w:p w14:paraId="0BD1B9BB"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Корисник</w:t>
            </w:r>
          </w:p>
        </w:tc>
        <w:tc>
          <w:tcPr>
            <w:tcW w:w="1896" w:type="dxa"/>
            <w:tcBorders>
              <w:top w:val="single" w:sz="8" w:space="0" w:color="002060"/>
              <w:left w:val="nil"/>
              <w:bottom w:val="single" w:sz="8" w:space="0" w:color="002060"/>
              <w:right w:val="nil"/>
            </w:tcBorders>
            <w:shd w:val="clear" w:color="auto" w:fill="auto"/>
            <w:vAlign w:val="center"/>
            <w:hideMark/>
          </w:tcPr>
          <w:p w14:paraId="07CF00B2" w14:textId="77777777" w:rsidR="001E3E7D" w:rsidRPr="00E93004" w:rsidRDefault="001E3E7D" w:rsidP="008265F0">
            <w:pPr>
              <w:spacing w:after="120" w:line="276" w:lineRule="auto"/>
              <w:jc w:val="center"/>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3</w:t>
            </w:r>
            <w:r w:rsidRPr="00E93004">
              <w:rPr>
                <w:rFonts w:eastAsia="MS PGothic" w:cstheme="minorHAnsi"/>
                <w:color w:val="002060"/>
                <w:sz w:val="18"/>
                <w:szCs w:val="18"/>
                <w:lang w:val="en-GB" w:eastAsia="ja-JP"/>
              </w:rPr>
              <w:t>1</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val="en-GB" w:eastAsia="ja-JP"/>
              </w:rPr>
              <w:t>3</w:t>
            </w:r>
            <w:r w:rsidRPr="00E93004">
              <w:rPr>
                <w:rFonts w:eastAsia="MS PGothic" w:cstheme="minorHAnsi"/>
                <w:color w:val="002060"/>
                <w:sz w:val="18"/>
                <w:szCs w:val="18"/>
                <w:lang w:val="sr-Cyrl-CS" w:eastAsia="ja-JP"/>
              </w:rPr>
              <w:t>.2021.</w:t>
            </w:r>
          </w:p>
        </w:tc>
      </w:tr>
      <w:tr w:rsidR="00E93004" w:rsidRPr="00E93004" w14:paraId="6D1E7774"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45C52FA3"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 xml:space="preserve">ЈП „Србијагас” </w:t>
            </w:r>
          </w:p>
        </w:tc>
        <w:tc>
          <w:tcPr>
            <w:tcW w:w="1896" w:type="dxa"/>
            <w:tcBorders>
              <w:top w:val="nil"/>
              <w:left w:val="nil"/>
              <w:bottom w:val="nil"/>
              <w:right w:val="nil"/>
            </w:tcBorders>
            <w:shd w:val="clear" w:color="auto" w:fill="auto"/>
            <w:noWrap/>
            <w:vAlign w:val="center"/>
            <w:hideMark/>
          </w:tcPr>
          <w:p w14:paraId="38C15D20"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eastAsia="ja-JP"/>
              </w:rPr>
              <w:t>188</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5</w:t>
            </w:r>
          </w:p>
        </w:tc>
      </w:tr>
      <w:tr w:rsidR="00E93004" w:rsidRPr="00E93004" w14:paraId="69F2B3FF"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44D98D62"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ЈП „Путеви Србије”</w:t>
            </w:r>
          </w:p>
        </w:tc>
        <w:tc>
          <w:tcPr>
            <w:tcW w:w="1896" w:type="dxa"/>
            <w:tcBorders>
              <w:top w:val="nil"/>
              <w:left w:val="nil"/>
              <w:bottom w:val="nil"/>
              <w:right w:val="nil"/>
            </w:tcBorders>
            <w:shd w:val="clear" w:color="auto" w:fill="auto"/>
            <w:noWrap/>
            <w:vAlign w:val="center"/>
            <w:hideMark/>
          </w:tcPr>
          <w:p w14:paraId="6911C656"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eastAsia="ja-JP"/>
              </w:rPr>
              <w:t>271</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2</w:t>
            </w:r>
          </w:p>
        </w:tc>
      </w:tr>
      <w:tr w:rsidR="00E93004" w:rsidRPr="00E93004" w14:paraId="045B4325"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1EF026EA" w14:textId="77777777" w:rsidR="001E3E7D" w:rsidRPr="002D6FE0" w:rsidRDefault="00F00B0B" w:rsidP="00F00B0B">
            <w:pPr>
              <w:spacing w:after="120" w:line="276" w:lineRule="auto"/>
              <w:rPr>
                <w:rFonts w:eastAsia="MS PGothic" w:cstheme="minorHAnsi"/>
                <w:color w:val="002060"/>
                <w:sz w:val="18"/>
                <w:szCs w:val="18"/>
                <w:highlight w:val="yellow"/>
                <w:lang w:val="sr-Cyrl-CS" w:eastAsia="ja-JP"/>
              </w:rPr>
            </w:pPr>
            <w:r w:rsidRPr="007853FB">
              <w:rPr>
                <w:rFonts w:eastAsia="MS PGothic" w:cstheme="minorHAnsi"/>
                <w:color w:val="002060"/>
                <w:sz w:val="18"/>
                <w:szCs w:val="18"/>
                <w:lang w:val="sr-Cyrl-CS" w:eastAsia="ja-JP"/>
              </w:rPr>
              <w:t>„Железнице Србије” а.д.</w:t>
            </w:r>
          </w:p>
        </w:tc>
        <w:tc>
          <w:tcPr>
            <w:tcW w:w="1896" w:type="dxa"/>
            <w:tcBorders>
              <w:top w:val="nil"/>
              <w:left w:val="nil"/>
              <w:bottom w:val="nil"/>
              <w:right w:val="nil"/>
            </w:tcBorders>
            <w:shd w:val="clear" w:color="auto" w:fill="auto"/>
            <w:noWrap/>
            <w:vAlign w:val="center"/>
            <w:hideMark/>
          </w:tcPr>
          <w:p w14:paraId="7E119A59"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151,</w:t>
            </w:r>
            <w:r w:rsidRPr="00E93004">
              <w:rPr>
                <w:rFonts w:eastAsia="MS PGothic" w:cstheme="minorHAnsi"/>
                <w:color w:val="002060"/>
                <w:sz w:val="18"/>
                <w:szCs w:val="18"/>
                <w:lang w:eastAsia="ja-JP"/>
              </w:rPr>
              <w:t>1</w:t>
            </w:r>
          </w:p>
        </w:tc>
      </w:tr>
      <w:tr w:rsidR="00E93004" w:rsidRPr="00E93004" w14:paraId="725B8991"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3C2B8AD4" w14:textId="77777777" w:rsidR="001E3E7D" w:rsidRPr="002D6FE0" w:rsidRDefault="00F00B0B" w:rsidP="00F00B0B">
            <w:pPr>
              <w:spacing w:after="120" w:line="276" w:lineRule="auto"/>
              <w:rPr>
                <w:rFonts w:eastAsia="MS PGothic" w:cstheme="minorHAnsi"/>
                <w:color w:val="002060"/>
                <w:sz w:val="18"/>
                <w:szCs w:val="18"/>
                <w:highlight w:val="yellow"/>
                <w:lang w:val="sr-Cyrl-CS" w:eastAsia="ja-JP"/>
              </w:rPr>
            </w:pPr>
            <w:r w:rsidRPr="007853FB">
              <w:rPr>
                <w:rFonts w:eastAsia="MS PGothic" w:cstheme="minorHAnsi"/>
                <w:color w:val="002060"/>
                <w:sz w:val="18"/>
                <w:szCs w:val="18"/>
                <w:lang w:val="sr-Cyrl-CS" w:eastAsia="ja-JP"/>
              </w:rPr>
              <w:t>„Инфраструктура железнице Србије” а.д.</w:t>
            </w:r>
          </w:p>
        </w:tc>
        <w:tc>
          <w:tcPr>
            <w:tcW w:w="1896" w:type="dxa"/>
            <w:tcBorders>
              <w:top w:val="nil"/>
              <w:left w:val="nil"/>
              <w:bottom w:val="nil"/>
              <w:right w:val="nil"/>
            </w:tcBorders>
            <w:shd w:val="clear" w:color="auto" w:fill="auto"/>
            <w:noWrap/>
            <w:vAlign w:val="center"/>
            <w:hideMark/>
          </w:tcPr>
          <w:p w14:paraId="6D79BD2E"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63,</w:t>
            </w:r>
            <w:r w:rsidRPr="00E93004">
              <w:rPr>
                <w:rFonts w:eastAsia="MS PGothic" w:cstheme="minorHAnsi"/>
                <w:color w:val="002060"/>
                <w:sz w:val="18"/>
                <w:szCs w:val="18"/>
                <w:lang w:eastAsia="ja-JP"/>
              </w:rPr>
              <w:t>1</w:t>
            </w:r>
          </w:p>
        </w:tc>
      </w:tr>
      <w:tr w:rsidR="00E93004" w:rsidRPr="00E93004" w14:paraId="37B2EF2C"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3CB96342" w14:textId="77777777" w:rsidR="001E3E7D" w:rsidRPr="00E93004" w:rsidRDefault="001E3E7D" w:rsidP="004C346D">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 xml:space="preserve">„Србија Воз” </w:t>
            </w:r>
            <w:r w:rsidR="004C346D">
              <w:rPr>
                <w:rFonts w:eastAsia="MS PGothic" w:cstheme="minorHAnsi"/>
                <w:color w:val="002060"/>
                <w:sz w:val="18"/>
                <w:szCs w:val="18"/>
                <w:lang w:val="sr-Cyrl-CS" w:eastAsia="ja-JP"/>
              </w:rPr>
              <w:t>а</w:t>
            </w:r>
            <w:r w:rsidRPr="00E93004">
              <w:rPr>
                <w:rFonts w:eastAsia="MS PGothic" w:cstheme="minorHAnsi"/>
                <w:color w:val="002060"/>
                <w:sz w:val="18"/>
                <w:szCs w:val="18"/>
                <w:lang w:val="sr-Cyrl-CS" w:eastAsia="ja-JP"/>
              </w:rPr>
              <w:t>.д</w:t>
            </w:r>
            <w:r w:rsidR="004C346D">
              <w:rPr>
                <w:rFonts w:eastAsia="MS PGothic" w:cstheme="minorHAnsi"/>
                <w:color w:val="002060"/>
                <w:sz w:val="18"/>
                <w:szCs w:val="18"/>
                <w:lang w:val="sr-Cyrl-CS" w:eastAsia="ja-JP"/>
              </w:rPr>
              <w:t>.</w:t>
            </w:r>
          </w:p>
        </w:tc>
        <w:tc>
          <w:tcPr>
            <w:tcW w:w="1896" w:type="dxa"/>
            <w:tcBorders>
              <w:top w:val="nil"/>
              <w:left w:val="nil"/>
              <w:bottom w:val="nil"/>
              <w:right w:val="nil"/>
            </w:tcBorders>
            <w:shd w:val="clear" w:color="auto" w:fill="auto"/>
            <w:noWrap/>
            <w:vAlign w:val="center"/>
            <w:hideMark/>
          </w:tcPr>
          <w:p w14:paraId="2F219DE4"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29,</w:t>
            </w:r>
            <w:r w:rsidRPr="00E93004">
              <w:rPr>
                <w:rFonts w:eastAsia="MS PGothic" w:cstheme="minorHAnsi"/>
                <w:color w:val="002060"/>
                <w:sz w:val="18"/>
                <w:szCs w:val="18"/>
                <w:lang w:eastAsia="ja-JP"/>
              </w:rPr>
              <w:t>5</w:t>
            </w:r>
          </w:p>
        </w:tc>
      </w:tr>
      <w:tr w:rsidR="00E93004" w:rsidRPr="00E93004" w14:paraId="58F7956A"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668E3F6D"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„Србија Карго” а.д.</w:t>
            </w:r>
          </w:p>
        </w:tc>
        <w:tc>
          <w:tcPr>
            <w:tcW w:w="1896" w:type="dxa"/>
            <w:tcBorders>
              <w:top w:val="nil"/>
              <w:left w:val="nil"/>
              <w:bottom w:val="nil"/>
              <w:right w:val="nil"/>
            </w:tcBorders>
            <w:shd w:val="clear" w:color="auto" w:fill="auto"/>
            <w:noWrap/>
            <w:vAlign w:val="center"/>
            <w:hideMark/>
          </w:tcPr>
          <w:p w14:paraId="7A242DA2"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47,</w:t>
            </w:r>
            <w:r w:rsidRPr="00E93004">
              <w:rPr>
                <w:rFonts w:eastAsia="MS PGothic" w:cstheme="minorHAnsi"/>
                <w:color w:val="002060"/>
                <w:sz w:val="18"/>
                <w:szCs w:val="18"/>
                <w:lang w:eastAsia="ja-JP"/>
              </w:rPr>
              <w:t>1</w:t>
            </w:r>
          </w:p>
        </w:tc>
      </w:tr>
      <w:tr w:rsidR="00E93004" w:rsidRPr="00E93004" w14:paraId="358A38F9"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2D2BDD33"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ЈП „Електропривреда Србије”</w:t>
            </w:r>
          </w:p>
        </w:tc>
        <w:tc>
          <w:tcPr>
            <w:tcW w:w="1896" w:type="dxa"/>
            <w:tcBorders>
              <w:top w:val="nil"/>
              <w:left w:val="nil"/>
              <w:bottom w:val="nil"/>
              <w:right w:val="nil"/>
            </w:tcBorders>
            <w:shd w:val="clear" w:color="auto" w:fill="auto"/>
            <w:noWrap/>
            <w:vAlign w:val="center"/>
            <w:hideMark/>
          </w:tcPr>
          <w:p w14:paraId="06D1B144"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375,</w:t>
            </w:r>
            <w:r w:rsidRPr="00E93004">
              <w:rPr>
                <w:rFonts w:eastAsia="MS PGothic" w:cstheme="minorHAnsi"/>
                <w:color w:val="002060"/>
                <w:sz w:val="18"/>
                <w:szCs w:val="18"/>
                <w:lang w:eastAsia="ja-JP"/>
              </w:rPr>
              <w:t>4</w:t>
            </w:r>
          </w:p>
        </w:tc>
      </w:tr>
      <w:tr w:rsidR="00E93004" w:rsidRPr="00E93004" w14:paraId="6036B696"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12B875F0"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„Електромрежа Србије” а.д.</w:t>
            </w:r>
          </w:p>
        </w:tc>
        <w:tc>
          <w:tcPr>
            <w:tcW w:w="1896" w:type="dxa"/>
            <w:tcBorders>
              <w:top w:val="nil"/>
              <w:left w:val="nil"/>
              <w:bottom w:val="nil"/>
              <w:right w:val="nil"/>
            </w:tcBorders>
            <w:shd w:val="clear" w:color="auto" w:fill="auto"/>
            <w:noWrap/>
            <w:vAlign w:val="center"/>
            <w:hideMark/>
          </w:tcPr>
          <w:p w14:paraId="4991249F"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3</w:t>
            </w:r>
            <w:r w:rsidRPr="00E93004">
              <w:rPr>
                <w:rFonts w:eastAsia="MS PGothic" w:cstheme="minorHAnsi"/>
                <w:color w:val="002060"/>
                <w:sz w:val="18"/>
                <w:szCs w:val="18"/>
                <w:lang w:eastAsia="ja-JP"/>
              </w:rPr>
              <w:t>1</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3</w:t>
            </w:r>
          </w:p>
        </w:tc>
      </w:tr>
      <w:tr w:rsidR="00E93004" w:rsidRPr="00E93004" w14:paraId="639B45CD"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2E0775A1"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Јединице локалне самоуправе (градови и општине)</w:t>
            </w:r>
          </w:p>
        </w:tc>
        <w:tc>
          <w:tcPr>
            <w:tcW w:w="1896" w:type="dxa"/>
            <w:tcBorders>
              <w:top w:val="nil"/>
              <w:left w:val="nil"/>
              <w:bottom w:val="nil"/>
              <w:right w:val="nil"/>
            </w:tcBorders>
            <w:shd w:val="clear" w:color="auto" w:fill="auto"/>
            <w:noWrap/>
            <w:vAlign w:val="center"/>
            <w:hideMark/>
          </w:tcPr>
          <w:p w14:paraId="6F3872DC"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en-GB" w:eastAsia="ja-JP"/>
              </w:rPr>
              <w:t>193</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0</w:t>
            </w:r>
          </w:p>
        </w:tc>
      </w:tr>
      <w:tr w:rsidR="00E93004" w:rsidRPr="00E93004" w14:paraId="1CD72379"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56D1A842"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ФИАТ Аутомобили Србија ДОО</w:t>
            </w:r>
          </w:p>
        </w:tc>
        <w:tc>
          <w:tcPr>
            <w:tcW w:w="1896" w:type="dxa"/>
            <w:tcBorders>
              <w:top w:val="nil"/>
              <w:left w:val="nil"/>
              <w:bottom w:val="nil"/>
              <w:right w:val="nil"/>
            </w:tcBorders>
            <w:shd w:val="clear" w:color="auto" w:fill="auto"/>
            <w:noWrap/>
            <w:vAlign w:val="center"/>
            <w:hideMark/>
          </w:tcPr>
          <w:p w14:paraId="4430BD33"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en-GB" w:eastAsia="ja-JP"/>
              </w:rPr>
              <w:t>3</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1</w:t>
            </w:r>
          </w:p>
        </w:tc>
      </w:tr>
      <w:tr w:rsidR="00E93004" w:rsidRPr="00E93004" w14:paraId="2C1C25E5"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0478998D"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ЈП „Југоимпорт – СДПР”</w:t>
            </w:r>
          </w:p>
        </w:tc>
        <w:tc>
          <w:tcPr>
            <w:tcW w:w="1896" w:type="dxa"/>
            <w:tcBorders>
              <w:top w:val="nil"/>
              <w:left w:val="nil"/>
              <w:bottom w:val="nil"/>
              <w:right w:val="nil"/>
            </w:tcBorders>
            <w:shd w:val="clear" w:color="auto" w:fill="auto"/>
            <w:noWrap/>
            <w:vAlign w:val="center"/>
            <w:hideMark/>
          </w:tcPr>
          <w:p w14:paraId="21A7595E"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1</w:t>
            </w:r>
            <w:r w:rsidRPr="00E93004">
              <w:rPr>
                <w:rFonts w:eastAsia="MS PGothic" w:cstheme="minorHAnsi"/>
                <w:color w:val="002060"/>
                <w:sz w:val="18"/>
                <w:szCs w:val="18"/>
                <w:lang w:eastAsia="ja-JP"/>
              </w:rPr>
              <w:t>0</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4</w:t>
            </w:r>
          </w:p>
        </w:tc>
      </w:tr>
      <w:tr w:rsidR="00E93004" w:rsidRPr="00E93004" w14:paraId="28713865"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4EE68540"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Агенција за контролу летења Србије и Црне Горе</w:t>
            </w:r>
          </w:p>
        </w:tc>
        <w:tc>
          <w:tcPr>
            <w:tcW w:w="1896" w:type="dxa"/>
            <w:tcBorders>
              <w:top w:val="nil"/>
              <w:left w:val="nil"/>
              <w:bottom w:val="nil"/>
              <w:right w:val="nil"/>
            </w:tcBorders>
            <w:shd w:val="clear" w:color="auto" w:fill="auto"/>
            <w:noWrap/>
            <w:vAlign w:val="center"/>
            <w:hideMark/>
          </w:tcPr>
          <w:p w14:paraId="7C92D7E4"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0,</w:t>
            </w:r>
            <w:r w:rsidRPr="00E93004">
              <w:rPr>
                <w:rFonts w:eastAsia="MS PGothic" w:cstheme="minorHAnsi"/>
                <w:color w:val="002060"/>
                <w:sz w:val="18"/>
                <w:szCs w:val="18"/>
                <w:lang w:eastAsia="ja-JP"/>
              </w:rPr>
              <w:t>9</w:t>
            </w:r>
          </w:p>
        </w:tc>
      </w:tr>
      <w:tr w:rsidR="00E93004" w:rsidRPr="00E93004" w14:paraId="4DB73EBE"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1A8D4A31"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„ЈАТ Техника” д.о.о.</w:t>
            </w:r>
          </w:p>
        </w:tc>
        <w:tc>
          <w:tcPr>
            <w:tcW w:w="1896" w:type="dxa"/>
            <w:tcBorders>
              <w:top w:val="nil"/>
              <w:left w:val="nil"/>
              <w:bottom w:val="nil"/>
              <w:right w:val="nil"/>
            </w:tcBorders>
            <w:shd w:val="clear" w:color="auto" w:fill="auto"/>
            <w:noWrap/>
            <w:vAlign w:val="center"/>
            <w:hideMark/>
          </w:tcPr>
          <w:p w14:paraId="396408ED"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2,</w:t>
            </w:r>
            <w:r w:rsidRPr="00E93004">
              <w:rPr>
                <w:rFonts w:eastAsia="MS PGothic" w:cstheme="minorHAnsi"/>
                <w:color w:val="002060"/>
                <w:sz w:val="18"/>
                <w:szCs w:val="18"/>
                <w:lang w:eastAsia="ja-JP"/>
              </w:rPr>
              <w:t>5</w:t>
            </w:r>
          </w:p>
        </w:tc>
      </w:tr>
      <w:tr w:rsidR="00E93004" w:rsidRPr="00E93004" w14:paraId="319705D3" w14:textId="77777777" w:rsidTr="00E93004">
        <w:trPr>
          <w:trHeight w:hRule="exact" w:val="227"/>
          <w:jc w:val="center"/>
        </w:trPr>
        <w:tc>
          <w:tcPr>
            <w:tcW w:w="6700" w:type="dxa"/>
            <w:tcBorders>
              <w:top w:val="nil"/>
              <w:left w:val="nil"/>
              <w:bottom w:val="nil"/>
              <w:right w:val="nil"/>
            </w:tcBorders>
            <w:shd w:val="clear" w:color="auto" w:fill="auto"/>
            <w:noWrap/>
            <w:vAlign w:val="center"/>
            <w:hideMark/>
          </w:tcPr>
          <w:p w14:paraId="09EEE647"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ЈП „Емисиона техника и везе”</w:t>
            </w:r>
          </w:p>
        </w:tc>
        <w:tc>
          <w:tcPr>
            <w:tcW w:w="1896" w:type="dxa"/>
            <w:tcBorders>
              <w:top w:val="nil"/>
              <w:left w:val="nil"/>
              <w:bottom w:val="nil"/>
              <w:right w:val="nil"/>
            </w:tcBorders>
            <w:shd w:val="clear" w:color="auto" w:fill="auto"/>
            <w:noWrap/>
            <w:vAlign w:val="center"/>
            <w:hideMark/>
          </w:tcPr>
          <w:p w14:paraId="2D04F0CF" w14:textId="77777777" w:rsidR="001E3E7D" w:rsidRPr="00E93004" w:rsidRDefault="001E3E7D" w:rsidP="008265F0">
            <w:pPr>
              <w:spacing w:after="120" w:line="276" w:lineRule="auto"/>
              <w:jc w:val="right"/>
              <w:rPr>
                <w:rFonts w:eastAsia="MS PGothic" w:cstheme="minorHAnsi"/>
                <w:color w:val="002060"/>
                <w:sz w:val="18"/>
                <w:szCs w:val="18"/>
                <w:lang w:eastAsia="ja-JP"/>
              </w:rPr>
            </w:pPr>
            <w:r w:rsidRPr="00E93004">
              <w:rPr>
                <w:rFonts w:eastAsia="MS PGothic" w:cstheme="minorHAnsi"/>
                <w:color w:val="002060"/>
                <w:sz w:val="18"/>
                <w:szCs w:val="18"/>
                <w:lang w:val="sr-Cyrl-CS" w:eastAsia="ja-JP"/>
              </w:rPr>
              <w:t>7,</w:t>
            </w:r>
            <w:r w:rsidRPr="00E93004">
              <w:rPr>
                <w:rFonts w:eastAsia="MS PGothic" w:cstheme="minorHAnsi"/>
                <w:color w:val="002060"/>
                <w:sz w:val="18"/>
                <w:szCs w:val="18"/>
                <w:lang w:eastAsia="ja-JP"/>
              </w:rPr>
              <w:t>8</w:t>
            </w:r>
          </w:p>
        </w:tc>
      </w:tr>
      <w:tr w:rsidR="00E93004" w:rsidRPr="00E93004" w14:paraId="1973CDDC" w14:textId="77777777" w:rsidTr="00E93004">
        <w:trPr>
          <w:trHeight w:hRule="exact" w:val="227"/>
          <w:jc w:val="center"/>
        </w:trPr>
        <w:tc>
          <w:tcPr>
            <w:tcW w:w="6700" w:type="dxa"/>
            <w:tcBorders>
              <w:top w:val="nil"/>
              <w:left w:val="nil"/>
              <w:bottom w:val="nil"/>
              <w:right w:val="nil"/>
            </w:tcBorders>
            <w:shd w:val="clear" w:color="auto" w:fill="auto"/>
            <w:noWrap/>
            <w:vAlign w:val="center"/>
          </w:tcPr>
          <w:p w14:paraId="09C73437" w14:textId="77777777" w:rsidR="001E3E7D" w:rsidRPr="00E93004" w:rsidRDefault="001E3E7D" w:rsidP="008265F0">
            <w:pPr>
              <w:spacing w:after="120" w:line="276" w:lineRule="auto"/>
              <w:rPr>
                <w:rFonts w:eastAsia="MS PGothic" w:cstheme="minorHAnsi"/>
                <w:color w:val="002060"/>
                <w:sz w:val="18"/>
                <w:szCs w:val="18"/>
                <w:lang w:val="sr-Cyrl-RS" w:eastAsia="ja-JP"/>
              </w:rPr>
            </w:pPr>
            <w:r w:rsidRPr="00E93004">
              <w:rPr>
                <w:rFonts w:eastAsia="MS PGothic" w:cstheme="minorHAnsi"/>
                <w:color w:val="002060"/>
                <w:sz w:val="18"/>
                <w:szCs w:val="18"/>
                <w:lang w:val="sr-Cyrl-RS" w:eastAsia="ja-JP"/>
              </w:rPr>
              <w:t xml:space="preserve">ЈП </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val="sr-Cyrl-RS" w:eastAsia="ja-JP"/>
              </w:rPr>
              <w:t>Скијалишта Србије</w:t>
            </w:r>
            <w:r w:rsidRPr="00E93004">
              <w:rPr>
                <w:rFonts w:eastAsia="MS PGothic" w:cstheme="minorHAnsi"/>
                <w:color w:val="002060"/>
                <w:sz w:val="18"/>
                <w:szCs w:val="18"/>
                <w:lang w:val="sr-Cyrl-CS" w:eastAsia="ja-JP"/>
              </w:rPr>
              <w:t>”</w:t>
            </w:r>
          </w:p>
        </w:tc>
        <w:tc>
          <w:tcPr>
            <w:tcW w:w="1896" w:type="dxa"/>
            <w:tcBorders>
              <w:top w:val="nil"/>
              <w:left w:val="nil"/>
              <w:bottom w:val="nil"/>
              <w:right w:val="nil"/>
            </w:tcBorders>
            <w:shd w:val="clear" w:color="auto" w:fill="auto"/>
            <w:noWrap/>
            <w:vAlign w:val="center"/>
          </w:tcPr>
          <w:p w14:paraId="3A2ADD2D" w14:textId="77777777" w:rsidR="001E3E7D" w:rsidRPr="00E93004" w:rsidRDefault="001E3E7D" w:rsidP="008265F0">
            <w:pPr>
              <w:spacing w:after="120" w:line="276" w:lineRule="auto"/>
              <w:jc w:val="right"/>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25,7</w:t>
            </w:r>
          </w:p>
        </w:tc>
      </w:tr>
      <w:tr w:rsidR="00E93004" w:rsidRPr="00E93004" w14:paraId="65054D39" w14:textId="77777777" w:rsidTr="00E93004">
        <w:trPr>
          <w:trHeight w:hRule="exact" w:val="227"/>
          <w:jc w:val="center"/>
        </w:trPr>
        <w:tc>
          <w:tcPr>
            <w:tcW w:w="6700" w:type="dxa"/>
            <w:tcBorders>
              <w:top w:val="nil"/>
              <w:left w:val="nil"/>
              <w:bottom w:val="single" w:sz="8" w:space="0" w:color="002060"/>
              <w:right w:val="nil"/>
            </w:tcBorders>
            <w:shd w:val="clear" w:color="auto" w:fill="auto"/>
            <w:noWrap/>
            <w:vAlign w:val="center"/>
            <w:hideMark/>
          </w:tcPr>
          <w:p w14:paraId="0AAD217B" w14:textId="77777777" w:rsidR="001E3E7D" w:rsidRPr="00E93004" w:rsidRDefault="001E3E7D" w:rsidP="008265F0">
            <w:pPr>
              <w:spacing w:after="120" w:line="276" w:lineRule="auto"/>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УКУПНО</w:t>
            </w:r>
          </w:p>
        </w:tc>
        <w:tc>
          <w:tcPr>
            <w:tcW w:w="1896" w:type="dxa"/>
            <w:tcBorders>
              <w:top w:val="nil"/>
              <w:left w:val="nil"/>
              <w:bottom w:val="single" w:sz="8" w:space="0" w:color="002060"/>
              <w:right w:val="nil"/>
            </w:tcBorders>
            <w:shd w:val="clear" w:color="auto" w:fill="auto"/>
            <w:noWrap/>
            <w:vAlign w:val="center"/>
            <w:hideMark/>
          </w:tcPr>
          <w:p w14:paraId="2EEA13C6" w14:textId="77777777" w:rsidR="001E3E7D" w:rsidRPr="00E93004" w:rsidRDefault="001E3E7D" w:rsidP="008265F0">
            <w:pPr>
              <w:spacing w:after="120" w:line="276" w:lineRule="auto"/>
              <w:jc w:val="right"/>
              <w:rPr>
                <w:rFonts w:eastAsia="MS PGothic" w:cstheme="minorHAnsi"/>
                <w:color w:val="002060"/>
                <w:sz w:val="18"/>
                <w:szCs w:val="18"/>
                <w:lang w:val="sr-Cyrl-CS" w:eastAsia="ja-JP"/>
              </w:rPr>
            </w:pPr>
            <w:r w:rsidRPr="00E93004">
              <w:rPr>
                <w:rFonts w:eastAsia="MS PGothic" w:cstheme="minorHAnsi"/>
                <w:color w:val="002060"/>
                <w:sz w:val="18"/>
                <w:szCs w:val="18"/>
                <w:lang w:val="sr-Cyrl-CS" w:eastAsia="ja-JP"/>
              </w:rPr>
              <w:t>1.</w:t>
            </w:r>
            <w:r w:rsidRPr="00E93004">
              <w:rPr>
                <w:rFonts w:eastAsia="MS PGothic" w:cstheme="minorHAnsi"/>
                <w:color w:val="002060"/>
                <w:sz w:val="18"/>
                <w:szCs w:val="18"/>
                <w:lang w:eastAsia="ja-JP"/>
              </w:rPr>
              <w:t>400</w:t>
            </w:r>
            <w:r w:rsidRPr="00E93004">
              <w:rPr>
                <w:rFonts w:eastAsia="MS PGothic" w:cstheme="minorHAnsi"/>
                <w:color w:val="002060"/>
                <w:sz w:val="18"/>
                <w:szCs w:val="18"/>
                <w:lang w:val="sr-Cyrl-CS" w:eastAsia="ja-JP"/>
              </w:rPr>
              <w:t>,</w:t>
            </w:r>
            <w:r w:rsidRPr="00E93004">
              <w:rPr>
                <w:rFonts w:eastAsia="MS PGothic" w:cstheme="minorHAnsi"/>
                <w:color w:val="002060"/>
                <w:sz w:val="18"/>
                <w:szCs w:val="18"/>
                <w:lang w:eastAsia="ja-JP"/>
              </w:rPr>
              <w:t>6</w:t>
            </w:r>
          </w:p>
        </w:tc>
      </w:tr>
    </w:tbl>
    <w:p w14:paraId="177069B0" w14:textId="77777777" w:rsidR="001E3E7D" w:rsidRPr="003907FA" w:rsidRDefault="001E3E7D" w:rsidP="0029416A">
      <w:pPr>
        <w:spacing w:after="120" w:line="276" w:lineRule="auto"/>
        <w:ind w:left="397"/>
        <w:rPr>
          <w:rFonts w:eastAsia="MS PGothic" w:cstheme="minorHAnsi"/>
          <w:sz w:val="16"/>
          <w:szCs w:val="16"/>
          <w:lang w:val="sr-Cyrl-CS" w:eastAsia="ja-JP"/>
        </w:rPr>
      </w:pPr>
      <w:r w:rsidRPr="003907FA">
        <w:rPr>
          <w:rFonts w:eastAsia="MS PGothic" w:cstheme="minorHAnsi"/>
          <w:sz w:val="16"/>
          <w:szCs w:val="16"/>
          <w:lang w:val="sr-Cyrl-CS" w:eastAsia="ja-JP"/>
        </w:rPr>
        <w:t>Извор: Министарство финансија, Управа за јавни дуг</w:t>
      </w:r>
    </w:p>
    <w:p w14:paraId="4E934094" w14:textId="77777777" w:rsidR="001E3E7D" w:rsidRPr="00347E91" w:rsidRDefault="001E3E7D" w:rsidP="008265F0">
      <w:pPr>
        <w:spacing w:after="120" w:line="276" w:lineRule="auto"/>
        <w:rPr>
          <w:rFonts w:eastAsia="MS PGothic" w:cstheme="minorHAnsi"/>
          <w:b/>
          <w:szCs w:val="20"/>
          <w:lang w:val="sr-Cyrl-CS" w:eastAsia="ja-JP"/>
        </w:rPr>
        <w:sectPr w:rsidR="001E3E7D" w:rsidRPr="00347E91" w:rsidSect="009B76B2">
          <w:type w:val="continuous"/>
          <w:pgSz w:w="12240" w:h="15840" w:code="1"/>
          <w:pgMar w:top="1440" w:right="1440" w:bottom="1440" w:left="1440" w:header="720" w:footer="720" w:gutter="0"/>
          <w:cols w:space="720"/>
          <w:docGrid w:linePitch="360"/>
        </w:sectPr>
      </w:pPr>
    </w:p>
    <w:p w14:paraId="02215E16" w14:textId="77777777" w:rsidR="002C06AB" w:rsidRDefault="002C06AB">
      <w:pPr>
        <w:jc w:val="left"/>
        <w:rPr>
          <w:rFonts w:eastAsia="MS PGothic" w:cstheme="minorHAnsi"/>
          <w:szCs w:val="20"/>
          <w:lang w:val="sr-Cyrl-CS" w:eastAsia="ja-JP"/>
        </w:rPr>
      </w:pPr>
      <w:r>
        <w:rPr>
          <w:rFonts w:eastAsia="MS PGothic" w:cstheme="minorHAnsi"/>
          <w:szCs w:val="20"/>
          <w:lang w:val="sr-Cyrl-CS" w:eastAsia="ja-JP"/>
        </w:rPr>
        <w:br w:type="page"/>
      </w:r>
    </w:p>
    <w:p w14:paraId="5523302F" w14:textId="77777777" w:rsidR="001E3E7D" w:rsidRPr="00347E91" w:rsidRDefault="001E3E7D" w:rsidP="008265F0">
      <w:pPr>
        <w:spacing w:after="120" w:line="276" w:lineRule="auto"/>
        <w:rPr>
          <w:rFonts w:eastAsia="MS PGothic" w:cstheme="minorHAnsi"/>
          <w:szCs w:val="20"/>
          <w:lang w:val="sr-Cyrl-CS" w:eastAsia="ja-JP"/>
        </w:rPr>
      </w:pPr>
      <w:r w:rsidRPr="00347E91">
        <w:rPr>
          <w:rFonts w:eastAsia="MS PGothic" w:cstheme="minorHAnsi"/>
          <w:szCs w:val="20"/>
          <w:lang w:val="sr-Cyrl-CS" w:eastAsia="ja-JP"/>
        </w:rPr>
        <w:lastRenderedPageBreak/>
        <w:t>Укупна отплата главнице по основу гарантованих кредита у 2019. години износила је 11,4 млрд динара</w:t>
      </w:r>
      <w:r w:rsidRPr="00347E91">
        <w:rPr>
          <w:rFonts w:eastAsia="MS PGothic" w:cstheme="minorHAnsi"/>
          <w:szCs w:val="20"/>
          <w:lang w:eastAsia="ja-JP"/>
        </w:rPr>
        <w:t xml:space="preserve">, </w:t>
      </w:r>
      <w:r w:rsidRPr="00347E91">
        <w:rPr>
          <w:rFonts w:eastAsia="MS PGothic" w:cstheme="minorHAnsi"/>
          <w:szCs w:val="20"/>
          <w:lang w:val="sr-Cyrl-RS" w:eastAsia="ja-JP"/>
        </w:rPr>
        <w:t>од чега 7,5 млрд утиче на дефицит</w:t>
      </w:r>
      <w:r w:rsidRPr="00347E91">
        <w:rPr>
          <w:rFonts w:eastAsia="MS PGothic" w:cstheme="minorHAnsi"/>
          <w:szCs w:val="20"/>
          <w:lang w:val="sr-Cyrl-CS" w:eastAsia="ja-JP"/>
        </w:rPr>
        <w:t>. Рачуноводствена методологија, до 2014. године, није у расходе укључивала отплате по основу гаранција</w:t>
      </w:r>
      <w:r w:rsidRPr="00347E91">
        <w:rPr>
          <w:rFonts w:eastAsia="MS PGothic" w:cstheme="minorHAnsi"/>
          <w:szCs w:val="20"/>
          <w:vertAlign w:val="superscript"/>
          <w:lang w:val="sr-Cyrl-CS" w:eastAsia="ja-JP"/>
        </w:rPr>
        <w:footnoteReference w:id="7"/>
      </w:r>
      <w:r w:rsidRPr="00347E91">
        <w:rPr>
          <w:rFonts w:eastAsia="MS PGothic" w:cstheme="minorHAnsi"/>
          <w:szCs w:val="20"/>
          <w:lang w:val="sr-Cyrl-CS" w:eastAsia="ja-JP"/>
        </w:rPr>
        <w:t>. Од 2014. године део ових расхода је укључен у расходе буџета</w:t>
      </w:r>
      <w:r w:rsidRPr="00347E91">
        <w:rPr>
          <w:rFonts w:eastAsia="MS PGothic" w:cstheme="minorHAnsi"/>
          <w:szCs w:val="20"/>
          <w:vertAlign w:val="superscript"/>
          <w:lang w:val="sr-Cyrl-CS" w:eastAsia="ja-JP"/>
        </w:rPr>
        <w:footnoteReference w:id="8"/>
      </w:r>
      <w:r w:rsidRPr="00347E91">
        <w:rPr>
          <w:rFonts w:eastAsia="MS PGothic" w:cstheme="minorHAnsi"/>
          <w:szCs w:val="20"/>
          <w:lang w:val="sr-Cyrl-CS" w:eastAsia="ja-JP"/>
        </w:rPr>
        <w:t>. Независно од буџетског и рачуноводственог приказа, дуг који уместо главног дужника плаћа држава повећава укупне потребе за задуживањем.</w:t>
      </w:r>
    </w:p>
    <w:p w14:paraId="41FC4BC6" w14:textId="77777777" w:rsidR="001E3E7D" w:rsidRPr="007065E5" w:rsidRDefault="002C06AB" w:rsidP="007065E5">
      <w:pPr>
        <w:spacing w:after="0" w:line="276" w:lineRule="auto"/>
        <w:jc w:val="center"/>
        <w:rPr>
          <w:rFonts w:eastAsia="MS PGothic" w:cstheme="minorHAnsi"/>
          <w:b/>
          <w:color w:val="002060"/>
          <w:szCs w:val="20"/>
          <w:lang w:val="sr-Cyrl-CS" w:eastAsia="ja-JP"/>
        </w:rPr>
      </w:pPr>
      <w:r>
        <w:rPr>
          <w:rFonts w:eastAsia="MS PGothic" w:cstheme="minorHAnsi"/>
          <w:b/>
          <w:color w:val="002060"/>
          <w:szCs w:val="20"/>
          <w:lang w:val="sr-Cyrl-CS" w:eastAsia="ja-JP"/>
        </w:rPr>
        <w:br w:type="column"/>
      </w:r>
      <w:r w:rsidR="001E3E7D" w:rsidRPr="00871249">
        <w:rPr>
          <w:rFonts w:eastAsia="MS PGothic" w:cstheme="minorHAnsi"/>
          <w:b/>
          <w:color w:val="002060"/>
          <w:szCs w:val="20"/>
          <w:lang w:val="sr-Cyrl-CS" w:eastAsia="ja-JP"/>
        </w:rPr>
        <w:t>Отплата дуга по основу акт</w:t>
      </w:r>
      <w:r w:rsidR="007065E5">
        <w:rPr>
          <w:rFonts w:eastAsia="MS PGothic" w:cstheme="minorHAnsi"/>
          <w:b/>
          <w:color w:val="002060"/>
          <w:szCs w:val="20"/>
          <w:lang w:val="sr-Cyrl-CS" w:eastAsia="ja-JP"/>
        </w:rPr>
        <w:t>ивираних гаранција, млрд динара</w:t>
      </w:r>
    </w:p>
    <w:p w14:paraId="06F3CD77" w14:textId="77777777" w:rsidR="007065E5" w:rsidRPr="00347E91" w:rsidRDefault="007065E5" w:rsidP="004C346D">
      <w:pPr>
        <w:spacing w:after="0" w:line="276" w:lineRule="auto"/>
        <w:rPr>
          <w:rFonts w:eastAsia="MS PGothic" w:cstheme="minorHAnsi"/>
          <w:b/>
          <w:szCs w:val="20"/>
          <w:lang w:val="sr-Cyrl-CS" w:eastAsia="ja-JP"/>
        </w:rPr>
        <w:sectPr w:rsidR="007065E5" w:rsidRPr="00347E91" w:rsidSect="009B76B2">
          <w:type w:val="continuous"/>
          <w:pgSz w:w="12240" w:h="15840" w:code="1"/>
          <w:pgMar w:top="1440" w:right="1440" w:bottom="1440" w:left="1440" w:header="720" w:footer="720" w:gutter="0"/>
          <w:cols w:num="2" w:space="720"/>
          <w:docGrid w:linePitch="360"/>
          <w15:footnoteColumns w:val="1"/>
        </w:sectPr>
      </w:pPr>
      <w:r w:rsidRPr="004D63F3">
        <w:rPr>
          <w:rFonts w:eastAsia="MS PGothic" w:cstheme="minorHAnsi"/>
          <w:b/>
          <w:noProof/>
          <w:color w:val="002060"/>
          <w:szCs w:val="20"/>
        </w:rPr>
        <w:drawing>
          <wp:inline distT="0" distB="0" distL="0" distR="0" wp14:anchorId="2DD80F08" wp14:editId="54C56C90">
            <wp:extent cx="2733675" cy="1764000"/>
            <wp:effectExtent l="0" t="0" r="0" b="8255"/>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521DFC3C" w14:textId="77777777" w:rsidR="001E3E7D" w:rsidRPr="001733E9" w:rsidRDefault="001E3E7D" w:rsidP="004C346D">
      <w:pPr>
        <w:spacing w:after="80" w:line="276" w:lineRule="auto"/>
        <w:jc w:val="center"/>
        <w:rPr>
          <w:rFonts w:eastAsia="MS PGothic" w:cstheme="minorHAnsi"/>
          <w:b/>
          <w:bCs/>
          <w:color w:val="002060"/>
          <w:szCs w:val="20"/>
          <w:lang w:val="sr-Cyrl-CS" w:eastAsia="ja-JP"/>
        </w:rPr>
      </w:pPr>
      <w:r w:rsidRPr="004E0C7D">
        <w:rPr>
          <w:rFonts w:eastAsia="MS PGothic" w:cstheme="minorHAnsi"/>
          <w:b/>
          <w:bCs/>
          <w:color w:val="002060"/>
          <w:szCs w:val="20"/>
          <w:lang w:val="sr-Cyrl-CS" w:eastAsia="ja-JP"/>
        </w:rPr>
        <w:t xml:space="preserve">Табела 15. </w:t>
      </w:r>
      <w:r w:rsidRPr="001733E9">
        <w:rPr>
          <w:rFonts w:eastAsia="MS PGothic" w:cstheme="minorHAnsi"/>
          <w:b/>
          <w:bCs/>
          <w:color w:val="002060"/>
          <w:szCs w:val="20"/>
          <w:lang w:val="sr-Cyrl-CS" w:eastAsia="ja-JP"/>
        </w:rPr>
        <w:t>Укупно плаћене обавезе по основу гаранција по корисницима, млрд динара</w:t>
      </w:r>
    </w:p>
    <w:tbl>
      <w:tblPr>
        <w:tblW w:w="9356" w:type="dxa"/>
        <w:tblLayout w:type="fixed"/>
        <w:tblLook w:val="04A0" w:firstRow="1" w:lastRow="0" w:firstColumn="1" w:lastColumn="0" w:noHBand="0" w:noVBand="1"/>
      </w:tblPr>
      <w:tblGrid>
        <w:gridCol w:w="3682"/>
        <w:gridCol w:w="945"/>
        <w:gridCol w:w="946"/>
        <w:gridCol w:w="946"/>
        <w:gridCol w:w="946"/>
        <w:gridCol w:w="945"/>
        <w:gridCol w:w="946"/>
      </w:tblGrid>
      <w:tr w:rsidR="001E3E7D" w:rsidRPr="00871249" w14:paraId="62C61C87" w14:textId="77777777" w:rsidTr="00F75EAA">
        <w:trPr>
          <w:trHeight w:hRule="exact" w:val="284"/>
          <w:tblHeader/>
        </w:trPr>
        <w:tc>
          <w:tcPr>
            <w:tcW w:w="3683" w:type="dxa"/>
            <w:tcBorders>
              <w:top w:val="single" w:sz="8" w:space="0" w:color="002060"/>
              <w:left w:val="nil"/>
              <w:bottom w:val="single" w:sz="8" w:space="0" w:color="FFFFFF"/>
              <w:right w:val="nil"/>
            </w:tcBorders>
            <w:shd w:val="clear" w:color="auto" w:fill="auto"/>
            <w:noWrap/>
            <w:vAlign w:val="center"/>
            <w:hideMark/>
          </w:tcPr>
          <w:p w14:paraId="636277DD"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 </w:t>
            </w:r>
          </w:p>
        </w:tc>
        <w:tc>
          <w:tcPr>
            <w:tcW w:w="2837" w:type="dxa"/>
            <w:gridSpan w:val="3"/>
            <w:tcBorders>
              <w:top w:val="single" w:sz="8" w:space="0" w:color="002060"/>
              <w:left w:val="nil"/>
              <w:bottom w:val="single" w:sz="8" w:space="0" w:color="002060"/>
              <w:right w:val="nil"/>
            </w:tcBorders>
            <w:shd w:val="clear" w:color="auto" w:fill="auto"/>
            <w:noWrap/>
            <w:vAlign w:val="center"/>
            <w:hideMark/>
          </w:tcPr>
          <w:p w14:paraId="539D52F8"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2020</w:t>
            </w:r>
          </w:p>
        </w:tc>
        <w:tc>
          <w:tcPr>
            <w:tcW w:w="2836" w:type="dxa"/>
            <w:gridSpan w:val="3"/>
            <w:tcBorders>
              <w:top w:val="single" w:sz="8" w:space="0" w:color="002060"/>
              <w:left w:val="nil"/>
              <w:bottom w:val="single" w:sz="8" w:space="0" w:color="002060"/>
              <w:right w:val="nil"/>
            </w:tcBorders>
            <w:shd w:val="clear" w:color="auto" w:fill="auto"/>
            <w:noWrap/>
            <w:vAlign w:val="center"/>
            <w:hideMark/>
          </w:tcPr>
          <w:p w14:paraId="5584CD55"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2021 (до 31.03.)</w:t>
            </w:r>
          </w:p>
        </w:tc>
      </w:tr>
      <w:tr w:rsidR="001E3E7D" w:rsidRPr="00871249" w14:paraId="1D29D077" w14:textId="77777777" w:rsidTr="00F75EAA">
        <w:trPr>
          <w:trHeight w:hRule="exact" w:val="284"/>
          <w:tblHeader/>
        </w:trPr>
        <w:tc>
          <w:tcPr>
            <w:tcW w:w="3683" w:type="dxa"/>
            <w:tcBorders>
              <w:top w:val="nil"/>
              <w:left w:val="nil"/>
              <w:bottom w:val="single" w:sz="8" w:space="0" w:color="002060"/>
              <w:right w:val="nil"/>
            </w:tcBorders>
            <w:shd w:val="clear" w:color="auto" w:fill="auto"/>
            <w:noWrap/>
            <w:vAlign w:val="center"/>
            <w:hideMark/>
          </w:tcPr>
          <w:p w14:paraId="65416166"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Корисник</w:t>
            </w:r>
          </w:p>
        </w:tc>
        <w:tc>
          <w:tcPr>
            <w:tcW w:w="945" w:type="dxa"/>
            <w:tcBorders>
              <w:top w:val="nil"/>
              <w:left w:val="nil"/>
              <w:bottom w:val="single" w:sz="8" w:space="0" w:color="002060"/>
              <w:right w:val="nil"/>
            </w:tcBorders>
            <w:shd w:val="clear" w:color="auto" w:fill="auto"/>
            <w:noWrap/>
            <w:vAlign w:val="center"/>
            <w:hideMark/>
          </w:tcPr>
          <w:p w14:paraId="184277A6"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Главница</w:t>
            </w:r>
          </w:p>
        </w:tc>
        <w:tc>
          <w:tcPr>
            <w:tcW w:w="946" w:type="dxa"/>
            <w:tcBorders>
              <w:top w:val="nil"/>
              <w:left w:val="nil"/>
              <w:bottom w:val="single" w:sz="8" w:space="0" w:color="002060"/>
              <w:right w:val="nil"/>
            </w:tcBorders>
            <w:shd w:val="clear" w:color="auto" w:fill="auto"/>
            <w:noWrap/>
            <w:vAlign w:val="center"/>
            <w:hideMark/>
          </w:tcPr>
          <w:p w14:paraId="48F4DCDE"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Камата</w:t>
            </w:r>
          </w:p>
        </w:tc>
        <w:tc>
          <w:tcPr>
            <w:tcW w:w="945" w:type="dxa"/>
            <w:tcBorders>
              <w:top w:val="nil"/>
              <w:left w:val="nil"/>
              <w:bottom w:val="single" w:sz="8" w:space="0" w:color="002060"/>
              <w:right w:val="nil"/>
            </w:tcBorders>
            <w:shd w:val="clear" w:color="auto" w:fill="auto"/>
            <w:noWrap/>
            <w:vAlign w:val="center"/>
            <w:hideMark/>
          </w:tcPr>
          <w:p w14:paraId="74CA0803"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Укупно</w:t>
            </w:r>
          </w:p>
        </w:tc>
        <w:tc>
          <w:tcPr>
            <w:tcW w:w="946" w:type="dxa"/>
            <w:tcBorders>
              <w:top w:val="nil"/>
              <w:left w:val="nil"/>
              <w:bottom w:val="single" w:sz="8" w:space="0" w:color="002060"/>
              <w:right w:val="nil"/>
            </w:tcBorders>
            <w:shd w:val="clear" w:color="auto" w:fill="auto"/>
            <w:noWrap/>
            <w:vAlign w:val="center"/>
            <w:hideMark/>
          </w:tcPr>
          <w:p w14:paraId="05A2535B"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Главница</w:t>
            </w:r>
          </w:p>
        </w:tc>
        <w:tc>
          <w:tcPr>
            <w:tcW w:w="945" w:type="dxa"/>
            <w:tcBorders>
              <w:top w:val="nil"/>
              <w:left w:val="nil"/>
              <w:bottom w:val="single" w:sz="8" w:space="0" w:color="002060"/>
              <w:right w:val="nil"/>
            </w:tcBorders>
            <w:shd w:val="clear" w:color="auto" w:fill="auto"/>
            <w:noWrap/>
            <w:vAlign w:val="center"/>
            <w:hideMark/>
          </w:tcPr>
          <w:p w14:paraId="3F646BB4"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Камата</w:t>
            </w:r>
          </w:p>
        </w:tc>
        <w:tc>
          <w:tcPr>
            <w:tcW w:w="946" w:type="dxa"/>
            <w:tcBorders>
              <w:top w:val="nil"/>
              <w:left w:val="nil"/>
              <w:bottom w:val="single" w:sz="8" w:space="0" w:color="002060"/>
              <w:right w:val="nil"/>
            </w:tcBorders>
            <w:shd w:val="clear" w:color="auto" w:fill="auto"/>
            <w:noWrap/>
            <w:vAlign w:val="center"/>
            <w:hideMark/>
          </w:tcPr>
          <w:p w14:paraId="0A84A139" w14:textId="77777777" w:rsidR="001E3E7D" w:rsidRPr="00871249" w:rsidRDefault="001E3E7D" w:rsidP="008265F0">
            <w:pPr>
              <w:spacing w:after="120" w:line="276" w:lineRule="auto"/>
              <w:jc w:val="center"/>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Укупно</w:t>
            </w:r>
          </w:p>
        </w:tc>
      </w:tr>
      <w:tr w:rsidR="001E3E7D" w:rsidRPr="00871249" w14:paraId="232EC738" w14:textId="77777777" w:rsidTr="00F75EAA">
        <w:trPr>
          <w:trHeight w:hRule="exact" w:val="227"/>
        </w:trPr>
        <w:tc>
          <w:tcPr>
            <w:tcW w:w="3683" w:type="dxa"/>
            <w:tcBorders>
              <w:top w:val="nil"/>
              <w:left w:val="nil"/>
              <w:bottom w:val="nil"/>
              <w:right w:val="nil"/>
            </w:tcBorders>
            <w:shd w:val="clear" w:color="auto" w:fill="auto"/>
            <w:noWrap/>
            <w:vAlign w:val="center"/>
            <w:hideMark/>
          </w:tcPr>
          <w:p w14:paraId="682F2704"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 xml:space="preserve">ЈП „Србијагас” </w:t>
            </w:r>
          </w:p>
        </w:tc>
        <w:tc>
          <w:tcPr>
            <w:tcW w:w="945" w:type="dxa"/>
            <w:tcBorders>
              <w:top w:val="nil"/>
              <w:left w:val="nil"/>
              <w:bottom w:val="nil"/>
              <w:right w:val="nil"/>
            </w:tcBorders>
            <w:shd w:val="clear" w:color="auto" w:fill="auto"/>
            <w:noWrap/>
            <w:vAlign w:val="center"/>
            <w:hideMark/>
          </w:tcPr>
          <w:p w14:paraId="73F8B0B9"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eastAsia="ja-JP"/>
              </w:rPr>
              <w:t>0</w:t>
            </w:r>
            <w:r w:rsidRPr="00871249">
              <w:rPr>
                <w:rFonts w:eastAsia="MS PGothic" w:cstheme="minorHAnsi"/>
                <w:color w:val="002060"/>
                <w:sz w:val="18"/>
                <w:szCs w:val="18"/>
                <w:lang w:val="sr-Cyrl-CS" w:eastAsia="ja-JP"/>
              </w:rPr>
              <w:t>,6</w:t>
            </w:r>
          </w:p>
        </w:tc>
        <w:tc>
          <w:tcPr>
            <w:tcW w:w="946" w:type="dxa"/>
            <w:tcBorders>
              <w:top w:val="nil"/>
              <w:left w:val="nil"/>
              <w:bottom w:val="nil"/>
              <w:right w:val="nil"/>
            </w:tcBorders>
            <w:shd w:val="clear" w:color="auto" w:fill="auto"/>
            <w:noWrap/>
            <w:vAlign w:val="center"/>
            <w:hideMark/>
          </w:tcPr>
          <w:p w14:paraId="26A0951B"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val="en-GB" w:eastAsia="ja-JP"/>
              </w:rPr>
              <w:t>0</w:t>
            </w:r>
          </w:p>
        </w:tc>
        <w:tc>
          <w:tcPr>
            <w:tcW w:w="945" w:type="dxa"/>
            <w:tcBorders>
              <w:top w:val="nil"/>
              <w:left w:val="nil"/>
              <w:bottom w:val="nil"/>
              <w:right w:val="nil"/>
            </w:tcBorders>
            <w:shd w:val="clear" w:color="auto" w:fill="auto"/>
            <w:noWrap/>
            <w:vAlign w:val="center"/>
            <w:hideMark/>
          </w:tcPr>
          <w:p w14:paraId="7984F5DC"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0,6</w:t>
            </w:r>
          </w:p>
        </w:tc>
        <w:tc>
          <w:tcPr>
            <w:tcW w:w="946" w:type="dxa"/>
            <w:tcBorders>
              <w:top w:val="nil"/>
              <w:left w:val="nil"/>
              <w:bottom w:val="nil"/>
              <w:right w:val="nil"/>
            </w:tcBorders>
            <w:shd w:val="clear" w:color="auto" w:fill="auto"/>
            <w:noWrap/>
            <w:vAlign w:val="center"/>
            <w:hideMark/>
          </w:tcPr>
          <w:p w14:paraId="7CD8FCF1"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en-GB" w:eastAsia="ja-JP"/>
              </w:rPr>
              <w:t>-</w:t>
            </w:r>
          </w:p>
        </w:tc>
        <w:tc>
          <w:tcPr>
            <w:tcW w:w="945" w:type="dxa"/>
            <w:tcBorders>
              <w:top w:val="nil"/>
              <w:left w:val="nil"/>
              <w:bottom w:val="nil"/>
              <w:right w:val="nil"/>
            </w:tcBorders>
            <w:shd w:val="clear" w:color="auto" w:fill="auto"/>
            <w:noWrap/>
            <w:vAlign w:val="center"/>
            <w:hideMark/>
          </w:tcPr>
          <w:p w14:paraId="2B6CABDA"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en-GB" w:eastAsia="ja-JP"/>
              </w:rPr>
              <w:t>-</w:t>
            </w:r>
          </w:p>
        </w:tc>
        <w:tc>
          <w:tcPr>
            <w:tcW w:w="946" w:type="dxa"/>
            <w:tcBorders>
              <w:top w:val="nil"/>
              <w:left w:val="nil"/>
              <w:bottom w:val="nil"/>
              <w:right w:val="nil"/>
            </w:tcBorders>
            <w:shd w:val="clear" w:color="auto" w:fill="auto"/>
            <w:noWrap/>
            <w:vAlign w:val="center"/>
            <w:hideMark/>
          </w:tcPr>
          <w:p w14:paraId="03099F3E"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en-GB" w:eastAsia="ja-JP"/>
              </w:rPr>
              <w:t>-</w:t>
            </w:r>
          </w:p>
        </w:tc>
      </w:tr>
      <w:tr w:rsidR="001E3E7D" w:rsidRPr="00871249" w14:paraId="1A4B1611" w14:textId="77777777" w:rsidTr="00F75EAA">
        <w:trPr>
          <w:trHeight w:hRule="exact" w:val="227"/>
        </w:trPr>
        <w:tc>
          <w:tcPr>
            <w:tcW w:w="3683" w:type="dxa"/>
            <w:tcBorders>
              <w:top w:val="nil"/>
              <w:left w:val="nil"/>
              <w:bottom w:val="nil"/>
              <w:right w:val="nil"/>
            </w:tcBorders>
            <w:shd w:val="clear" w:color="auto" w:fill="auto"/>
            <w:noWrap/>
            <w:vAlign w:val="center"/>
            <w:hideMark/>
          </w:tcPr>
          <w:p w14:paraId="549D83F0"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ЈП „Путеви Србије”</w:t>
            </w:r>
          </w:p>
        </w:tc>
        <w:tc>
          <w:tcPr>
            <w:tcW w:w="945" w:type="dxa"/>
            <w:tcBorders>
              <w:top w:val="nil"/>
              <w:left w:val="nil"/>
              <w:bottom w:val="nil"/>
              <w:right w:val="nil"/>
            </w:tcBorders>
            <w:shd w:val="clear" w:color="auto" w:fill="auto"/>
            <w:noWrap/>
            <w:vAlign w:val="center"/>
            <w:hideMark/>
          </w:tcPr>
          <w:p w14:paraId="39DB81CD"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3,</w:t>
            </w:r>
            <w:r w:rsidRPr="00871249">
              <w:rPr>
                <w:rFonts w:eastAsia="MS PGothic" w:cstheme="minorHAnsi"/>
                <w:color w:val="002060"/>
                <w:sz w:val="18"/>
                <w:szCs w:val="18"/>
                <w:lang w:eastAsia="ja-JP"/>
              </w:rPr>
              <w:t>9</w:t>
            </w:r>
          </w:p>
        </w:tc>
        <w:tc>
          <w:tcPr>
            <w:tcW w:w="946" w:type="dxa"/>
            <w:tcBorders>
              <w:top w:val="nil"/>
              <w:left w:val="nil"/>
              <w:bottom w:val="nil"/>
              <w:right w:val="nil"/>
            </w:tcBorders>
            <w:shd w:val="clear" w:color="auto" w:fill="auto"/>
            <w:noWrap/>
            <w:vAlign w:val="center"/>
            <w:hideMark/>
          </w:tcPr>
          <w:p w14:paraId="350F79BA"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1,3</w:t>
            </w:r>
          </w:p>
        </w:tc>
        <w:tc>
          <w:tcPr>
            <w:tcW w:w="945" w:type="dxa"/>
            <w:tcBorders>
              <w:top w:val="nil"/>
              <w:left w:val="nil"/>
              <w:bottom w:val="nil"/>
              <w:right w:val="nil"/>
            </w:tcBorders>
            <w:shd w:val="clear" w:color="auto" w:fill="auto"/>
            <w:noWrap/>
            <w:vAlign w:val="center"/>
            <w:hideMark/>
          </w:tcPr>
          <w:p w14:paraId="2DBDAFC2"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5,2</w:t>
            </w:r>
          </w:p>
        </w:tc>
        <w:tc>
          <w:tcPr>
            <w:tcW w:w="946" w:type="dxa"/>
            <w:tcBorders>
              <w:top w:val="nil"/>
              <w:left w:val="nil"/>
              <w:bottom w:val="nil"/>
              <w:right w:val="nil"/>
            </w:tcBorders>
            <w:shd w:val="clear" w:color="auto" w:fill="auto"/>
            <w:noWrap/>
            <w:vAlign w:val="center"/>
            <w:hideMark/>
          </w:tcPr>
          <w:p w14:paraId="610C817D"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1,</w:t>
            </w:r>
            <w:r w:rsidRPr="00871249">
              <w:rPr>
                <w:rFonts w:eastAsia="MS PGothic" w:cstheme="minorHAnsi"/>
                <w:color w:val="002060"/>
                <w:sz w:val="18"/>
                <w:szCs w:val="18"/>
                <w:lang w:eastAsia="ja-JP"/>
              </w:rPr>
              <w:t>8</w:t>
            </w:r>
          </w:p>
        </w:tc>
        <w:tc>
          <w:tcPr>
            <w:tcW w:w="945" w:type="dxa"/>
            <w:tcBorders>
              <w:top w:val="nil"/>
              <w:left w:val="nil"/>
              <w:bottom w:val="nil"/>
              <w:right w:val="nil"/>
            </w:tcBorders>
            <w:shd w:val="clear" w:color="auto" w:fill="auto"/>
            <w:noWrap/>
            <w:vAlign w:val="center"/>
            <w:hideMark/>
          </w:tcPr>
          <w:p w14:paraId="37D07459"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eastAsia="ja-JP"/>
              </w:rPr>
              <w:t>0</w:t>
            </w:r>
            <w:r w:rsidRPr="00871249">
              <w:rPr>
                <w:rFonts w:eastAsia="MS PGothic" w:cstheme="minorHAnsi"/>
                <w:color w:val="002060"/>
                <w:sz w:val="18"/>
                <w:szCs w:val="18"/>
                <w:lang w:val="sr-Cyrl-CS" w:eastAsia="ja-JP"/>
              </w:rPr>
              <w:t>,</w:t>
            </w:r>
            <w:r w:rsidRPr="00871249">
              <w:rPr>
                <w:rFonts w:eastAsia="MS PGothic" w:cstheme="minorHAnsi"/>
                <w:color w:val="002060"/>
                <w:sz w:val="18"/>
                <w:szCs w:val="18"/>
                <w:lang w:eastAsia="ja-JP"/>
              </w:rPr>
              <w:t>6</w:t>
            </w:r>
          </w:p>
        </w:tc>
        <w:tc>
          <w:tcPr>
            <w:tcW w:w="946" w:type="dxa"/>
            <w:tcBorders>
              <w:top w:val="nil"/>
              <w:left w:val="nil"/>
              <w:bottom w:val="nil"/>
              <w:right w:val="nil"/>
            </w:tcBorders>
            <w:shd w:val="clear" w:color="auto" w:fill="auto"/>
            <w:noWrap/>
            <w:vAlign w:val="center"/>
            <w:hideMark/>
          </w:tcPr>
          <w:p w14:paraId="530C4F4D"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eastAsia="ja-JP"/>
              </w:rPr>
              <w:t>2</w:t>
            </w:r>
            <w:r w:rsidRPr="00871249">
              <w:rPr>
                <w:rFonts w:eastAsia="MS PGothic" w:cstheme="minorHAnsi"/>
                <w:color w:val="002060"/>
                <w:sz w:val="18"/>
                <w:szCs w:val="18"/>
                <w:lang w:val="sr-Cyrl-CS" w:eastAsia="ja-JP"/>
              </w:rPr>
              <w:t>,</w:t>
            </w:r>
            <w:r w:rsidRPr="00871249">
              <w:rPr>
                <w:rFonts w:eastAsia="MS PGothic" w:cstheme="minorHAnsi"/>
                <w:color w:val="002060"/>
                <w:sz w:val="18"/>
                <w:szCs w:val="18"/>
                <w:lang w:eastAsia="ja-JP"/>
              </w:rPr>
              <w:t>4</w:t>
            </w:r>
          </w:p>
        </w:tc>
      </w:tr>
      <w:tr w:rsidR="001E3E7D" w:rsidRPr="00871249" w14:paraId="007EF377" w14:textId="77777777" w:rsidTr="00F75EAA">
        <w:trPr>
          <w:trHeight w:hRule="exact" w:val="227"/>
        </w:trPr>
        <w:tc>
          <w:tcPr>
            <w:tcW w:w="3683" w:type="dxa"/>
            <w:tcBorders>
              <w:top w:val="nil"/>
              <w:left w:val="nil"/>
              <w:bottom w:val="nil"/>
              <w:right w:val="nil"/>
            </w:tcBorders>
            <w:shd w:val="clear" w:color="auto" w:fill="auto"/>
            <w:noWrap/>
            <w:vAlign w:val="center"/>
            <w:hideMark/>
          </w:tcPr>
          <w:p w14:paraId="4D9A3C87" w14:textId="77777777" w:rsidR="001E3E7D" w:rsidRPr="00871249" w:rsidRDefault="002D6FE0" w:rsidP="008265F0">
            <w:pPr>
              <w:spacing w:after="120" w:line="276" w:lineRule="auto"/>
              <w:rPr>
                <w:rFonts w:eastAsia="MS PGothic" w:cstheme="minorHAnsi"/>
                <w:color w:val="002060"/>
                <w:sz w:val="18"/>
                <w:szCs w:val="18"/>
                <w:lang w:val="sr-Cyrl-CS" w:eastAsia="ja-JP"/>
              </w:rPr>
            </w:pPr>
            <w:r w:rsidRPr="00F75EAA">
              <w:rPr>
                <w:rFonts w:eastAsia="MS PGothic" w:cstheme="minorHAnsi"/>
                <w:color w:val="002060"/>
                <w:sz w:val="18"/>
                <w:szCs w:val="18"/>
                <w:lang w:val="sr-Cyrl-CS" w:eastAsia="ja-JP"/>
              </w:rPr>
              <w:t>„Железнице Србије” а.</w:t>
            </w:r>
            <w:r w:rsidR="001E3E7D" w:rsidRPr="00F75EAA">
              <w:rPr>
                <w:rFonts w:eastAsia="MS PGothic" w:cstheme="minorHAnsi"/>
                <w:color w:val="002060"/>
                <w:sz w:val="18"/>
                <w:szCs w:val="18"/>
                <w:lang w:val="sr-Cyrl-CS" w:eastAsia="ja-JP"/>
              </w:rPr>
              <w:t>д.</w:t>
            </w:r>
          </w:p>
        </w:tc>
        <w:tc>
          <w:tcPr>
            <w:tcW w:w="945" w:type="dxa"/>
            <w:tcBorders>
              <w:top w:val="nil"/>
              <w:left w:val="nil"/>
              <w:bottom w:val="nil"/>
              <w:right w:val="nil"/>
            </w:tcBorders>
            <w:shd w:val="clear" w:color="auto" w:fill="auto"/>
            <w:noWrap/>
            <w:vAlign w:val="center"/>
            <w:hideMark/>
          </w:tcPr>
          <w:p w14:paraId="3110E348"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4,2</w:t>
            </w:r>
          </w:p>
        </w:tc>
        <w:tc>
          <w:tcPr>
            <w:tcW w:w="946" w:type="dxa"/>
            <w:tcBorders>
              <w:top w:val="nil"/>
              <w:left w:val="nil"/>
              <w:bottom w:val="nil"/>
              <w:right w:val="nil"/>
            </w:tcBorders>
            <w:shd w:val="clear" w:color="auto" w:fill="auto"/>
            <w:noWrap/>
            <w:vAlign w:val="center"/>
            <w:hideMark/>
          </w:tcPr>
          <w:p w14:paraId="6FEC0BA2"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0,6</w:t>
            </w:r>
          </w:p>
        </w:tc>
        <w:tc>
          <w:tcPr>
            <w:tcW w:w="945" w:type="dxa"/>
            <w:tcBorders>
              <w:top w:val="nil"/>
              <w:left w:val="nil"/>
              <w:bottom w:val="nil"/>
              <w:right w:val="nil"/>
            </w:tcBorders>
            <w:shd w:val="clear" w:color="auto" w:fill="auto"/>
            <w:noWrap/>
            <w:vAlign w:val="center"/>
            <w:hideMark/>
          </w:tcPr>
          <w:p w14:paraId="4D8734D2"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4,8</w:t>
            </w:r>
          </w:p>
        </w:tc>
        <w:tc>
          <w:tcPr>
            <w:tcW w:w="946" w:type="dxa"/>
            <w:tcBorders>
              <w:top w:val="nil"/>
              <w:left w:val="nil"/>
              <w:bottom w:val="nil"/>
              <w:right w:val="nil"/>
            </w:tcBorders>
            <w:shd w:val="clear" w:color="auto" w:fill="auto"/>
            <w:noWrap/>
            <w:vAlign w:val="center"/>
            <w:hideMark/>
          </w:tcPr>
          <w:p w14:paraId="57023694"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eastAsia="ja-JP"/>
              </w:rPr>
              <w:t>1</w:t>
            </w:r>
            <w:r w:rsidRPr="00871249">
              <w:rPr>
                <w:rFonts w:eastAsia="MS PGothic" w:cstheme="minorHAnsi"/>
                <w:color w:val="002060"/>
                <w:sz w:val="18"/>
                <w:szCs w:val="18"/>
                <w:lang w:val="sr-Cyrl-CS" w:eastAsia="ja-JP"/>
              </w:rPr>
              <w:t>,2</w:t>
            </w:r>
          </w:p>
        </w:tc>
        <w:tc>
          <w:tcPr>
            <w:tcW w:w="945" w:type="dxa"/>
            <w:tcBorders>
              <w:top w:val="nil"/>
              <w:left w:val="nil"/>
              <w:bottom w:val="nil"/>
              <w:right w:val="nil"/>
            </w:tcBorders>
            <w:shd w:val="clear" w:color="auto" w:fill="auto"/>
            <w:noWrap/>
            <w:vAlign w:val="center"/>
            <w:hideMark/>
          </w:tcPr>
          <w:p w14:paraId="0AF4A0E3"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eastAsia="ja-JP"/>
              </w:rPr>
              <w:t>1</w:t>
            </w:r>
          </w:p>
        </w:tc>
        <w:tc>
          <w:tcPr>
            <w:tcW w:w="946" w:type="dxa"/>
            <w:tcBorders>
              <w:top w:val="nil"/>
              <w:left w:val="nil"/>
              <w:bottom w:val="nil"/>
              <w:right w:val="nil"/>
            </w:tcBorders>
            <w:shd w:val="clear" w:color="auto" w:fill="auto"/>
            <w:noWrap/>
            <w:vAlign w:val="center"/>
            <w:hideMark/>
          </w:tcPr>
          <w:p w14:paraId="65CCE520"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eastAsia="ja-JP"/>
              </w:rPr>
              <w:t>1</w:t>
            </w:r>
            <w:r w:rsidRPr="00871249">
              <w:rPr>
                <w:rFonts w:eastAsia="MS PGothic" w:cstheme="minorHAnsi"/>
                <w:color w:val="002060"/>
                <w:sz w:val="18"/>
                <w:szCs w:val="18"/>
                <w:lang w:val="sr-Cyrl-CS" w:eastAsia="ja-JP"/>
              </w:rPr>
              <w:t>,</w:t>
            </w:r>
            <w:r w:rsidRPr="00871249">
              <w:rPr>
                <w:rFonts w:eastAsia="MS PGothic" w:cstheme="minorHAnsi"/>
                <w:color w:val="002060"/>
                <w:sz w:val="18"/>
                <w:szCs w:val="18"/>
                <w:lang w:eastAsia="ja-JP"/>
              </w:rPr>
              <w:t>3</w:t>
            </w:r>
          </w:p>
        </w:tc>
      </w:tr>
      <w:tr w:rsidR="001E3E7D" w:rsidRPr="00871249" w14:paraId="7C33FAD8" w14:textId="77777777" w:rsidTr="00F75EAA">
        <w:trPr>
          <w:trHeight w:hRule="exact" w:val="227"/>
        </w:trPr>
        <w:tc>
          <w:tcPr>
            <w:tcW w:w="3683" w:type="dxa"/>
            <w:tcBorders>
              <w:top w:val="nil"/>
              <w:left w:val="nil"/>
              <w:bottom w:val="nil"/>
              <w:right w:val="nil"/>
            </w:tcBorders>
            <w:shd w:val="clear" w:color="auto" w:fill="auto"/>
            <w:noWrap/>
            <w:vAlign w:val="center"/>
            <w:hideMark/>
          </w:tcPr>
          <w:p w14:paraId="214ED2DB" w14:textId="77777777" w:rsidR="001E3E7D" w:rsidRPr="00871249" w:rsidRDefault="00F75EAA" w:rsidP="008265F0">
            <w:pPr>
              <w:spacing w:after="120" w:line="276" w:lineRule="auto"/>
              <w:rPr>
                <w:rFonts w:eastAsia="MS PGothic" w:cstheme="minorHAnsi"/>
                <w:color w:val="002060"/>
                <w:sz w:val="18"/>
                <w:szCs w:val="18"/>
                <w:lang w:val="sr-Cyrl-CS" w:eastAsia="ja-JP"/>
              </w:rPr>
            </w:pPr>
            <w:r>
              <w:rPr>
                <w:rFonts w:eastAsia="MS PGothic" w:cstheme="minorHAnsi"/>
                <w:color w:val="002060"/>
                <w:sz w:val="18"/>
                <w:szCs w:val="18"/>
                <w:lang w:val="sr-Cyrl-CS" w:eastAsia="ja-JP"/>
              </w:rPr>
              <w:t>„Галеника” а.</w:t>
            </w:r>
            <w:r w:rsidR="001E3E7D" w:rsidRPr="00871249">
              <w:rPr>
                <w:rFonts w:eastAsia="MS PGothic" w:cstheme="minorHAnsi"/>
                <w:color w:val="002060"/>
                <w:sz w:val="18"/>
                <w:szCs w:val="18"/>
                <w:lang w:val="sr-Cyrl-CS" w:eastAsia="ja-JP"/>
              </w:rPr>
              <w:t>д.</w:t>
            </w:r>
          </w:p>
        </w:tc>
        <w:tc>
          <w:tcPr>
            <w:tcW w:w="945" w:type="dxa"/>
            <w:tcBorders>
              <w:top w:val="nil"/>
              <w:left w:val="nil"/>
              <w:bottom w:val="nil"/>
              <w:right w:val="nil"/>
            </w:tcBorders>
            <w:shd w:val="clear" w:color="auto" w:fill="auto"/>
            <w:noWrap/>
            <w:vAlign w:val="center"/>
            <w:hideMark/>
          </w:tcPr>
          <w:p w14:paraId="67FBDEFE"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hideMark/>
          </w:tcPr>
          <w:p w14:paraId="44A6ADE6"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hideMark/>
          </w:tcPr>
          <w:p w14:paraId="496A16D6"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val="en-GB" w:eastAsia="ja-JP"/>
              </w:rPr>
              <w:t>0</w:t>
            </w:r>
          </w:p>
        </w:tc>
        <w:tc>
          <w:tcPr>
            <w:tcW w:w="946" w:type="dxa"/>
            <w:tcBorders>
              <w:top w:val="nil"/>
              <w:left w:val="nil"/>
              <w:bottom w:val="nil"/>
              <w:right w:val="nil"/>
            </w:tcBorders>
            <w:shd w:val="clear" w:color="auto" w:fill="auto"/>
            <w:noWrap/>
            <w:vAlign w:val="center"/>
            <w:hideMark/>
          </w:tcPr>
          <w:p w14:paraId="05FAF81F"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hideMark/>
          </w:tcPr>
          <w:p w14:paraId="080D71B7"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en-GB" w:eastAsia="ja-JP"/>
              </w:rPr>
              <w:t>-</w:t>
            </w:r>
          </w:p>
        </w:tc>
        <w:tc>
          <w:tcPr>
            <w:tcW w:w="946" w:type="dxa"/>
            <w:tcBorders>
              <w:top w:val="nil"/>
              <w:left w:val="nil"/>
              <w:bottom w:val="nil"/>
              <w:right w:val="nil"/>
            </w:tcBorders>
            <w:shd w:val="clear" w:color="auto" w:fill="auto"/>
            <w:noWrap/>
            <w:vAlign w:val="center"/>
            <w:hideMark/>
          </w:tcPr>
          <w:p w14:paraId="06D032A8"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r>
      <w:tr w:rsidR="001E3E7D" w:rsidRPr="00871249" w14:paraId="3878777F" w14:textId="77777777" w:rsidTr="00F75EAA">
        <w:trPr>
          <w:trHeight w:hRule="exact" w:val="227"/>
        </w:trPr>
        <w:tc>
          <w:tcPr>
            <w:tcW w:w="3683" w:type="dxa"/>
            <w:tcBorders>
              <w:top w:val="nil"/>
              <w:left w:val="nil"/>
              <w:bottom w:val="nil"/>
              <w:right w:val="nil"/>
            </w:tcBorders>
            <w:shd w:val="clear" w:color="auto" w:fill="auto"/>
            <w:noWrap/>
            <w:vAlign w:val="center"/>
          </w:tcPr>
          <w:p w14:paraId="712B29ED"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Емисиона техника и везе</w:t>
            </w:r>
          </w:p>
        </w:tc>
        <w:tc>
          <w:tcPr>
            <w:tcW w:w="945" w:type="dxa"/>
            <w:tcBorders>
              <w:top w:val="nil"/>
              <w:left w:val="nil"/>
              <w:bottom w:val="nil"/>
              <w:right w:val="nil"/>
            </w:tcBorders>
            <w:shd w:val="clear" w:color="auto" w:fill="auto"/>
            <w:noWrap/>
            <w:vAlign w:val="center"/>
          </w:tcPr>
          <w:p w14:paraId="1FF453DF"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0,3</w:t>
            </w:r>
          </w:p>
        </w:tc>
        <w:tc>
          <w:tcPr>
            <w:tcW w:w="946" w:type="dxa"/>
            <w:tcBorders>
              <w:top w:val="nil"/>
              <w:left w:val="nil"/>
              <w:bottom w:val="nil"/>
              <w:right w:val="nil"/>
            </w:tcBorders>
            <w:shd w:val="clear" w:color="auto" w:fill="auto"/>
            <w:noWrap/>
            <w:vAlign w:val="center"/>
          </w:tcPr>
          <w:p w14:paraId="7B4265B4"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3D44A679"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0,3</w:t>
            </w:r>
          </w:p>
        </w:tc>
        <w:tc>
          <w:tcPr>
            <w:tcW w:w="946" w:type="dxa"/>
            <w:tcBorders>
              <w:top w:val="nil"/>
              <w:left w:val="nil"/>
              <w:bottom w:val="nil"/>
              <w:right w:val="nil"/>
            </w:tcBorders>
            <w:shd w:val="clear" w:color="auto" w:fill="auto"/>
            <w:noWrap/>
            <w:vAlign w:val="center"/>
          </w:tcPr>
          <w:p w14:paraId="0DB34202"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tcPr>
          <w:p w14:paraId="30F7F63B"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33AE156B"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r>
      <w:tr w:rsidR="001E3E7D" w:rsidRPr="00871249" w14:paraId="6837904B" w14:textId="77777777" w:rsidTr="00F75EAA">
        <w:trPr>
          <w:trHeight w:hRule="exact" w:val="227"/>
        </w:trPr>
        <w:tc>
          <w:tcPr>
            <w:tcW w:w="3683" w:type="dxa"/>
            <w:tcBorders>
              <w:top w:val="nil"/>
              <w:left w:val="nil"/>
              <w:bottom w:val="nil"/>
              <w:right w:val="nil"/>
            </w:tcBorders>
            <w:shd w:val="clear" w:color="auto" w:fill="auto"/>
            <w:noWrap/>
            <w:vAlign w:val="center"/>
          </w:tcPr>
          <w:p w14:paraId="008D23E0" w14:textId="77777777" w:rsidR="001E3E7D" w:rsidRPr="00F75EAA" w:rsidRDefault="002D6FE0" w:rsidP="008265F0">
            <w:pPr>
              <w:spacing w:after="120" w:line="276" w:lineRule="auto"/>
              <w:rPr>
                <w:rFonts w:eastAsia="MS PGothic" w:cstheme="minorHAnsi"/>
                <w:color w:val="002060"/>
                <w:sz w:val="18"/>
                <w:szCs w:val="18"/>
                <w:lang w:val="sr-Cyrl-CS" w:eastAsia="ja-JP"/>
              </w:rPr>
            </w:pPr>
            <w:r w:rsidRPr="00F75EAA">
              <w:rPr>
                <w:rFonts w:eastAsia="MS PGothic" w:cstheme="minorHAnsi"/>
                <w:color w:val="002060"/>
                <w:sz w:val="18"/>
                <w:szCs w:val="18"/>
                <w:lang w:val="sr-Cyrl-CS" w:eastAsia="ja-JP"/>
              </w:rPr>
              <w:t>„Инфраструктура железнице Србије” а.д.</w:t>
            </w:r>
          </w:p>
        </w:tc>
        <w:tc>
          <w:tcPr>
            <w:tcW w:w="945" w:type="dxa"/>
            <w:tcBorders>
              <w:top w:val="nil"/>
              <w:left w:val="nil"/>
              <w:bottom w:val="nil"/>
              <w:right w:val="nil"/>
            </w:tcBorders>
            <w:shd w:val="clear" w:color="auto" w:fill="auto"/>
            <w:noWrap/>
            <w:vAlign w:val="center"/>
          </w:tcPr>
          <w:p w14:paraId="41A5E898" w14:textId="77777777" w:rsidR="001E3E7D" w:rsidRPr="00871249" w:rsidRDefault="001E3E7D" w:rsidP="008265F0">
            <w:pPr>
              <w:spacing w:after="120" w:line="276" w:lineRule="auto"/>
              <w:jc w:val="right"/>
              <w:rPr>
                <w:rFonts w:eastAsia="MS PGothic" w:cstheme="minorHAnsi"/>
                <w:color w:val="002060"/>
                <w:sz w:val="18"/>
                <w:szCs w:val="18"/>
                <w:lang w:val="en-GB" w:eastAsia="ja-JP"/>
              </w:rPr>
            </w:pPr>
            <w:r w:rsidRPr="00871249">
              <w:rPr>
                <w:rFonts w:eastAsia="MS PGothic" w:cstheme="minorHAnsi"/>
                <w:color w:val="002060"/>
                <w:sz w:val="18"/>
                <w:szCs w:val="18"/>
                <w:lang w:val="en-GB" w:eastAsia="ja-JP"/>
              </w:rPr>
              <w:t>1,2</w:t>
            </w:r>
          </w:p>
        </w:tc>
        <w:tc>
          <w:tcPr>
            <w:tcW w:w="946" w:type="dxa"/>
            <w:tcBorders>
              <w:top w:val="nil"/>
              <w:left w:val="nil"/>
              <w:bottom w:val="nil"/>
              <w:right w:val="nil"/>
            </w:tcBorders>
            <w:shd w:val="clear" w:color="auto" w:fill="auto"/>
            <w:noWrap/>
            <w:vAlign w:val="center"/>
          </w:tcPr>
          <w:p w14:paraId="14D8ED1C"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610CFA9A"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49F6BEF6"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eastAsia="ja-JP"/>
              </w:rPr>
              <w:t>5</w:t>
            </w:r>
          </w:p>
        </w:tc>
        <w:tc>
          <w:tcPr>
            <w:tcW w:w="945" w:type="dxa"/>
            <w:tcBorders>
              <w:top w:val="nil"/>
              <w:left w:val="nil"/>
              <w:bottom w:val="nil"/>
              <w:right w:val="nil"/>
            </w:tcBorders>
            <w:shd w:val="clear" w:color="auto" w:fill="auto"/>
            <w:noWrap/>
            <w:vAlign w:val="center"/>
          </w:tcPr>
          <w:p w14:paraId="1A08B51E"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5B18F9E4"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eastAsia="ja-JP"/>
              </w:rPr>
              <w:t>0</w:t>
            </w:r>
            <w:r w:rsidRPr="00871249">
              <w:rPr>
                <w:rFonts w:eastAsia="MS PGothic" w:cstheme="minorHAnsi"/>
                <w:color w:val="002060"/>
                <w:sz w:val="18"/>
                <w:szCs w:val="18"/>
                <w:lang w:val="sr-Cyrl-CS" w:eastAsia="ja-JP"/>
              </w:rPr>
              <w:t>,</w:t>
            </w:r>
            <w:r w:rsidRPr="00871249">
              <w:rPr>
                <w:rFonts w:eastAsia="MS PGothic" w:cstheme="minorHAnsi"/>
                <w:color w:val="002060"/>
                <w:sz w:val="18"/>
                <w:szCs w:val="18"/>
                <w:lang w:eastAsia="ja-JP"/>
              </w:rPr>
              <w:t>5</w:t>
            </w:r>
          </w:p>
        </w:tc>
      </w:tr>
      <w:tr w:rsidR="001E3E7D" w:rsidRPr="00871249" w14:paraId="06A0A7EA" w14:textId="77777777" w:rsidTr="00F75EAA">
        <w:trPr>
          <w:trHeight w:hRule="exact" w:val="227"/>
        </w:trPr>
        <w:tc>
          <w:tcPr>
            <w:tcW w:w="3683" w:type="dxa"/>
            <w:tcBorders>
              <w:top w:val="nil"/>
              <w:left w:val="nil"/>
              <w:bottom w:val="nil"/>
              <w:right w:val="nil"/>
            </w:tcBorders>
            <w:shd w:val="clear" w:color="auto" w:fill="auto"/>
            <w:noWrap/>
            <w:vAlign w:val="center"/>
          </w:tcPr>
          <w:p w14:paraId="36A77FBD" w14:textId="77777777" w:rsidR="001E3E7D" w:rsidRPr="00F75EAA" w:rsidRDefault="002D6FE0" w:rsidP="008265F0">
            <w:pPr>
              <w:spacing w:after="120" w:line="276" w:lineRule="auto"/>
              <w:rPr>
                <w:rFonts w:eastAsia="MS PGothic" w:cstheme="minorHAnsi"/>
                <w:color w:val="002060"/>
                <w:sz w:val="18"/>
                <w:szCs w:val="18"/>
                <w:lang w:val="sr-Cyrl-CS" w:eastAsia="ja-JP"/>
              </w:rPr>
            </w:pPr>
            <w:r w:rsidRPr="00F75EAA">
              <w:rPr>
                <w:rFonts w:eastAsia="MS PGothic" w:cstheme="minorHAnsi"/>
                <w:color w:val="002060"/>
                <w:sz w:val="18"/>
                <w:szCs w:val="18"/>
                <w:lang w:val="sr-Cyrl-CS" w:eastAsia="ja-JP"/>
              </w:rPr>
              <w:t>„Србија Воз” а.д.</w:t>
            </w:r>
          </w:p>
        </w:tc>
        <w:tc>
          <w:tcPr>
            <w:tcW w:w="945" w:type="dxa"/>
            <w:tcBorders>
              <w:top w:val="nil"/>
              <w:left w:val="nil"/>
              <w:bottom w:val="nil"/>
              <w:right w:val="nil"/>
            </w:tcBorders>
            <w:shd w:val="clear" w:color="auto" w:fill="auto"/>
            <w:noWrap/>
            <w:vAlign w:val="center"/>
          </w:tcPr>
          <w:p w14:paraId="52DC3E1D"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0,1</w:t>
            </w:r>
          </w:p>
        </w:tc>
        <w:tc>
          <w:tcPr>
            <w:tcW w:w="946" w:type="dxa"/>
            <w:tcBorders>
              <w:top w:val="nil"/>
              <w:left w:val="nil"/>
              <w:bottom w:val="nil"/>
              <w:right w:val="nil"/>
            </w:tcBorders>
            <w:shd w:val="clear" w:color="auto" w:fill="auto"/>
            <w:noWrap/>
            <w:vAlign w:val="center"/>
          </w:tcPr>
          <w:p w14:paraId="6647D12C"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0,1</w:t>
            </w:r>
          </w:p>
        </w:tc>
        <w:tc>
          <w:tcPr>
            <w:tcW w:w="945" w:type="dxa"/>
            <w:tcBorders>
              <w:top w:val="nil"/>
              <w:left w:val="nil"/>
              <w:bottom w:val="nil"/>
              <w:right w:val="nil"/>
            </w:tcBorders>
            <w:shd w:val="clear" w:color="auto" w:fill="auto"/>
            <w:noWrap/>
            <w:vAlign w:val="center"/>
          </w:tcPr>
          <w:p w14:paraId="6C3081BD"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0,2</w:t>
            </w:r>
          </w:p>
        </w:tc>
        <w:tc>
          <w:tcPr>
            <w:tcW w:w="946" w:type="dxa"/>
            <w:tcBorders>
              <w:top w:val="nil"/>
              <w:left w:val="nil"/>
              <w:bottom w:val="nil"/>
              <w:right w:val="nil"/>
            </w:tcBorders>
            <w:shd w:val="clear" w:color="auto" w:fill="auto"/>
            <w:noWrap/>
            <w:vAlign w:val="center"/>
          </w:tcPr>
          <w:p w14:paraId="1BEE1A1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186A8898"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4A06EC36"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eastAsia="ja-JP"/>
              </w:rPr>
              <w:t>0</w:t>
            </w:r>
          </w:p>
        </w:tc>
      </w:tr>
      <w:tr w:rsidR="001E3E7D" w:rsidRPr="00871249" w14:paraId="29D324E9" w14:textId="77777777" w:rsidTr="00F75EAA">
        <w:trPr>
          <w:trHeight w:hRule="exact" w:val="227"/>
        </w:trPr>
        <w:tc>
          <w:tcPr>
            <w:tcW w:w="3683" w:type="dxa"/>
            <w:tcBorders>
              <w:top w:val="nil"/>
              <w:left w:val="nil"/>
              <w:bottom w:val="nil"/>
              <w:right w:val="nil"/>
            </w:tcBorders>
            <w:shd w:val="clear" w:color="auto" w:fill="auto"/>
            <w:noWrap/>
            <w:vAlign w:val="center"/>
          </w:tcPr>
          <w:p w14:paraId="5C567CBF" w14:textId="77777777" w:rsidR="001E3E7D" w:rsidRPr="00F75EAA" w:rsidRDefault="002D6FE0" w:rsidP="008265F0">
            <w:pPr>
              <w:spacing w:after="120" w:line="276" w:lineRule="auto"/>
              <w:rPr>
                <w:rFonts w:eastAsia="MS PGothic" w:cstheme="minorHAnsi"/>
                <w:color w:val="002060"/>
                <w:sz w:val="18"/>
                <w:szCs w:val="18"/>
                <w:lang w:val="sr-Cyrl-CS" w:eastAsia="ja-JP"/>
              </w:rPr>
            </w:pPr>
            <w:r w:rsidRPr="00F75EAA">
              <w:rPr>
                <w:rFonts w:eastAsia="MS PGothic" w:cstheme="minorHAnsi"/>
                <w:color w:val="002060"/>
                <w:sz w:val="18"/>
                <w:szCs w:val="18"/>
                <w:lang w:val="sr-Cyrl-CS" w:eastAsia="ja-JP"/>
              </w:rPr>
              <w:t>„Србија Карго” а.д.</w:t>
            </w:r>
          </w:p>
        </w:tc>
        <w:tc>
          <w:tcPr>
            <w:tcW w:w="945" w:type="dxa"/>
            <w:tcBorders>
              <w:top w:val="nil"/>
              <w:left w:val="nil"/>
              <w:bottom w:val="nil"/>
              <w:right w:val="nil"/>
            </w:tcBorders>
            <w:shd w:val="clear" w:color="auto" w:fill="auto"/>
            <w:noWrap/>
            <w:vAlign w:val="center"/>
          </w:tcPr>
          <w:p w14:paraId="7CFC82D3"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7E33D7E1"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25EDBD1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1,2</w:t>
            </w:r>
          </w:p>
        </w:tc>
        <w:tc>
          <w:tcPr>
            <w:tcW w:w="946" w:type="dxa"/>
            <w:tcBorders>
              <w:top w:val="nil"/>
              <w:left w:val="nil"/>
              <w:bottom w:val="nil"/>
              <w:right w:val="nil"/>
            </w:tcBorders>
            <w:shd w:val="clear" w:color="auto" w:fill="auto"/>
            <w:noWrap/>
            <w:vAlign w:val="center"/>
          </w:tcPr>
          <w:p w14:paraId="2C7ADF1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tcPr>
          <w:p w14:paraId="00CC30E6"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347C90FE"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r>
      <w:tr w:rsidR="001E3E7D" w:rsidRPr="00871249" w14:paraId="3D8DDE77" w14:textId="77777777" w:rsidTr="00F75EAA">
        <w:trPr>
          <w:trHeight w:hRule="exact" w:val="227"/>
        </w:trPr>
        <w:tc>
          <w:tcPr>
            <w:tcW w:w="3683" w:type="dxa"/>
            <w:tcBorders>
              <w:top w:val="nil"/>
              <w:left w:val="nil"/>
              <w:bottom w:val="nil"/>
              <w:right w:val="nil"/>
            </w:tcBorders>
            <w:shd w:val="clear" w:color="auto" w:fill="auto"/>
            <w:noWrap/>
            <w:vAlign w:val="center"/>
          </w:tcPr>
          <w:p w14:paraId="243BCC4F" w14:textId="77777777" w:rsidR="001E3E7D" w:rsidRPr="00871249" w:rsidRDefault="001E3E7D" w:rsidP="008265F0">
            <w:pPr>
              <w:spacing w:after="120" w:line="276" w:lineRule="auto"/>
              <w:rPr>
                <w:rFonts w:eastAsia="MS PGothic" w:cstheme="minorHAnsi"/>
                <w:color w:val="002060"/>
                <w:sz w:val="18"/>
                <w:szCs w:val="18"/>
                <w:lang w:val="sr-Cyrl-RS" w:eastAsia="ja-JP"/>
              </w:rPr>
            </w:pPr>
            <w:r w:rsidRPr="00871249">
              <w:rPr>
                <w:rFonts w:eastAsia="MS PGothic" w:cstheme="minorHAnsi"/>
                <w:color w:val="002060"/>
                <w:sz w:val="18"/>
                <w:szCs w:val="18"/>
                <w:lang w:val="sr-Cyrl-RS" w:eastAsia="ja-JP"/>
              </w:rPr>
              <w:t xml:space="preserve">ЈП </w:t>
            </w:r>
            <w:r w:rsidRPr="00871249">
              <w:rPr>
                <w:rFonts w:eastAsia="MS PGothic" w:cstheme="minorHAnsi"/>
                <w:color w:val="002060"/>
                <w:sz w:val="18"/>
                <w:szCs w:val="18"/>
                <w:lang w:val="sr-Cyrl-CS" w:eastAsia="ja-JP"/>
              </w:rPr>
              <w:t>„Скијалишта Србије”</w:t>
            </w:r>
          </w:p>
        </w:tc>
        <w:tc>
          <w:tcPr>
            <w:tcW w:w="945" w:type="dxa"/>
            <w:tcBorders>
              <w:top w:val="nil"/>
              <w:left w:val="nil"/>
              <w:bottom w:val="nil"/>
              <w:right w:val="nil"/>
            </w:tcBorders>
            <w:shd w:val="clear" w:color="auto" w:fill="auto"/>
            <w:noWrap/>
            <w:vAlign w:val="center"/>
          </w:tcPr>
          <w:p w14:paraId="2519C3BC"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6876DB0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5" w:type="dxa"/>
            <w:tcBorders>
              <w:top w:val="nil"/>
              <w:left w:val="nil"/>
              <w:bottom w:val="nil"/>
              <w:right w:val="nil"/>
            </w:tcBorders>
            <w:shd w:val="clear" w:color="auto" w:fill="auto"/>
            <w:noWrap/>
            <w:vAlign w:val="center"/>
          </w:tcPr>
          <w:p w14:paraId="32BC6D13"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w:t>
            </w:r>
          </w:p>
        </w:tc>
        <w:tc>
          <w:tcPr>
            <w:tcW w:w="946" w:type="dxa"/>
            <w:tcBorders>
              <w:top w:val="nil"/>
              <w:left w:val="nil"/>
              <w:bottom w:val="nil"/>
              <w:right w:val="nil"/>
            </w:tcBorders>
            <w:shd w:val="clear" w:color="auto" w:fill="auto"/>
            <w:noWrap/>
            <w:vAlign w:val="center"/>
          </w:tcPr>
          <w:p w14:paraId="01B13A7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5" w:type="dxa"/>
            <w:tcBorders>
              <w:top w:val="nil"/>
              <w:left w:val="nil"/>
              <w:bottom w:val="nil"/>
              <w:right w:val="nil"/>
            </w:tcBorders>
            <w:shd w:val="clear" w:color="auto" w:fill="auto"/>
            <w:noWrap/>
            <w:vAlign w:val="center"/>
          </w:tcPr>
          <w:p w14:paraId="071B8793"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c>
          <w:tcPr>
            <w:tcW w:w="946" w:type="dxa"/>
            <w:tcBorders>
              <w:top w:val="nil"/>
              <w:left w:val="nil"/>
              <w:bottom w:val="nil"/>
              <w:right w:val="nil"/>
            </w:tcBorders>
            <w:shd w:val="clear" w:color="auto" w:fill="auto"/>
            <w:noWrap/>
            <w:vAlign w:val="center"/>
          </w:tcPr>
          <w:p w14:paraId="462CBE50"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0,0</w:t>
            </w:r>
          </w:p>
        </w:tc>
      </w:tr>
      <w:tr w:rsidR="001E3E7D" w:rsidRPr="00871249" w14:paraId="0C67B5A1" w14:textId="77777777" w:rsidTr="00F75EAA">
        <w:trPr>
          <w:trHeight w:hRule="exact" w:val="227"/>
        </w:trPr>
        <w:tc>
          <w:tcPr>
            <w:tcW w:w="3683" w:type="dxa"/>
            <w:tcBorders>
              <w:top w:val="nil"/>
              <w:left w:val="nil"/>
              <w:bottom w:val="single" w:sz="8" w:space="0" w:color="002060"/>
              <w:right w:val="nil"/>
            </w:tcBorders>
            <w:shd w:val="clear" w:color="auto" w:fill="auto"/>
            <w:noWrap/>
            <w:vAlign w:val="center"/>
            <w:hideMark/>
          </w:tcPr>
          <w:p w14:paraId="069C5CDE" w14:textId="77777777" w:rsidR="001E3E7D" w:rsidRPr="00871249" w:rsidRDefault="001E3E7D" w:rsidP="008265F0">
            <w:pPr>
              <w:spacing w:after="120" w:line="276" w:lineRule="auto"/>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УКУПНО</w:t>
            </w:r>
          </w:p>
        </w:tc>
        <w:tc>
          <w:tcPr>
            <w:tcW w:w="945" w:type="dxa"/>
            <w:tcBorders>
              <w:top w:val="nil"/>
              <w:left w:val="nil"/>
              <w:bottom w:val="single" w:sz="8" w:space="0" w:color="002060"/>
              <w:right w:val="nil"/>
            </w:tcBorders>
            <w:shd w:val="clear" w:color="auto" w:fill="auto"/>
            <w:noWrap/>
            <w:vAlign w:val="center"/>
            <w:hideMark/>
          </w:tcPr>
          <w:p w14:paraId="37A357C3"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11,5</w:t>
            </w:r>
          </w:p>
        </w:tc>
        <w:tc>
          <w:tcPr>
            <w:tcW w:w="946" w:type="dxa"/>
            <w:tcBorders>
              <w:top w:val="nil"/>
              <w:left w:val="nil"/>
              <w:bottom w:val="single" w:sz="8" w:space="0" w:color="002060"/>
              <w:right w:val="nil"/>
            </w:tcBorders>
            <w:shd w:val="clear" w:color="auto" w:fill="auto"/>
            <w:noWrap/>
            <w:vAlign w:val="center"/>
            <w:hideMark/>
          </w:tcPr>
          <w:p w14:paraId="106AA6A4"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2,0</w:t>
            </w:r>
          </w:p>
        </w:tc>
        <w:tc>
          <w:tcPr>
            <w:tcW w:w="945" w:type="dxa"/>
            <w:tcBorders>
              <w:top w:val="nil"/>
              <w:left w:val="nil"/>
              <w:bottom w:val="single" w:sz="8" w:space="0" w:color="002060"/>
              <w:right w:val="nil"/>
            </w:tcBorders>
            <w:shd w:val="clear" w:color="auto" w:fill="auto"/>
            <w:noWrap/>
            <w:vAlign w:val="center"/>
            <w:hideMark/>
          </w:tcPr>
          <w:p w14:paraId="66878A0A"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en-GB" w:eastAsia="ja-JP"/>
              </w:rPr>
              <w:t>13</w:t>
            </w:r>
            <w:r w:rsidRPr="00871249">
              <w:rPr>
                <w:rFonts w:eastAsia="MS PGothic" w:cstheme="minorHAnsi"/>
                <w:color w:val="002060"/>
                <w:sz w:val="18"/>
                <w:szCs w:val="18"/>
                <w:lang w:val="sr-Cyrl-CS" w:eastAsia="ja-JP"/>
              </w:rPr>
              <w:t>,5</w:t>
            </w:r>
          </w:p>
        </w:tc>
        <w:tc>
          <w:tcPr>
            <w:tcW w:w="946" w:type="dxa"/>
            <w:tcBorders>
              <w:top w:val="nil"/>
              <w:left w:val="nil"/>
              <w:bottom w:val="single" w:sz="8" w:space="0" w:color="002060"/>
              <w:right w:val="nil"/>
            </w:tcBorders>
            <w:shd w:val="clear" w:color="auto" w:fill="auto"/>
            <w:noWrap/>
            <w:vAlign w:val="center"/>
            <w:hideMark/>
          </w:tcPr>
          <w:p w14:paraId="78C77EC4"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CS" w:eastAsia="ja-JP"/>
              </w:rPr>
              <w:t>3,5</w:t>
            </w:r>
          </w:p>
        </w:tc>
        <w:tc>
          <w:tcPr>
            <w:tcW w:w="945" w:type="dxa"/>
            <w:tcBorders>
              <w:top w:val="nil"/>
              <w:left w:val="nil"/>
              <w:bottom w:val="single" w:sz="8" w:space="0" w:color="002060"/>
              <w:right w:val="nil"/>
            </w:tcBorders>
            <w:shd w:val="clear" w:color="auto" w:fill="auto"/>
            <w:noWrap/>
            <w:vAlign w:val="center"/>
            <w:hideMark/>
          </w:tcPr>
          <w:p w14:paraId="18571CF1" w14:textId="77777777" w:rsidR="001E3E7D" w:rsidRPr="00871249" w:rsidRDefault="001E3E7D" w:rsidP="008265F0">
            <w:pPr>
              <w:spacing w:after="120" w:line="276" w:lineRule="auto"/>
              <w:jc w:val="right"/>
              <w:rPr>
                <w:rFonts w:eastAsia="MS PGothic" w:cstheme="minorHAnsi"/>
                <w:color w:val="002060"/>
                <w:sz w:val="18"/>
                <w:szCs w:val="18"/>
                <w:lang w:eastAsia="ja-JP"/>
              </w:rPr>
            </w:pPr>
            <w:r w:rsidRPr="00871249">
              <w:rPr>
                <w:rFonts w:eastAsia="MS PGothic" w:cstheme="minorHAnsi"/>
                <w:color w:val="002060"/>
                <w:sz w:val="18"/>
                <w:szCs w:val="18"/>
                <w:lang w:val="sr-Cyrl-CS" w:eastAsia="ja-JP"/>
              </w:rPr>
              <w:t>0,</w:t>
            </w:r>
            <w:r w:rsidRPr="00871249">
              <w:rPr>
                <w:rFonts w:eastAsia="MS PGothic" w:cstheme="minorHAnsi"/>
                <w:color w:val="002060"/>
                <w:sz w:val="18"/>
                <w:szCs w:val="18"/>
                <w:lang w:eastAsia="ja-JP"/>
              </w:rPr>
              <w:t>7</w:t>
            </w:r>
          </w:p>
        </w:tc>
        <w:tc>
          <w:tcPr>
            <w:tcW w:w="946" w:type="dxa"/>
            <w:tcBorders>
              <w:top w:val="nil"/>
              <w:left w:val="nil"/>
              <w:bottom w:val="single" w:sz="8" w:space="0" w:color="002060"/>
              <w:right w:val="nil"/>
            </w:tcBorders>
            <w:shd w:val="clear" w:color="auto" w:fill="auto"/>
            <w:noWrap/>
            <w:vAlign w:val="center"/>
            <w:hideMark/>
          </w:tcPr>
          <w:p w14:paraId="60FE0737" w14:textId="77777777" w:rsidR="001E3E7D" w:rsidRPr="00871249" w:rsidRDefault="001E3E7D" w:rsidP="008265F0">
            <w:pPr>
              <w:spacing w:after="120" w:line="276" w:lineRule="auto"/>
              <w:jc w:val="right"/>
              <w:rPr>
                <w:rFonts w:eastAsia="MS PGothic" w:cstheme="minorHAnsi"/>
                <w:color w:val="002060"/>
                <w:sz w:val="18"/>
                <w:szCs w:val="18"/>
                <w:lang w:val="sr-Cyrl-CS" w:eastAsia="ja-JP"/>
              </w:rPr>
            </w:pPr>
            <w:r w:rsidRPr="00871249">
              <w:rPr>
                <w:rFonts w:eastAsia="MS PGothic" w:cstheme="minorHAnsi"/>
                <w:color w:val="002060"/>
                <w:sz w:val="18"/>
                <w:szCs w:val="18"/>
                <w:lang w:val="sr-Cyrl-RS" w:eastAsia="ja-JP"/>
              </w:rPr>
              <w:t>4,</w:t>
            </w:r>
            <w:r w:rsidRPr="00871249">
              <w:rPr>
                <w:rFonts w:eastAsia="MS PGothic" w:cstheme="minorHAnsi"/>
                <w:color w:val="002060"/>
                <w:sz w:val="18"/>
                <w:szCs w:val="18"/>
                <w:lang w:val="sr-Cyrl-CS" w:eastAsia="ja-JP"/>
              </w:rPr>
              <w:t>2</w:t>
            </w:r>
          </w:p>
        </w:tc>
      </w:tr>
    </w:tbl>
    <w:p w14:paraId="01AFA381" w14:textId="77777777" w:rsidR="001E3E7D" w:rsidRPr="00347E91" w:rsidRDefault="001E3E7D" w:rsidP="008265F0">
      <w:pPr>
        <w:spacing w:after="120" w:line="276" w:lineRule="auto"/>
        <w:rPr>
          <w:rFonts w:eastAsia="MS PGothic" w:cstheme="minorHAnsi"/>
          <w:sz w:val="16"/>
          <w:szCs w:val="16"/>
          <w:lang w:val="sr-Cyrl-CS" w:eastAsia="ja-JP"/>
        </w:rPr>
        <w:sectPr w:rsidR="001E3E7D" w:rsidRPr="00347E91" w:rsidSect="009B76B2">
          <w:type w:val="continuous"/>
          <w:pgSz w:w="12240" w:h="15840" w:code="1"/>
          <w:pgMar w:top="1440" w:right="1440" w:bottom="1440" w:left="1440" w:header="720" w:footer="720" w:gutter="0"/>
          <w:cols w:space="720"/>
          <w:docGrid w:linePitch="360"/>
        </w:sectPr>
      </w:pPr>
      <w:r w:rsidRPr="00347E91">
        <w:rPr>
          <w:rFonts w:eastAsia="MS PGothic" w:cstheme="minorHAnsi"/>
          <w:sz w:val="16"/>
          <w:szCs w:val="16"/>
          <w:lang w:val="sr-Cyrl-CS" w:eastAsia="ja-JP"/>
        </w:rPr>
        <w:t>Извор: Министарство финансија, Управа за јавни дуг</w:t>
      </w:r>
    </w:p>
    <w:p w14:paraId="4A204050" w14:textId="77777777" w:rsidR="001E3E7D" w:rsidRPr="00347E91" w:rsidRDefault="001E3E7D" w:rsidP="004C346D">
      <w:pPr>
        <w:spacing w:after="120" w:line="257" w:lineRule="auto"/>
        <w:rPr>
          <w:rFonts w:eastAsia="MS PGothic" w:cstheme="minorHAnsi"/>
          <w:szCs w:val="20"/>
          <w:lang w:val="sr-Cyrl-CS" w:eastAsia="ja-JP"/>
        </w:rPr>
      </w:pPr>
      <w:r w:rsidRPr="00347E91">
        <w:rPr>
          <w:rFonts w:eastAsia="MS PGothic" w:cstheme="minorHAnsi"/>
          <w:szCs w:val="20"/>
          <w:lang w:val="sr-Cyrl-CS" w:eastAsia="ja-JP"/>
        </w:rPr>
        <w:t>План отплате по основу гаранција (укупно главница и камата) у</w:t>
      </w:r>
      <w:r w:rsidRPr="00347E91">
        <w:rPr>
          <w:rFonts w:eastAsia="MS PGothic" w:cstheme="minorHAnsi"/>
          <w:szCs w:val="20"/>
          <w:lang w:val="sr-Cyrl-RS" w:eastAsia="ja-JP"/>
        </w:rPr>
        <w:t xml:space="preserve"> ребалансу</w:t>
      </w:r>
      <w:r w:rsidRPr="00347E91">
        <w:rPr>
          <w:rFonts w:eastAsia="MS PGothic" w:cstheme="minorHAnsi"/>
          <w:szCs w:val="20"/>
          <w:lang w:val="sr-Cyrl-CS" w:eastAsia="ja-JP"/>
        </w:rPr>
        <w:t xml:space="preserve"> буџета за 2021. годину износи </w:t>
      </w:r>
      <w:r w:rsidRPr="00347E91">
        <w:rPr>
          <w:rFonts w:eastAsia="MS PGothic" w:cstheme="minorHAnsi"/>
          <w:szCs w:val="20"/>
          <w:lang w:val="sr-Latn-RS" w:eastAsia="ja-JP"/>
        </w:rPr>
        <w:t>18</w:t>
      </w:r>
      <w:r w:rsidRPr="00347E91">
        <w:rPr>
          <w:rFonts w:eastAsia="MS PGothic" w:cstheme="minorHAnsi"/>
          <w:szCs w:val="20"/>
          <w:lang w:val="sr-Cyrl-CS" w:eastAsia="ja-JP"/>
        </w:rPr>
        <w:t xml:space="preserve"> млрд динара, од чега се у расходе који утичу на резултат укључује </w:t>
      </w:r>
      <w:r w:rsidRPr="00347E91">
        <w:rPr>
          <w:rFonts w:eastAsia="MS PGothic" w:cstheme="minorHAnsi"/>
          <w:szCs w:val="20"/>
          <w:lang w:val="sr-Latn-RS" w:eastAsia="ja-JP"/>
        </w:rPr>
        <w:t>11,7</w:t>
      </w:r>
      <w:r w:rsidRPr="00347E91">
        <w:rPr>
          <w:rFonts w:eastAsia="MS PGothic" w:cstheme="minorHAnsi"/>
          <w:szCs w:val="20"/>
          <w:lang w:val="sr-Cyrl-CS" w:eastAsia="ja-JP"/>
        </w:rPr>
        <w:t xml:space="preserve"> млрд динара за о</w:t>
      </w:r>
      <w:r w:rsidR="00AB570B">
        <w:rPr>
          <w:rFonts w:eastAsia="MS PGothic" w:cstheme="minorHAnsi"/>
          <w:szCs w:val="20"/>
          <w:lang w:val="sr-Cyrl-CS" w:eastAsia="ja-JP"/>
        </w:rPr>
        <w:t>тплату главнице по гаранцијама.</w:t>
      </w:r>
    </w:p>
    <w:p w14:paraId="52501C99" w14:textId="77777777" w:rsidR="001E3E7D" w:rsidRPr="00347E91" w:rsidRDefault="001E3E7D" w:rsidP="004C346D">
      <w:pPr>
        <w:spacing w:after="120" w:line="257" w:lineRule="auto"/>
        <w:rPr>
          <w:rFonts w:eastAsia="MS PGothic" w:cstheme="minorHAnsi"/>
          <w:szCs w:val="20"/>
          <w:lang w:val="sr-Cyrl-CS" w:eastAsia="ja-JP"/>
        </w:rPr>
      </w:pPr>
      <w:r w:rsidRPr="00347E91">
        <w:rPr>
          <w:rFonts w:eastAsia="MS PGothic" w:cstheme="minorHAnsi"/>
          <w:szCs w:val="20"/>
          <w:lang w:val="sr-Cyrl-RS" w:eastAsia="ja-JP"/>
        </w:rPr>
        <w:t>И</w:t>
      </w:r>
      <w:r w:rsidRPr="00347E91">
        <w:rPr>
          <w:rFonts w:eastAsia="MS PGothic" w:cstheme="minorHAnsi"/>
          <w:szCs w:val="20"/>
          <w:lang w:val="sr-Cyrl-CS" w:eastAsia="ja-JP"/>
        </w:rPr>
        <w:t xml:space="preserve">ндиректни дуг, те укључивање дела отплата по основу гаранција у буџетске расходе, и повећање дефицита по том основу, повећали су свест о растућим фискалним ризицима који произилазе по основу издатих гаранција. Стога су предузете активности које ограничавају издавање нових гаранција. Изменама Закона о јавном дугу забрањено је издавање нових гаранција за кредите за потребе ликвидности. Изменама Закона о Фонду за развој Републике Србије онемогућено је даље давање контрагаранција за </w:t>
      </w:r>
      <w:r w:rsidRPr="00347E91">
        <w:rPr>
          <w:rFonts w:eastAsia="MS PGothic" w:cstheme="minorHAnsi"/>
          <w:szCs w:val="20"/>
          <w:lang w:val="sr-Cyrl-CS" w:eastAsia="ja-JP"/>
        </w:rPr>
        <w:t>гаранције издате од стране Фонда за развој Републике Србије.</w:t>
      </w:r>
    </w:p>
    <w:p w14:paraId="6665FAC3" w14:textId="77777777" w:rsidR="001E3E7D" w:rsidRPr="00347E91" w:rsidRDefault="001E3E7D" w:rsidP="004C346D">
      <w:pPr>
        <w:spacing w:after="120" w:line="257" w:lineRule="auto"/>
        <w:rPr>
          <w:rFonts w:eastAsia="MS PGothic" w:cstheme="minorHAnsi"/>
          <w:szCs w:val="20"/>
          <w:lang w:val="sr-Cyrl-CS" w:eastAsia="ja-JP"/>
        </w:rPr>
      </w:pPr>
      <w:r w:rsidRPr="00347E91">
        <w:rPr>
          <w:rFonts w:eastAsia="MS PGothic" w:cstheme="minorHAnsi"/>
          <w:szCs w:val="20"/>
          <w:lang w:val="sr-Cyrl-CS" w:eastAsia="ja-JP"/>
        </w:rPr>
        <w:t>Поред ограничења у издавању државних гаранција кључни корак у смањењу и отклањању фискалних ризика по овом основу је у реформи државних и јавних предузећа, корисника гаранција, како би били способни да отплаћују своје кредите. Већи број предузећа, која су и највећи корисници гаранција, налазе се у процесу реструктурирања, односно спровођења планова реструктурирања урађених у сарадњи са међународним финансијским институцијама.</w:t>
      </w:r>
    </w:p>
    <w:p w14:paraId="7151FB3B" w14:textId="77777777" w:rsidR="001E3E7D" w:rsidRDefault="001E3E7D" w:rsidP="004C346D">
      <w:pPr>
        <w:spacing w:after="120" w:line="257" w:lineRule="auto"/>
        <w:rPr>
          <w:rFonts w:eastAsia="MS PGothic" w:cstheme="minorHAnsi"/>
          <w:szCs w:val="20"/>
          <w:lang w:eastAsia="ja-JP"/>
        </w:rPr>
      </w:pPr>
      <w:r w:rsidRPr="00347E91">
        <w:rPr>
          <w:rFonts w:eastAsia="MS PGothic" w:cstheme="minorHAnsi"/>
          <w:szCs w:val="20"/>
          <w:lang w:val="sr-Cyrl-CS" w:eastAsia="ja-JP"/>
        </w:rPr>
        <w:t>Ребалансом буџета за 20</w:t>
      </w:r>
      <w:r w:rsidRPr="00347E91">
        <w:rPr>
          <w:rFonts w:eastAsia="MS PGothic" w:cstheme="minorHAnsi"/>
          <w:szCs w:val="20"/>
          <w:lang w:val="en-GB" w:eastAsia="ja-JP"/>
        </w:rPr>
        <w:t>21</w:t>
      </w:r>
      <w:r w:rsidRPr="00347E91">
        <w:rPr>
          <w:rFonts w:eastAsia="MS PGothic" w:cstheme="minorHAnsi"/>
          <w:szCs w:val="20"/>
          <w:lang w:val="sr-Cyrl-CS" w:eastAsia="ja-JP"/>
        </w:rPr>
        <w:t>. годину планирано је издавање гаранција највише до 134 млрд динара и то за кредите намењене реализа</w:t>
      </w:r>
      <w:r>
        <w:rPr>
          <w:rFonts w:eastAsia="MS PGothic" w:cstheme="minorHAnsi"/>
          <w:szCs w:val="20"/>
          <w:lang w:val="sr-Cyrl-CS" w:eastAsia="ja-JP"/>
        </w:rPr>
        <w:t>цији инфраструктурних пројеката</w:t>
      </w:r>
      <w:r>
        <w:rPr>
          <w:rFonts w:eastAsia="MS PGothic" w:cstheme="minorHAnsi"/>
          <w:szCs w:val="20"/>
          <w:lang w:eastAsia="ja-JP"/>
        </w:rPr>
        <w:t>.</w:t>
      </w:r>
    </w:p>
    <w:p w14:paraId="711FF1F4" w14:textId="77777777" w:rsidR="002C06AB" w:rsidRPr="00347E91" w:rsidRDefault="002C06AB" w:rsidP="008E67C1">
      <w:pPr>
        <w:rPr>
          <w:rFonts w:eastAsia="MS PGothic" w:cstheme="minorHAnsi"/>
          <w:szCs w:val="20"/>
          <w:lang w:eastAsia="ja-JP"/>
        </w:rPr>
        <w:sectPr w:rsidR="002C06AB" w:rsidRPr="00347E91" w:rsidSect="009B76B2">
          <w:type w:val="continuous"/>
          <w:pgSz w:w="12240" w:h="15840" w:code="1"/>
          <w:pgMar w:top="1440" w:right="1440" w:bottom="1440" w:left="1440" w:header="720" w:footer="720" w:gutter="0"/>
          <w:cols w:num="2" w:space="720"/>
          <w:docGrid w:linePitch="360"/>
        </w:sectPr>
      </w:pPr>
    </w:p>
    <w:p w14:paraId="719210A7" w14:textId="77777777" w:rsidR="001E3E7D" w:rsidRPr="00AB570B" w:rsidRDefault="001E3E7D" w:rsidP="00AB570B">
      <w:pPr>
        <w:spacing w:after="120" w:line="276" w:lineRule="auto"/>
        <w:jc w:val="center"/>
        <w:rPr>
          <w:rFonts w:eastAsia="MS PGothic" w:cstheme="minorHAnsi"/>
          <w:b/>
          <w:color w:val="002060"/>
          <w:szCs w:val="20"/>
          <w:lang w:val="sr-Cyrl-CS" w:eastAsia="ja-JP"/>
        </w:rPr>
      </w:pPr>
      <w:r w:rsidRPr="00AB570B">
        <w:rPr>
          <w:rFonts w:eastAsia="MS PGothic" w:cstheme="minorHAnsi"/>
          <w:b/>
          <w:color w:val="002060"/>
          <w:szCs w:val="20"/>
          <w:lang w:val="sr-Cyrl-CS" w:eastAsia="ja-JP"/>
        </w:rPr>
        <w:lastRenderedPageBreak/>
        <w:t>Табела 16. План издавања гаранција у 2021. години</w:t>
      </w:r>
    </w:p>
    <w:tbl>
      <w:tblPr>
        <w:tblW w:w="9639" w:type="dxa"/>
        <w:jc w:val="center"/>
        <w:tblLook w:val="04A0" w:firstRow="1" w:lastRow="0" w:firstColumn="1" w:lastColumn="0" w:noHBand="0" w:noVBand="1"/>
      </w:tblPr>
      <w:tblGrid>
        <w:gridCol w:w="567"/>
        <w:gridCol w:w="5024"/>
        <w:gridCol w:w="1488"/>
        <w:gridCol w:w="1144"/>
        <w:gridCol w:w="1416"/>
      </w:tblGrid>
      <w:tr w:rsidR="001733E9" w:rsidRPr="001733E9" w14:paraId="4D52716E" w14:textId="77777777" w:rsidTr="00E404C0">
        <w:trPr>
          <w:trHeight w:val="260"/>
          <w:tblHeader/>
          <w:jc w:val="center"/>
        </w:trPr>
        <w:tc>
          <w:tcPr>
            <w:tcW w:w="567" w:type="dxa"/>
            <w:tcBorders>
              <w:top w:val="single" w:sz="8" w:space="0" w:color="002060"/>
              <w:left w:val="nil"/>
              <w:bottom w:val="single" w:sz="8" w:space="0" w:color="002060"/>
              <w:right w:val="nil"/>
            </w:tcBorders>
            <w:shd w:val="clear" w:color="auto" w:fill="auto"/>
            <w:vAlign w:val="center"/>
          </w:tcPr>
          <w:p w14:paraId="0B95CFFB" w14:textId="77777777" w:rsidR="001733E9" w:rsidRPr="001733E9" w:rsidRDefault="001733E9" w:rsidP="007236B3">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Ред. Број</w:t>
            </w:r>
          </w:p>
        </w:tc>
        <w:tc>
          <w:tcPr>
            <w:tcW w:w="5036" w:type="dxa"/>
            <w:tcBorders>
              <w:top w:val="single" w:sz="8" w:space="0" w:color="002060"/>
              <w:left w:val="nil"/>
              <w:bottom w:val="single" w:sz="8" w:space="0" w:color="002060"/>
              <w:right w:val="nil"/>
            </w:tcBorders>
            <w:shd w:val="clear" w:color="auto" w:fill="auto"/>
            <w:vAlign w:val="center"/>
          </w:tcPr>
          <w:p w14:paraId="0D5886A9" w14:textId="77777777" w:rsidR="001733E9" w:rsidRPr="001733E9" w:rsidRDefault="001733E9" w:rsidP="007236B3">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Опис</w:t>
            </w:r>
          </w:p>
        </w:tc>
        <w:tc>
          <w:tcPr>
            <w:tcW w:w="1488" w:type="dxa"/>
            <w:tcBorders>
              <w:top w:val="single" w:sz="8" w:space="0" w:color="002060"/>
              <w:left w:val="nil"/>
              <w:bottom w:val="single" w:sz="8" w:space="0" w:color="002060"/>
              <w:right w:val="nil"/>
            </w:tcBorders>
            <w:shd w:val="clear" w:color="auto" w:fill="auto"/>
            <w:vAlign w:val="center"/>
          </w:tcPr>
          <w:p w14:paraId="1832B6E5" w14:textId="77777777" w:rsidR="001733E9" w:rsidRPr="001733E9" w:rsidRDefault="001733E9" w:rsidP="00E404C0">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Износ у динарима</w:t>
            </w:r>
          </w:p>
        </w:tc>
        <w:tc>
          <w:tcPr>
            <w:tcW w:w="1131" w:type="dxa"/>
            <w:tcBorders>
              <w:top w:val="single" w:sz="8" w:space="0" w:color="002060"/>
              <w:left w:val="nil"/>
              <w:bottom w:val="single" w:sz="8" w:space="0" w:color="002060"/>
              <w:right w:val="nil"/>
            </w:tcBorders>
            <w:shd w:val="clear" w:color="auto" w:fill="auto"/>
            <w:vAlign w:val="center"/>
          </w:tcPr>
          <w:p w14:paraId="6C9F3D30" w14:textId="77777777" w:rsidR="001733E9" w:rsidRPr="001733E9" w:rsidRDefault="001733E9" w:rsidP="00E404C0">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Оригинална валута</w:t>
            </w:r>
          </w:p>
        </w:tc>
        <w:tc>
          <w:tcPr>
            <w:tcW w:w="1417" w:type="dxa"/>
            <w:tcBorders>
              <w:top w:val="single" w:sz="8" w:space="0" w:color="002060"/>
              <w:left w:val="nil"/>
              <w:bottom w:val="single" w:sz="8" w:space="0" w:color="002060"/>
              <w:right w:val="nil"/>
            </w:tcBorders>
            <w:shd w:val="clear" w:color="auto" w:fill="auto"/>
            <w:vAlign w:val="center"/>
          </w:tcPr>
          <w:p w14:paraId="33FB5E03" w14:textId="77777777" w:rsidR="001733E9" w:rsidRPr="001733E9" w:rsidRDefault="001733E9" w:rsidP="00E404C0">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Износ у оригиналној валути</w:t>
            </w:r>
          </w:p>
        </w:tc>
      </w:tr>
      <w:tr w:rsidR="003438DE" w:rsidRPr="001733E9" w14:paraId="7994EE99" w14:textId="77777777" w:rsidTr="00E404C0">
        <w:trPr>
          <w:trHeight w:val="20"/>
          <w:jc w:val="center"/>
        </w:trPr>
        <w:tc>
          <w:tcPr>
            <w:tcW w:w="567" w:type="dxa"/>
            <w:tcBorders>
              <w:top w:val="nil"/>
              <w:left w:val="nil"/>
              <w:bottom w:val="nil"/>
              <w:right w:val="nil"/>
            </w:tcBorders>
            <w:shd w:val="clear" w:color="000000" w:fill="E7E6E6"/>
            <w:vAlign w:val="center"/>
            <w:hideMark/>
          </w:tcPr>
          <w:p w14:paraId="6ED668B7"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I.</w:t>
            </w:r>
          </w:p>
        </w:tc>
        <w:tc>
          <w:tcPr>
            <w:tcW w:w="5036" w:type="dxa"/>
            <w:tcBorders>
              <w:top w:val="nil"/>
              <w:left w:val="nil"/>
              <w:bottom w:val="nil"/>
              <w:right w:val="nil"/>
            </w:tcBorders>
            <w:shd w:val="clear" w:color="000000" w:fill="E7E6E6"/>
            <w:vAlign w:val="center"/>
            <w:hideMark/>
          </w:tcPr>
          <w:p w14:paraId="327C39E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Европској банци за обнову и развој</w:t>
            </w:r>
          </w:p>
        </w:tc>
        <w:tc>
          <w:tcPr>
            <w:tcW w:w="1488" w:type="dxa"/>
            <w:tcBorders>
              <w:top w:val="nil"/>
              <w:left w:val="nil"/>
              <w:bottom w:val="nil"/>
              <w:right w:val="nil"/>
            </w:tcBorders>
            <w:shd w:val="clear" w:color="000000" w:fill="E7E6E6"/>
            <w:vAlign w:val="center"/>
            <w:hideMark/>
          </w:tcPr>
          <w:p w14:paraId="62C72644"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vAlign w:val="center"/>
            <w:hideMark/>
          </w:tcPr>
          <w:p w14:paraId="0D13F17F"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417" w:type="dxa"/>
            <w:tcBorders>
              <w:top w:val="nil"/>
              <w:left w:val="nil"/>
              <w:bottom w:val="nil"/>
              <w:right w:val="nil"/>
            </w:tcBorders>
            <w:shd w:val="clear" w:color="000000" w:fill="E7E6E6"/>
            <w:vAlign w:val="center"/>
            <w:hideMark/>
          </w:tcPr>
          <w:p w14:paraId="5124531A"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3B05FDE4" w14:textId="77777777" w:rsidTr="00F95294">
        <w:trPr>
          <w:trHeight w:val="20"/>
          <w:jc w:val="center"/>
        </w:trPr>
        <w:tc>
          <w:tcPr>
            <w:tcW w:w="567" w:type="dxa"/>
            <w:tcBorders>
              <w:top w:val="nil"/>
              <w:left w:val="nil"/>
              <w:bottom w:val="nil"/>
              <w:right w:val="nil"/>
            </w:tcBorders>
            <w:shd w:val="clear" w:color="auto" w:fill="auto"/>
            <w:hideMark/>
          </w:tcPr>
          <w:p w14:paraId="619261D6"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47C02B21"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Акционарско друштво за железнички превоз путника „Србија Воз”, Београд – (Реконструкција депоа за одржавање возних средстава и набавку опреме)</w:t>
            </w:r>
          </w:p>
        </w:tc>
        <w:tc>
          <w:tcPr>
            <w:tcW w:w="1488" w:type="dxa"/>
            <w:tcBorders>
              <w:top w:val="nil"/>
              <w:left w:val="nil"/>
              <w:bottom w:val="nil"/>
              <w:right w:val="nil"/>
            </w:tcBorders>
            <w:shd w:val="clear" w:color="auto" w:fill="auto"/>
            <w:hideMark/>
          </w:tcPr>
          <w:p w14:paraId="32436968"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2.972.500.000</w:t>
            </w:r>
          </w:p>
        </w:tc>
        <w:tc>
          <w:tcPr>
            <w:tcW w:w="1131" w:type="dxa"/>
            <w:tcBorders>
              <w:top w:val="nil"/>
              <w:left w:val="nil"/>
              <w:bottom w:val="nil"/>
              <w:right w:val="nil"/>
            </w:tcBorders>
            <w:shd w:val="clear" w:color="auto" w:fill="auto"/>
            <w:hideMark/>
          </w:tcPr>
          <w:p w14:paraId="5F2F7B25"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3B941568"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25.000.000</w:t>
            </w:r>
          </w:p>
        </w:tc>
      </w:tr>
      <w:tr w:rsidR="003438DE" w:rsidRPr="001733E9" w14:paraId="72D5EB40" w14:textId="77777777" w:rsidTr="00F95294">
        <w:trPr>
          <w:trHeight w:val="1377"/>
          <w:jc w:val="center"/>
        </w:trPr>
        <w:tc>
          <w:tcPr>
            <w:tcW w:w="567" w:type="dxa"/>
            <w:tcBorders>
              <w:top w:val="nil"/>
              <w:left w:val="nil"/>
              <w:bottom w:val="nil"/>
              <w:right w:val="nil"/>
            </w:tcBorders>
            <w:shd w:val="clear" w:color="auto" w:fill="auto"/>
            <w:hideMark/>
          </w:tcPr>
          <w:p w14:paraId="6FE9D5C3"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w:t>
            </w:r>
          </w:p>
        </w:tc>
        <w:tc>
          <w:tcPr>
            <w:tcW w:w="5036" w:type="dxa"/>
            <w:tcBorders>
              <w:top w:val="nil"/>
              <w:left w:val="nil"/>
              <w:bottom w:val="nil"/>
              <w:right w:val="nil"/>
            </w:tcBorders>
            <w:shd w:val="clear" w:color="auto" w:fill="auto"/>
            <w:vAlign w:val="center"/>
            <w:hideMark/>
          </w:tcPr>
          <w:p w14:paraId="78BA940B"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Акционарско друштво за железнички превоз робе ,,Србија Карго”, Београд - (Набавка дизел локомотива за вучу теретних возова и за потребу маневре теретних кола, реконструкцију и модернизацију постојећих дизел локомотива, изградњу објеката колске радионице са неопходним анексима и постројењима у оквиру ранжирне станице Нови Сад)</w:t>
            </w:r>
          </w:p>
        </w:tc>
        <w:tc>
          <w:tcPr>
            <w:tcW w:w="1488" w:type="dxa"/>
            <w:tcBorders>
              <w:top w:val="nil"/>
              <w:left w:val="nil"/>
              <w:bottom w:val="nil"/>
              <w:right w:val="nil"/>
            </w:tcBorders>
            <w:shd w:val="clear" w:color="auto" w:fill="auto"/>
            <w:hideMark/>
          </w:tcPr>
          <w:p w14:paraId="28CE7417"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6.896.200.000</w:t>
            </w:r>
          </w:p>
        </w:tc>
        <w:tc>
          <w:tcPr>
            <w:tcW w:w="1131" w:type="dxa"/>
            <w:tcBorders>
              <w:top w:val="nil"/>
              <w:left w:val="nil"/>
              <w:bottom w:val="nil"/>
              <w:right w:val="nil"/>
            </w:tcBorders>
            <w:shd w:val="clear" w:color="auto" w:fill="auto"/>
            <w:hideMark/>
          </w:tcPr>
          <w:p w14:paraId="13486735"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5BAC0F5B"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58.000.000</w:t>
            </w:r>
          </w:p>
        </w:tc>
      </w:tr>
      <w:tr w:rsidR="007236B3" w:rsidRPr="001733E9" w14:paraId="511CAC00" w14:textId="77777777" w:rsidTr="00F95294">
        <w:trPr>
          <w:trHeight w:val="447"/>
          <w:jc w:val="center"/>
        </w:trPr>
        <w:tc>
          <w:tcPr>
            <w:tcW w:w="567" w:type="dxa"/>
            <w:tcBorders>
              <w:top w:val="nil"/>
              <w:left w:val="nil"/>
              <w:bottom w:val="nil"/>
              <w:right w:val="nil"/>
            </w:tcBorders>
            <w:shd w:val="clear" w:color="auto" w:fill="auto"/>
          </w:tcPr>
          <w:p w14:paraId="13AEE43F" w14:textId="77777777" w:rsidR="007236B3" w:rsidRPr="001733E9" w:rsidRDefault="007236B3"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3</w:t>
            </w:r>
          </w:p>
        </w:tc>
        <w:tc>
          <w:tcPr>
            <w:tcW w:w="5036" w:type="dxa"/>
            <w:tcBorders>
              <w:top w:val="nil"/>
              <w:left w:val="nil"/>
              <w:bottom w:val="nil"/>
              <w:right w:val="nil"/>
            </w:tcBorders>
            <w:shd w:val="clear" w:color="auto" w:fill="auto"/>
            <w:vAlign w:val="center"/>
          </w:tcPr>
          <w:p w14:paraId="3777113D" w14:textId="77777777" w:rsidR="007236B3" w:rsidRPr="001733E9" w:rsidRDefault="007236B3"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„Електродистрибуцијa Србије</w:t>
            </w:r>
            <w:r w:rsidR="00C6085C" w:rsidRPr="00C6085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 xml:space="preserve"> д.о.о. Београд - Пројекат за паметна бројила</w:t>
            </w:r>
          </w:p>
        </w:tc>
        <w:tc>
          <w:tcPr>
            <w:tcW w:w="1488" w:type="dxa"/>
            <w:tcBorders>
              <w:top w:val="nil"/>
              <w:left w:val="nil"/>
              <w:bottom w:val="nil"/>
              <w:right w:val="nil"/>
            </w:tcBorders>
            <w:shd w:val="clear" w:color="auto" w:fill="auto"/>
          </w:tcPr>
          <w:p w14:paraId="6DDD2E85" w14:textId="77777777" w:rsidR="007236B3" w:rsidRPr="001733E9" w:rsidRDefault="007236B3"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4.756.000.000</w:t>
            </w:r>
          </w:p>
        </w:tc>
        <w:tc>
          <w:tcPr>
            <w:tcW w:w="1131" w:type="dxa"/>
            <w:tcBorders>
              <w:top w:val="nil"/>
              <w:left w:val="nil"/>
              <w:bottom w:val="nil"/>
              <w:right w:val="nil"/>
            </w:tcBorders>
            <w:shd w:val="clear" w:color="auto" w:fill="auto"/>
          </w:tcPr>
          <w:p w14:paraId="594E8A98" w14:textId="77777777" w:rsidR="007236B3" w:rsidRPr="001733E9" w:rsidRDefault="007236B3"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tcPr>
          <w:p w14:paraId="3527C0D0" w14:textId="77777777" w:rsidR="007236B3" w:rsidRPr="001733E9" w:rsidRDefault="007236B3"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40.000.000</w:t>
            </w:r>
          </w:p>
        </w:tc>
      </w:tr>
      <w:tr w:rsidR="003438DE" w:rsidRPr="001733E9" w14:paraId="1E0E8AF2" w14:textId="77777777" w:rsidTr="00F95294">
        <w:trPr>
          <w:trHeight w:val="20"/>
          <w:jc w:val="center"/>
        </w:trPr>
        <w:tc>
          <w:tcPr>
            <w:tcW w:w="567" w:type="dxa"/>
            <w:tcBorders>
              <w:top w:val="nil"/>
              <w:left w:val="nil"/>
              <w:bottom w:val="nil"/>
              <w:right w:val="nil"/>
            </w:tcBorders>
            <w:shd w:val="clear" w:color="auto" w:fill="auto"/>
            <w:vAlign w:val="center"/>
            <w:hideMark/>
          </w:tcPr>
          <w:p w14:paraId="53FF5DEE" w14:textId="77777777" w:rsidR="001E3E7D" w:rsidRPr="001733E9" w:rsidRDefault="001E3E7D" w:rsidP="007236B3">
            <w:pPr>
              <w:spacing w:after="60" w:line="240" w:lineRule="auto"/>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06C35CD0"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0FCC59E1"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14.624.700.000</w:t>
            </w:r>
          </w:p>
        </w:tc>
        <w:tc>
          <w:tcPr>
            <w:tcW w:w="1131" w:type="dxa"/>
            <w:tcBorders>
              <w:top w:val="nil"/>
              <w:left w:val="nil"/>
              <w:bottom w:val="nil"/>
              <w:right w:val="nil"/>
            </w:tcBorders>
            <w:shd w:val="clear" w:color="auto" w:fill="auto"/>
            <w:hideMark/>
          </w:tcPr>
          <w:p w14:paraId="2DA0B6B3"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098DC015"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123.000.000</w:t>
            </w:r>
          </w:p>
        </w:tc>
      </w:tr>
      <w:tr w:rsidR="003438DE" w:rsidRPr="001733E9" w14:paraId="285B0EB1" w14:textId="77777777" w:rsidTr="00F95294">
        <w:trPr>
          <w:trHeight w:val="20"/>
          <w:jc w:val="center"/>
        </w:trPr>
        <w:tc>
          <w:tcPr>
            <w:tcW w:w="567" w:type="dxa"/>
            <w:tcBorders>
              <w:top w:val="nil"/>
              <w:left w:val="nil"/>
              <w:bottom w:val="nil"/>
              <w:right w:val="nil"/>
            </w:tcBorders>
            <w:shd w:val="clear" w:color="000000" w:fill="E7E6E6"/>
            <w:vAlign w:val="center"/>
            <w:hideMark/>
          </w:tcPr>
          <w:p w14:paraId="2EF52AED"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II.</w:t>
            </w:r>
          </w:p>
        </w:tc>
        <w:tc>
          <w:tcPr>
            <w:tcW w:w="5036" w:type="dxa"/>
            <w:tcBorders>
              <w:top w:val="nil"/>
              <w:left w:val="nil"/>
              <w:bottom w:val="nil"/>
              <w:right w:val="nil"/>
            </w:tcBorders>
            <w:shd w:val="clear" w:color="000000" w:fill="E7E6E6"/>
            <w:vAlign w:val="center"/>
            <w:hideMark/>
          </w:tcPr>
          <w:p w14:paraId="0E7C84B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Немачкој развојној банци (KfW)</w:t>
            </w:r>
          </w:p>
        </w:tc>
        <w:tc>
          <w:tcPr>
            <w:tcW w:w="1488" w:type="dxa"/>
            <w:tcBorders>
              <w:top w:val="nil"/>
              <w:left w:val="nil"/>
              <w:bottom w:val="nil"/>
              <w:right w:val="nil"/>
            </w:tcBorders>
            <w:shd w:val="clear" w:color="000000" w:fill="E7E6E6"/>
            <w:hideMark/>
          </w:tcPr>
          <w:p w14:paraId="59FD1ACE"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hideMark/>
          </w:tcPr>
          <w:p w14:paraId="5DFA2A00"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p>
        </w:tc>
        <w:tc>
          <w:tcPr>
            <w:tcW w:w="1417" w:type="dxa"/>
            <w:tcBorders>
              <w:top w:val="nil"/>
              <w:left w:val="nil"/>
              <w:bottom w:val="nil"/>
              <w:right w:val="nil"/>
            </w:tcBorders>
            <w:shd w:val="clear" w:color="000000" w:fill="E7E6E6"/>
            <w:hideMark/>
          </w:tcPr>
          <w:p w14:paraId="612A21A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0A427F0C" w14:textId="77777777" w:rsidTr="00F95294">
        <w:trPr>
          <w:trHeight w:val="20"/>
          <w:jc w:val="center"/>
        </w:trPr>
        <w:tc>
          <w:tcPr>
            <w:tcW w:w="567" w:type="dxa"/>
            <w:tcBorders>
              <w:top w:val="nil"/>
              <w:left w:val="nil"/>
              <w:bottom w:val="nil"/>
              <w:right w:val="nil"/>
            </w:tcBorders>
            <w:shd w:val="clear" w:color="auto" w:fill="auto"/>
            <w:hideMark/>
          </w:tcPr>
          <w:p w14:paraId="484F6727"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29352E9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АД ,,Електромрежа Србије” - Регионални програм за енергетску ефикасност у преносном систему II</w:t>
            </w:r>
          </w:p>
        </w:tc>
        <w:tc>
          <w:tcPr>
            <w:tcW w:w="1488" w:type="dxa"/>
            <w:tcBorders>
              <w:top w:val="nil"/>
              <w:left w:val="nil"/>
              <w:bottom w:val="nil"/>
              <w:right w:val="nil"/>
            </w:tcBorders>
            <w:shd w:val="clear" w:color="auto" w:fill="auto"/>
            <w:hideMark/>
          </w:tcPr>
          <w:p w14:paraId="784A2901"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4.756.000.000</w:t>
            </w:r>
          </w:p>
        </w:tc>
        <w:tc>
          <w:tcPr>
            <w:tcW w:w="1131" w:type="dxa"/>
            <w:tcBorders>
              <w:top w:val="nil"/>
              <w:left w:val="nil"/>
              <w:bottom w:val="nil"/>
              <w:right w:val="nil"/>
            </w:tcBorders>
            <w:shd w:val="clear" w:color="auto" w:fill="auto"/>
            <w:hideMark/>
          </w:tcPr>
          <w:p w14:paraId="501401C0"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2A93FC4A"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40.000.000</w:t>
            </w:r>
          </w:p>
        </w:tc>
      </w:tr>
      <w:tr w:rsidR="003438DE" w:rsidRPr="001733E9" w14:paraId="3F8E34FE" w14:textId="77777777" w:rsidTr="00F95294">
        <w:trPr>
          <w:trHeight w:val="20"/>
          <w:jc w:val="center"/>
        </w:trPr>
        <w:tc>
          <w:tcPr>
            <w:tcW w:w="567" w:type="dxa"/>
            <w:tcBorders>
              <w:top w:val="nil"/>
              <w:left w:val="nil"/>
              <w:bottom w:val="nil"/>
              <w:right w:val="nil"/>
            </w:tcBorders>
            <w:shd w:val="clear" w:color="auto" w:fill="auto"/>
            <w:hideMark/>
          </w:tcPr>
          <w:p w14:paraId="3410B2DF"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7FAAE1BC"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59A2E97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4.756.000.000</w:t>
            </w:r>
          </w:p>
        </w:tc>
        <w:tc>
          <w:tcPr>
            <w:tcW w:w="1131" w:type="dxa"/>
            <w:tcBorders>
              <w:top w:val="nil"/>
              <w:left w:val="nil"/>
              <w:bottom w:val="nil"/>
              <w:right w:val="nil"/>
            </w:tcBorders>
            <w:shd w:val="clear" w:color="auto" w:fill="auto"/>
            <w:hideMark/>
          </w:tcPr>
          <w:p w14:paraId="59E4A53F"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33A4423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40.000.000</w:t>
            </w:r>
          </w:p>
        </w:tc>
      </w:tr>
      <w:tr w:rsidR="003438DE" w:rsidRPr="001733E9" w14:paraId="6E2B3DF9" w14:textId="77777777" w:rsidTr="00F95294">
        <w:trPr>
          <w:trHeight w:val="20"/>
          <w:jc w:val="center"/>
        </w:trPr>
        <w:tc>
          <w:tcPr>
            <w:tcW w:w="567" w:type="dxa"/>
            <w:tcBorders>
              <w:top w:val="nil"/>
              <w:left w:val="nil"/>
              <w:bottom w:val="nil"/>
              <w:right w:val="nil"/>
            </w:tcBorders>
            <w:shd w:val="clear" w:color="000000" w:fill="E7E6E6"/>
            <w:vAlign w:val="center"/>
            <w:hideMark/>
          </w:tcPr>
          <w:p w14:paraId="4D93C066"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III.</w:t>
            </w:r>
          </w:p>
        </w:tc>
        <w:tc>
          <w:tcPr>
            <w:tcW w:w="5036" w:type="dxa"/>
            <w:tcBorders>
              <w:top w:val="nil"/>
              <w:left w:val="nil"/>
              <w:bottom w:val="nil"/>
              <w:right w:val="nil"/>
            </w:tcBorders>
            <w:shd w:val="clear" w:color="000000" w:fill="E7E6E6"/>
            <w:vAlign w:val="center"/>
            <w:hideMark/>
          </w:tcPr>
          <w:p w14:paraId="3848F7E0"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Европској инвестиционој банци</w:t>
            </w:r>
          </w:p>
        </w:tc>
        <w:tc>
          <w:tcPr>
            <w:tcW w:w="1488" w:type="dxa"/>
            <w:tcBorders>
              <w:top w:val="nil"/>
              <w:left w:val="nil"/>
              <w:bottom w:val="nil"/>
              <w:right w:val="nil"/>
            </w:tcBorders>
            <w:shd w:val="clear" w:color="000000" w:fill="E7E6E6"/>
            <w:hideMark/>
          </w:tcPr>
          <w:p w14:paraId="625A18A6"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hideMark/>
          </w:tcPr>
          <w:p w14:paraId="35709510"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p>
        </w:tc>
        <w:tc>
          <w:tcPr>
            <w:tcW w:w="1417" w:type="dxa"/>
            <w:tcBorders>
              <w:top w:val="nil"/>
              <w:left w:val="nil"/>
              <w:bottom w:val="nil"/>
              <w:right w:val="nil"/>
            </w:tcBorders>
            <w:shd w:val="clear" w:color="000000" w:fill="E7E6E6"/>
            <w:hideMark/>
          </w:tcPr>
          <w:p w14:paraId="3B134AD9"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7A4AC237" w14:textId="77777777" w:rsidTr="00F95294">
        <w:trPr>
          <w:trHeight w:val="20"/>
          <w:jc w:val="center"/>
        </w:trPr>
        <w:tc>
          <w:tcPr>
            <w:tcW w:w="567" w:type="dxa"/>
            <w:tcBorders>
              <w:top w:val="nil"/>
              <w:left w:val="nil"/>
              <w:bottom w:val="nil"/>
              <w:right w:val="nil"/>
            </w:tcBorders>
            <w:shd w:val="clear" w:color="auto" w:fill="auto"/>
            <w:hideMark/>
          </w:tcPr>
          <w:p w14:paraId="0BF55CD1"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5EF66C01"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„Електродистрибуција Србије</w:t>
            </w:r>
            <w:r w:rsidR="00C6085C" w:rsidRPr="00C6085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 xml:space="preserve"> д.о.о. Београд - Пројекат за паметна бројила</w:t>
            </w:r>
          </w:p>
        </w:tc>
        <w:tc>
          <w:tcPr>
            <w:tcW w:w="1488" w:type="dxa"/>
            <w:tcBorders>
              <w:top w:val="nil"/>
              <w:left w:val="nil"/>
              <w:bottom w:val="nil"/>
              <w:right w:val="nil"/>
            </w:tcBorders>
            <w:shd w:val="clear" w:color="auto" w:fill="auto"/>
            <w:hideMark/>
          </w:tcPr>
          <w:p w14:paraId="2E9A5767"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4.756.000.000</w:t>
            </w:r>
          </w:p>
        </w:tc>
        <w:tc>
          <w:tcPr>
            <w:tcW w:w="1131" w:type="dxa"/>
            <w:tcBorders>
              <w:top w:val="nil"/>
              <w:left w:val="nil"/>
              <w:bottom w:val="nil"/>
              <w:right w:val="nil"/>
            </w:tcBorders>
            <w:shd w:val="clear" w:color="auto" w:fill="auto"/>
            <w:hideMark/>
          </w:tcPr>
          <w:p w14:paraId="7217D99D"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18045C04"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40.000.000</w:t>
            </w:r>
          </w:p>
        </w:tc>
      </w:tr>
      <w:tr w:rsidR="003438DE" w:rsidRPr="001733E9" w14:paraId="3A553961" w14:textId="77777777" w:rsidTr="00F95294">
        <w:trPr>
          <w:trHeight w:val="20"/>
          <w:jc w:val="center"/>
        </w:trPr>
        <w:tc>
          <w:tcPr>
            <w:tcW w:w="567" w:type="dxa"/>
            <w:tcBorders>
              <w:top w:val="nil"/>
              <w:left w:val="nil"/>
              <w:bottom w:val="nil"/>
              <w:right w:val="nil"/>
            </w:tcBorders>
            <w:shd w:val="clear" w:color="auto" w:fill="auto"/>
            <w:hideMark/>
          </w:tcPr>
          <w:p w14:paraId="2109C419"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0EB4C056"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47436122"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4.756.000.000</w:t>
            </w:r>
          </w:p>
        </w:tc>
        <w:tc>
          <w:tcPr>
            <w:tcW w:w="1131" w:type="dxa"/>
            <w:tcBorders>
              <w:top w:val="nil"/>
              <w:left w:val="nil"/>
              <w:bottom w:val="nil"/>
              <w:right w:val="nil"/>
            </w:tcBorders>
            <w:shd w:val="clear" w:color="auto" w:fill="auto"/>
            <w:hideMark/>
          </w:tcPr>
          <w:p w14:paraId="7EF23089"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2C3CFA25"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40.000.000</w:t>
            </w:r>
          </w:p>
        </w:tc>
      </w:tr>
      <w:tr w:rsidR="003438DE" w:rsidRPr="001733E9" w14:paraId="2D0942CE" w14:textId="77777777" w:rsidTr="00F95294">
        <w:trPr>
          <w:trHeight w:val="20"/>
          <w:jc w:val="center"/>
        </w:trPr>
        <w:tc>
          <w:tcPr>
            <w:tcW w:w="567" w:type="dxa"/>
            <w:tcBorders>
              <w:top w:val="nil"/>
              <w:left w:val="nil"/>
              <w:bottom w:val="nil"/>
              <w:right w:val="nil"/>
            </w:tcBorders>
            <w:shd w:val="clear" w:color="000000" w:fill="E7E6E6"/>
            <w:vAlign w:val="center"/>
            <w:hideMark/>
          </w:tcPr>
          <w:p w14:paraId="72871334"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IV.</w:t>
            </w:r>
          </w:p>
        </w:tc>
        <w:tc>
          <w:tcPr>
            <w:tcW w:w="5036" w:type="dxa"/>
            <w:tcBorders>
              <w:top w:val="nil"/>
              <w:left w:val="nil"/>
              <w:bottom w:val="nil"/>
              <w:right w:val="nil"/>
            </w:tcBorders>
            <w:shd w:val="clear" w:color="000000" w:fill="E7E6E6"/>
            <w:vAlign w:val="center"/>
            <w:hideMark/>
          </w:tcPr>
          <w:p w14:paraId="42F8B158"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Пословним банкама</w:t>
            </w:r>
          </w:p>
        </w:tc>
        <w:tc>
          <w:tcPr>
            <w:tcW w:w="1488" w:type="dxa"/>
            <w:tcBorders>
              <w:top w:val="nil"/>
              <w:left w:val="nil"/>
              <w:bottom w:val="nil"/>
              <w:right w:val="nil"/>
            </w:tcBorders>
            <w:shd w:val="clear" w:color="000000" w:fill="E7E6E6"/>
            <w:hideMark/>
          </w:tcPr>
          <w:p w14:paraId="59B855C2"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hideMark/>
          </w:tcPr>
          <w:p w14:paraId="0FBED6AF"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p>
        </w:tc>
        <w:tc>
          <w:tcPr>
            <w:tcW w:w="1417" w:type="dxa"/>
            <w:tcBorders>
              <w:top w:val="nil"/>
              <w:left w:val="nil"/>
              <w:bottom w:val="nil"/>
              <w:right w:val="nil"/>
            </w:tcBorders>
            <w:shd w:val="clear" w:color="000000" w:fill="E7E6E6"/>
            <w:hideMark/>
          </w:tcPr>
          <w:p w14:paraId="273EBDE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67CB7118" w14:textId="77777777" w:rsidTr="00F95294">
        <w:trPr>
          <w:trHeight w:val="20"/>
          <w:jc w:val="center"/>
        </w:trPr>
        <w:tc>
          <w:tcPr>
            <w:tcW w:w="567" w:type="dxa"/>
            <w:tcBorders>
              <w:top w:val="nil"/>
              <w:left w:val="nil"/>
              <w:bottom w:val="nil"/>
              <w:right w:val="nil"/>
            </w:tcBorders>
            <w:shd w:val="clear" w:color="auto" w:fill="auto"/>
            <w:hideMark/>
          </w:tcPr>
          <w:p w14:paraId="5754AF87"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66DEADF3"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ЈП ,,Србијагас” - Разводни гасовод Лесковац - Врање</w:t>
            </w:r>
          </w:p>
        </w:tc>
        <w:tc>
          <w:tcPr>
            <w:tcW w:w="1488" w:type="dxa"/>
            <w:tcBorders>
              <w:top w:val="nil"/>
              <w:left w:val="nil"/>
              <w:bottom w:val="nil"/>
              <w:right w:val="nil"/>
            </w:tcBorders>
            <w:shd w:val="clear" w:color="auto" w:fill="auto"/>
            <w:hideMark/>
          </w:tcPr>
          <w:p w14:paraId="07C4304D"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3.329.200.000</w:t>
            </w:r>
          </w:p>
        </w:tc>
        <w:tc>
          <w:tcPr>
            <w:tcW w:w="1131" w:type="dxa"/>
            <w:tcBorders>
              <w:top w:val="nil"/>
              <w:left w:val="nil"/>
              <w:bottom w:val="nil"/>
              <w:right w:val="nil"/>
            </w:tcBorders>
            <w:shd w:val="clear" w:color="auto" w:fill="auto"/>
            <w:hideMark/>
          </w:tcPr>
          <w:p w14:paraId="0C7DB877"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4E1A7370"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28.000.000</w:t>
            </w:r>
          </w:p>
        </w:tc>
      </w:tr>
      <w:tr w:rsidR="003438DE" w:rsidRPr="001733E9" w14:paraId="4931D29D" w14:textId="77777777" w:rsidTr="00F95294">
        <w:trPr>
          <w:trHeight w:val="20"/>
          <w:jc w:val="center"/>
        </w:trPr>
        <w:tc>
          <w:tcPr>
            <w:tcW w:w="567" w:type="dxa"/>
            <w:tcBorders>
              <w:top w:val="nil"/>
              <w:left w:val="nil"/>
              <w:bottom w:val="nil"/>
              <w:right w:val="nil"/>
            </w:tcBorders>
            <w:shd w:val="clear" w:color="auto" w:fill="auto"/>
            <w:hideMark/>
          </w:tcPr>
          <w:p w14:paraId="02BE84A8"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w:t>
            </w:r>
          </w:p>
        </w:tc>
        <w:tc>
          <w:tcPr>
            <w:tcW w:w="5036" w:type="dxa"/>
            <w:tcBorders>
              <w:top w:val="nil"/>
              <w:left w:val="nil"/>
              <w:bottom w:val="nil"/>
              <w:right w:val="nil"/>
            </w:tcBorders>
            <w:shd w:val="clear" w:color="auto" w:fill="auto"/>
            <w:vAlign w:val="center"/>
            <w:hideMark/>
          </w:tcPr>
          <w:p w14:paraId="61F3D9D3"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ЈП ,,Србијагас” - Гасификација Борског и Зајечарског округа и разводни гасовод Параћин-Бољевац-Рготина</w:t>
            </w:r>
            <w:r w:rsidR="00B7729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Неготин</w:t>
            </w:r>
            <w:r w:rsidR="00B7729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 xml:space="preserve"> Прахово</w:t>
            </w:r>
          </w:p>
        </w:tc>
        <w:tc>
          <w:tcPr>
            <w:tcW w:w="1488" w:type="dxa"/>
            <w:tcBorders>
              <w:top w:val="nil"/>
              <w:left w:val="nil"/>
              <w:bottom w:val="nil"/>
              <w:right w:val="nil"/>
            </w:tcBorders>
            <w:shd w:val="clear" w:color="auto" w:fill="auto"/>
            <w:hideMark/>
          </w:tcPr>
          <w:p w14:paraId="62F867B8"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7.847.400.000</w:t>
            </w:r>
          </w:p>
        </w:tc>
        <w:tc>
          <w:tcPr>
            <w:tcW w:w="1131" w:type="dxa"/>
            <w:tcBorders>
              <w:top w:val="nil"/>
              <w:left w:val="nil"/>
              <w:bottom w:val="nil"/>
              <w:right w:val="nil"/>
            </w:tcBorders>
            <w:shd w:val="clear" w:color="auto" w:fill="auto"/>
            <w:hideMark/>
          </w:tcPr>
          <w:p w14:paraId="6EAFD62F"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6AB8A8D5"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66.000.000</w:t>
            </w:r>
          </w:p>
        </w:tc>
      </w:tr>
      <w:tr w:rsidR="003438DE" w:rsidRPr="001733E9" w14:paraId="245B9DD6" w14:textId="77777777" w:rsidTr="00F95294">
        <w:trPr>
          <w:trHeight w:val="20"/>
          <w:jc w:val="center"/>
        </w:trPr>
        <w:tc>
          <w:tcPr>
            <w:tcW w:w="567" w:type="dxa"/>
            <w:tcBorders>
              <w:top w:val="nil"/>
              <w:left w:val="nil"/>
              <w:bottom w:val="nil"/>
              <w:right w:val="nil"/>
            </w:tcBorders>
            <w:shd w:val="clear" w:color="auto" w:fill="auto"/>
            <w:hideMark/>
          </w:tcPr>
          <w:p w14:paraId="1769A5B5"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3</w:t>
            </w:r>
          </w:p>
        </w:tc>
        <w:tc>
          <w:tcPr>
            <w:tcW w:w="5036" w:type="dxa"/>
            <w:tcBorders>
              <w:top w:val="nil"/>
              <w:left w:val="nil"/>
              <w:bottom w:val="nil"/>
              <w:right w:val="nil"/>
            </w:tcBorders>
            <w:shd w:val="clear" w:color="auto" w:fill="auto"/>
            <w:vAlign w:val="center"/>
            <w:hideMark/>
          </w:tcPr>
          <w:p w14:paraId="4B06CDF8"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ЈП ,,Србијагас” - Гасификација Колубарског округа и изградња разводног гасовода Београд-Ваљево</w:t>
            </w:r>
            <w:r w:rsidR="001F5364">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Лозниц</w:t>
            </w:r>
            <w:r w:rsidR="001F5364">
              <w:rPr>
                <w:rFonts w:eastAsia="MS PGothic" w:cstheme="minorHAnsi"/>
                <w:color w:val="002060"/>
                <w:sz w:val="18"/>
                <w:szCs w:val="18"/>
                <w:lang w:val="sr-Cyrl-RS" w:eastAsia="ja-JP"/>
              </w:rPr>
              <w:t>а</w:t>
            </w:r>
          </w:p>
        </w:tc>
        <w:tc>
          <w:tcPr>
            <w:tcW w:w="1488" w:type="dxa"/>
            <w:tcBorders>
              <w:top w:val="nil"/>
              <w:left w:val="nil"/>
              <w:bottom w:val="nil"/>
              <w:right w:val="nil"/>
            </w:tcBorders>
            <w:shd w:val="clear" w:color="auto" w:fill="auto"/>
            <w:hideMark/>
          </w:tcPr>
          <w:p w14:paraId="5F188C4B"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8.917.500.000</w:t>
            </w:r>
          </w:p>
        </w:tc>
        <w:tc>
          <w:tcPr>
            <w:tcW w:w="1131" w:type="dxa"/>
            <w:tcBorders>
              <w:top w:val="nil"/>
              <w:left w:val="nil"/>
              <w:bottom w:val="nil"/>
              <w:right w:val="nil"/>
            </w:tcBorders>
            <w:shd w:val="clear" w:color="auto" w:fill="auto"/>
            <w:hideMark/>
          </w:tcPr>
          <w:p w14:paraId="4BCAF3FC"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43FEE31D"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75.000.000</w:t>
            </w:r>
          </w:p>
        </w:tc>
      </w:tr>
      <w:tr w:rsidR="007236B3" w:rsidRPr="001733E9" w14:paraId="0355CE9F" w14:textId="77777777" w:rsidTr="00F95294">
        <w:trPr>
          <w:trHeight w:val="401"/>
          <w:jc w:val="center"/>
        </w:trPr>
        <w:tc>
          <w:tcPr>
            <w:tcW w:w="567" w:type="dxa"/>
            <w:tcBorders>
              <w:top w:val="nil"/>
              <w:left w:val="nil"/>
              <w:bottom w:val="nil"/>
              <w:right w:val="nil"/>
            </w:tcBorders>
            <w:shd w:val="clear" w:color="auto" w:fill="auto"/>
          </w:tcPr>
          <w:p w14:paraId="69C2ED76" w14:textId="77777777" w:rsidR="007236B3" w:rsidRPr="001733E9" w:rsidRDefault="007236B3"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4</w:t>
            </w:r>
          </w:p>
        </w:tc>
        <w:tc>
          <w:tcPr>
            <w:tcW w:w="5036" w:type="dxa"/>
            <w:tcBorders>
              <w:top w:val="nil"/>
              <w:left w:val="nil"/>
              <w:bottom w:val="nil"/>
              <w:right w:val="nil"/>
            </w:tcBorders>
            <w:shd w:val="clear" w:color="auto" w:fill="auto"/>
            <w:vAlign w:val="center"/>
          </w:tcPr>
          <w:p w14:paraId="761CB615" w14:textId="77777777" w:rsidR="007236B3" w:rsidRPr="001733E9" w:rsidRDefault="007236B3"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ЈП ,,Србијагас” – Jaчање транспортних капацитета гасовода у Републици Србији</w:t>
            </w:r>
          </w:p>
        </w:tc>
        <w:tc>
          <w:tcPr>
            <w:tcW w:w="1488" w:type="dxa"/>
            <w:tcBorders>
              <w:top w:val="nil"/>
              <w:left w:val="nil"/>
              <w:bottom w:val="nil"/>
              <w:right w:val="nil"/>
            </w:tcBorders>
            <w:shd w:val="clear" w:color="auto" w:fill="auto"/>
          </w:tcPr>
          <w:p w14:paraId="46824B40" w14:textId="77777777" w:rsidR="007236B3" w:rsidRPr="001733E9" w:rsidRDefault="007236B3"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21.402.000.000</w:t>
            </w:r>
          </w:p>
        </w:tc>
        <w:tc>
          <w:tcPr>
            <w:tcW w:w="1131" w:type="dxa"/>
            <w:tcBorders>
              <w:top w:val="nil"/>
              <w:left w:val="nil"/>
              <w:bottom w:val="nil"/>
              <w:right w:val="nil"/>
            </w:tcBorders>
            <w:shd w:val="clear" w:color="auto" w:fill="auto"/>
          </w:tcPr>
          <w:p w14:paraId="0F8DA767" w14:textId="77777777" w:rsidR="007236B3" w:rsidRPr="001733E9" w:rsidRDefault="007236B3"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tcPr>
          <w:p w14:paraId="485BC307" w14:textId="77777777" w:rsidR="007236B3" w:rsidRPr="001733E9" w:rsidRDefault="007236B3"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180.000.000</w:t>
            </w:r>
          </w:p>
        </w:tc>
      </w:tr>
      <w:tr w:rsidR="002C06AB" w:rsidRPr="001733E9" w14:paraId="39A0CA57" w14:textId="77777777" w:rsidTr="00F95294">
        <w:trPr>
          <w:trHeight w:val="401"/>
          <w:jc w:val="center"/>
        </w:trPr>
        <w:tc>
          <w:tcPr>
            <w:tcW w:w="567" w:type="dxa"/>
            <w:tcBorders>
              <w:top w:val="nil"/>
              <w:left w:val="nil"/>
              <w:bottom w:val="nil"/>
              <w:right w:val="nil"/>
            </w:tcBorders>
            <w:shd w:val="clear" w:color="auto" w:fill="auto"/>
          </w:tcPr>
          <w:p w14:paraId="0DE44C88" w14:textId="77777777" w:rsidR="002C06AB" w:rsidRPr="001733E9" w:rsidRDefault="002C06AB" w:rsidP="002C06AB">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5</w:t>
            </w:r>
          </w:p>
        </w:tc>
        <w:tc>
          <w:tcPr>
            <w:tcW w:w="5036" w:type="dxa"/>
            <w:tcBorders>
              <w:top w:val="nil"/>
              <w:left w:val="nil"/>
              <w:bottom w:val="nil"/>
              <w:right w:val="nil"/>
            </w:tcBorders>
            <w:shd w:val="clear" w:color="auto" w:fill="auto"/>
            <w:vAlign w:val="center"/>
          </w:tcPr>
          <w:p w14:paraId="0A58BBAD" w14:textId="77777777" w:rsidR="002C06AB" w:rsidRPr="001733E9" w:rsidRDefault="002C06AB" w:rsidP="002C06AB">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ЈП ,,Електропривреда Србије” - Пројекат изградње хидроелектране Бук Бијела у Републици Српској кроз улагање у капитал</w:t>
            </w:r>
          </w:p>
        </w:tc>
        <w:tc>
          <w:tcPr>
            <w:tcW w:w="1488" w:type="dxa"/>
            <w:tcBorders>
              <w:top w:val="nil"/>
              <w:left w:val="nil"/>
              <w:bottom w:val="nil"/>
              <w:right w:val="nil"/>
            </w:tcBorders>
            <w:shd w:val="clear" w:color="auto" w:fill="auto"/>
          </w:tcPr>
          <w:p w14:paraId="09248D27" w14:textId="77777777" w:rsidR="002C06AB" w:rsidRPr="001733E9" w:rsidRDefault="002C06AB"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29.725.000.000</w:t>
            </w:r>
          </w:p>
        </w:tc>
        <w:tc>
          <w:tcPr>
            <w:tcW w:w="1131" w:type="dxa"/>
            <w:tcBorders>
              <w:top w:val="nil"/>
              <w:left w:val="nil"/>
              <w:bottom w:val="nil"/>
              <w:right w:val="nil"/>
            </w:tcBorders>
            <w:shd w:val="clear" w:color="auto" w:fill="auto"/>
          </w:tcPr>
          <w:p w14:paraId="5A47D893" w14:textId="77777777" w:rsidR="002C06AB" w:rsidRPr="001733E9" w:rsidRDefault="002C06AB"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tcPr>
          <w:p w14:paraId="114C5D37" w14:textId="77777777" w:rsidR="002C06AB" w:rsidRPr="001733E9" w:rsidRDefault="002C06AB"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250.000.000</w:t>
            </w:r>
          </w:p>
        </w:tc>
      </w:tr>
      <w:tr w:rsidR="003438DE" w:rsidRPr="001733E9" w14:paraId="6BFF4E49" w14:textId="77777777" w:rsidTr="00F95294">
        <w:trPr>
          <w:trHeight w:val="20"/>
          <w:jc w:val="center"/>
        </w:trPr>
        <w:tc>
          <w:tcPr>
            <w:tcW w:w="567" w:type="dxa"/>
            <w:tcBorders>
              <w:top w:val="nil"/>
              <w:left w:val="nil"/>
              <w:bottom w:val="nil"/>
              <w:right w:val="nil"/>
            </w:tcBorders>
            <w:shd w:val="clear" w:color="auto" w:fill="auto"/>
            <w:hideMark/>
          </w:tcPr>
          <w:p w14:paraId="687F50C2"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6</w:t>
            </w:r>
          </w:p>
        </w:tc>
        <w:tc>
          <w:tcPr>
            <w:tcW w:w="5036" w:type="dxa"/>
            <w:tcBorders>
              <w:top w:val="nil"/>
              <w:left w:val="nil"/>
              <w:bottom w:val="nil"/>
              <w:right w:val="nil"/>
            </w:tcBorders>
            <w:shd w:val="clear" w:color="auto" w:fill="auto"/>
            <w:vAlign w:val="center"/>
            <w:hideMark/>
          </w:tcPr>
          <w:p w14:paraId="774A048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„Електродистрибуција Србије</w:t>
            </w:r>
            <w:r w:rsidR="00C6085C" w:rsidRPr="00C6085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 xml:space="preserve"> д.о.о. Београд - Пројекат аутоматизације средњенапонске дистрибутивне мреже</w:t>
            </w:r>
          </w:p>
        </w:tc>
        <w:tc>
          <w:tcPr>
            <w:tcW w:w="1488" w:type="dxa"/>
            <w:tcBorders>
              <w:top w:val="nil"/>
              <w:left w:val="nil"/>
              <w:bottom w:val="nil"/>
              <w:right w:val="nil"/>
            </w:tcBorders>
            <w:shd w:val="clear" w:color="auto" w:fill="auto"/>
            <w:hideMark/>
          </w:tcPr>
          <w:p w14:paraId="6D9DB2D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11.551.340.459</w:t>
            </w:r>
          </w:p>
        </w:tc>
        <w:tc>
          <w:tcPr>
            <w:tcW w:w="1131" w:type="dxa"/>
            <w:tcBorders>
              <w:top w:val="nil"/>
              <w:left w:val="nil"/>
              <w:bottom w:val="nil"/>
              <w:right w:val="nil"/>
            </w:tcBorders>
            <w:shd w:val="clear" w:color="auto" w:fill="auto"/>
            <w:hideMark/>
          </w:tcPr>
          <w:p w14:paraId="55E3F572"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254BE790"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97.151.728</w:t>
            </w:r>
          </w:p>
        </w:tc>
      </w:tr>
      <w:tr w:rsidR="003438DE" w:rsidRPr="001733E9" w14:paraId="65556E06" w14:textId="77777777" w:rsidTr="00F95294">
        <w:trPr>
          <w:trHeight w:val="20"/>
          <w:jc w:val="center"/>
        </w:trPr>
        <w:tc>
          <w:tcPr>
            <w:tcW w:w="567" w:type="dxa"/>
            <w:tcBorders>
              <w:top w:val="nil"/>
              <w:left w:val="nil"/>
              <w:bottom w:val="nil"/>
              <w:right w:val="nil"/>
            </w:tcBorders>
            <w:shd w:val="clear" w:color="auto" w:fill="auto"/>
            <w:vAlign w:val="center"/>
            <w:hideMark/>
          </w:tcPr>
          <w:p w14:paraId="3C6B3198" w14:textId="77777777" w:rsidR="001E3E7D" w:rsidRPr="001733E9" w:rsidRDefault="001E3E7D" w:rsidP="007236B3">
            <w:pPr>
              <w:spacing w:after="60" w:line="240" w:lineRule="auto"/>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775A5D6C"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60BEE3D4"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82.772.440.459</w:t>
            </w:r>
          </w:p>
        </w:tc>
        <w:tc>
          <w:tcPr>
            <w:tcW w:w="1131" w:type="dxa"/>
            <w:tcBorders>
              <w:top w:val="nil"/>
              <w:left w:val="nil"/>
              <w:bottom w:val="nil"/>
              <w:right w:val="nil"/>
            </w:tcBorders>
            <w:shd w:val="clear" w:color="auto" w:fill="auto"/>
            <w:hideMark/>
          </w:tcPr>
          <w:p w14:paraId="163735ED"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5F1C8CE1"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696.151.728</w:t>
            </w:r>
          </w:p>
        </w:tc>
      </w:tr>
      <w:tr w:rsidR="003438DE" w:rsidRPr="001733E9" w14:paraId="3A937CA0" w14:textId="77777777" w:rsidTr="00F95294">
        <w:trPr>
          <w:trHeight w:val="20"/>
          <w:jc w:val="center"/>
        </w:trPr>
        <w:tc>
          <w:tcPr>
            <w:tcW w:w="567" w:type="dxa"/>
            <w:tcBorders>
              <w:top w:val="nil"/>
              <w:left w:val="nil"/>
              <w:bottom w:val="nil"/>
              <w:right w:val="nil"/>
            </w:tcBorders>
            <w:shd w:val="clear" w:color="000000" w:fill="E7E6E6"/>
            <w:vAlign w:val="center"/>
            <w:hideMark/>
          </w:tcPr>
          <w:p w14:paraId="196AD7AA"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V.</w:t>
            </w:r>
          </w:p>
        </w:tc>
        <w:tc>
          <w:tcPr>
            <w:tcW w:w="5036" w:type="dxa"/>
            <w:tcBorders>
              <w:top w:val="nil"/>
              <w:left w:val="nil"/>
              <w:bottom w:val="nil"/>
              <w:right w:val="nil"/>
            </w:tcBorders>
            <w:shd w:val="clear" w:color="000000" w:fill="E7E6E6"/>
            <w:vAlign w:val="center"/>
            <w:hideMark/>
          </w:tcPr>
          <w:p w14:paraId="32E0556C"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Руској Федерацији (Државна развојна корпорација „VEB.RF</w:t>
            </w:r>
            <w:r w:rsidR="0000208A" w:rsidRPr="0000208A">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w:t>
            </w:r>
          </w:p>
        </w:tc>
        <w:tc>
          <w:tcPr>
            <w:tcW w:w="1488" w:type="dxa"/>
            <w:tcBorders>
              <w:top w:val="nil"/>
              <w:left w:val="nil"/>
              <w:bottom w:val="nil"/>
              <w:right w:val="nil"/>
            </w:tcBorders>
            <w:shd w:val="clear" w:color="000000" w:fill="E7E6E6"/>
            <w:hideMark/>
          </w:tcPr>
          <w:p w14:paraId="6339E0B5"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hideMark/>
          </w:tcPr>
          <w:p w14:paraId="3E6E5CBE"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p>
        </w:tc>
        <w:tc>
          <w:tcPr>
            <w:tcW w:w="1417" w:type="dxa"/>
            <w:tcBorders>
              <w:top w:val="nil"/>
              <w:left w:val="nil"/>
              <w:bottom w:val="nil"/>
              <w:right w:val="nil"/>
            </w:tcBorders>
            <w:shd w:val="clear" w:color="000000" w:fill="E7E6E6"/>
            <w:hideMark/>
          </w:tcPr>
          <w:p w14:paraId="2AE8A876"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5A1F1087" w14:textId="77777777" w:rsidTr="00F95294">
        <w:trPr>
          <w:trHeight w:val="20"/>
          <w:jc w:val="center"/>
        </w:trPr>
        <w:tc>
          <w:tcPr>
            <w:tcW w:w="567" w:type="dxa"/>
            <w:tcBorders>
              <w:top w:val="nil"/>
              <w:left w:val="nil"/>
              <w:bottom w:val="nil"/>
              <w:right w:val="nil"/>
            </w:tcBorders>
            <w:shd w:val="clear" w:color="auto" w:fill="auto"/>
            <w:hideMark/>
          </w:tcPr>
          <w:p w14:paraId="4720E416"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53DAF14A"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xml:space="preserve">ЈП „Електропривреда Србије” - </w:t>
            </w:r>
            <w:r w:rsidR="00103068">
              <w:rPr>
                <w:rFonts w:eastAsia="MS PGothic" w:cstheme="minorHAnsi"/>
                <w:color w:val="002060"/>
                <w:sz w:val="18"/>
                <w:szCs w:val="18"/>
                <w:lang w:val="sr-Cyrl-RS" w:eastAsia="ja-JP"/>
              </w:rPr>
              <w:t xml:space="preserve">Ревитализација хидроелектране </w:t>
            </w:r>
            <w:r w:rsidRPr="001733E9">
              <w:rPr>
                <w:rFonts w:eastAsia="MS PGothic" w:cstheme="minorHAnsi"/>
                <w:color w:val="002060"/>
                <w:sz w:val="18"/>
                <w:szCs w:val="18"/>
                <w:lang w:val="sr-Cyrl-RS" w:eastAsia="ja-JP"/>
              </w:rPr>
              <w:t>„Ђердап 2</w:t>
            </w:r>
            <w:r w:rsidR="0000208A" w:rsidRPr="0000208A">
              <w:rPr>
                <w:rFonts w:eastAsia="MS PGothic" w:cstheme="minorHAnsi"/>
                <w:color w:val="002060"/>
                <w:sz w:val="18"/>
                <w:szCs w:val="18"/>
                <w:lang w:val="sr-Cyrl-RS" w:eastAsia="ja-JP"/>
              </w:rPr>
              <w:t>”</w:t>
            </w:r>
          </w:p>
        </w:tc>
        <w:tc>
          <w:tcPr>
            <w:tcW w:w="1488" w:type="dxa"/>
            <w:tcBorders>
              <w:top w:val="nil"/>
              <w:left w:val="nil"/>
              <w:bottom w:val="nil"/>
              <w:right w:val="nil"/>
            </w:tcBorders>
            <w:shd w:val="clear" w:color="auto" w:fill="auto"/>
            <w:hideMark/>
          </w:tcPr>
          <w:p w14:paraId="116780CC"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23.780.000.000</w:t>
            </w:r>
          </w:p>
        </w:tc>
        <w:tc>
          <w:tcPr>
            <w:tcW w:w="1131" w:type="dxa"/>
            <w:tcBorders>
              <w:top w:val="nil"/>
              <w:left w:val="nil"/>
              <w:bottom w:val="nil"/>
              <w:right w:val="nil"/>
            </w:tcBorders>
            <w:shd w:val="clear" w:color="auto" w:fill="auto"/>
            <w:hideMark/>
          </w:tcPr>
          <w:p w14:paraId="4AC4CE94"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7B35CDA4"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200.000.000</w:t>
            </w:r>
          </w:p>
        </w:tc>
      </w:tr>
      <w:tr w:rsidR="003438DE" w:rsidRPr="001733E9" w14:paraId="77DFFC4B" w14:textId="77777777" w:rsidTr="00F95294">
        <w:trPr>
          <w:trHeight w:val="20"/>
          <w:jc w:val="center"/>
        </w:trPr>
        <w:tc>
          <w:tcPr>
            <w:tcW w:w="567" w:type="dxa"/>
            <w:tcBorders>
              <w:top w:val="nil"/>
              <w:left w:val="nil"/>
              <w:bottom w:val="nil"/>
              <w:right w:val="nil"/>
            </w:tcBorders>
            <w:shd w:val="clear" w:color="auto" w:fill="auto"/>
            <w:hideMark/>
          </w:tcPr>
          <w:p w14:paraId="74C9DFEF"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7FA0CC4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56CACF89"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23.780.000.000</w:t>
            </w:r>
          </w:p>
        </w:tc>
        <w:tc>
          <w:tcPr>
            <w:tcW w:w="1131" w:type="dxa"/>
            <w:tcBorders>
              <w:top w:val="nil"/>
              <w:left w:val="nil"/>
              <w:bottom w:val="nil"/>
              <w:right w:val="nil"/>
            </w:tcBorders>
            <w:shd w:val="clear" w:color="auto" w:fill="auto"/>
            <w:hideMark/>
          </w:tcPr>
          <w:p w14:paraId="3D8896B5"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3C0A72B9"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200.000.000</w:t>
            </w:r>
          </w:p>
        </w:tc>
      </w:tr>
      <w:tr w:rsidR="003438DE" w:rsidRPr="001733E9" w14:paraId="16B8FCE0" w14:textId="77777777" w:rsidTr="00F95294">
        <w:trPr>
          <w:trHeight w:val="20"/>
          <w:jc w:val="center"/>
        </w:trPr>
        <w:tc>
          <w:tcPr>
            <w:tcW w:w="567" w:type="dxa"/>
            <w:tcBorders>
              <w:top w:val="nil"/>
              <w:left w:val="nil"/>
              <w:bottom w:val="nil"/>
              <w:right w:val="nil"/>
            </w:tcBorders>
            <w:shd w:val="clear" w:color="000000" w:fill="E7E6E6"/>
            <w:vAlign w:val="center"/>
            <w:hideMark/>
          </w:tcPr>
          <w:p w14:paraId="66DEC853"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VI.</w:t>
            </w:r>
          </w:p>
        </w:tc>
        <w:tc>
          <w:tcPr>
            <w:tcW w:w="5036" w:type="dxa"/>
            <w:tcBorders>
              <w:top w:val="nil"/>
              <w:left w:val="nil"/>
              <w:bottom w:val="nil"/>
              <w:right w:val="nil"/>
            </w:tcBorders>
            <w:shd w:val="clear" w:color="000000" w:fill="E7E6E6"/>
            <w:vAlign w:val="center"/>
            <w:hideMark/>
          </w:tcPr>
          <w:p w14:paraId="0BB7F465"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Републици Француској (Трезор)</w:t>
            </w:r>
          </w:p>
        </w:tc>
        <w:tc>
          <w:tcPr>
            <w:tcW w:w="1488" w:type="dxa"/>
            <w:tcBorders>
              <w:top w:val="nil"/>
              <w:left w:val="nil"/>
              <w:bottom w:val="nil"/>
              <w:right w:val="nil"/>
            </w:tcBorders>
            <w:shd w:val="clear" w:color="000000" w:fill="E7E6E6"/>
            <w:hideMark/>
          </w:tcPr>
          <w:p w14:paraId="2B276ACF"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1131" w:type="dxa"/>
            <w:tcBorders>
              <w:top w:val="nil"/>
              <w:left w:val="nil"/>
              <w:bottom w:val="nil"/>
              <w:right w:val="nil"/>
            </w:tcBorders>
            <w:shd w:val="clear" w:color="000000" w:fill="E7E6E6"/>
            <w:hideMark/>
          </w:tcPr>
          <w:p w14:paraId="22394FCF"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p>
        </w:tc>
        <w:tc>
          <w:tcPr>
            <w:tcW w:w="1417" w:type="dxa"/>
            <w:tcBorders>
              <w:top w:val="nil"/>
              <w:left w:val="nil"/>
              <w:bottom w:val="nil"/>
              <w:right w:val="nil"/>
            </w:tcBorders>
            <w:shd w:val="clear" w:color="000000" w:fill="E7E6E6"/>
            <w:hideMark/>
          </w:tcPr>
          <w:p w14:paraId="0BB76C0E"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r>
      <w:tr w:rsidR="003438DE" w:rsidRPr="001733E9" w14:paraId="6D04C65C" w14:textId="77777777" w:rsidTr="00F95294">
        <w:trPr>
          <w:trHeight w:val="20"/>
          <w:jc w:val="center"/>
        </w:trPr>
        <w:tc>
          <w:tcPr>
            <w:tcW w:w="567" w:type="dxa"/>
            <w:tcBorders>
              <w:top w:val="nil"/>
              <w:left w:val="nil"/>
              <w:bottom w:val="nil"/>
              <w:right w:val="nil"/>
            </w:tcBorders>
            <w:shd w:val="clear" w:color="auto" w:fill="auto"/>
            <w:hideMark/>
          </w:tcPr>
          <w:p w14:paraId="51C9E229"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w:t>
            </w:r>
          </w:p>
        </w:tc>
        <w:tc>
          <w:tcPr>
            <w:tcW w:w="5036" w:type="dxa"/>
            <w:tcBorders>
              <w:top w:val="nil"/>
              <w:left w:val="nil"/>
              <w:bottom w:val="nil"/>
              <w:right w:val="nil"/>
            </w:tcBorders>
            <w:shd w:val="clear" w:color="auto" w:fill="auto"/>
            <w:vAlign w:val="center"/>
            <w:hideMark/>
          </w:tcPr>
          <w:p w14:paraId="48F60EFE"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„Електродистрибуција Србије</w:t>
            </w:r>
            <w:r w:rsidR="00C6085C" w:rsidRPr="00C6085C">
              <w:rPr>
                <w:rFonts w:eastAsia="MS PGothic" w:cstheme="minorHAnsi"/>
                <w:color w:val="002060"/>
                <w:sz w:val="18"/>
                <w:szCs w:val="18"/>
                <w:lang w:val="sr-Cyrl-RS" w:eastAsia="ja-JP"/>
              </w:rPr>
              <w:t>”</w:t>
            </w:r>
            <w:r w:rsidRPr="001733E9">
              <w:rPr>
                <w:rFonts w:eastAsia="MS PGothic" w:cstheme="minorHAnsi"/>
                <w:color w:val="002060"/>
                <w:sz w:val="18"/>
                <w:szCs w:val="18"/>
                <w:lang w:val="sr-Cyrl-RS" w:eastAsia="ja-JP"/>
              </w:rPr>
              <w:t xml:space="preserve"> д.о.о. Београд - Пројекат аутоматизације средњенапонске дистрибутивне мреже</w:t>
            </w:r>
          </w:p>
        </w:tc>
        <w:tc>
          <w:tcPr>
            <w:tcW w:w="1488" w:type="dxa"/>
            <w:tcBorders>
              <w:top w:val="nil"/>
              <w:left w:val="nil"/>
              <w:bottom w:val="nil"/>
              <w:right w:val="nil"/>
            </w:tcBorders>
            <w:shd w:val="clear" w:color="auto" w:fill="auto"/>
            <w:hideMark/>
          </w:tcPr>
          <w:p w14:paraId="22AA06C8"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2.895.009.541</w:t>
            </w:r>
          </w:p>
        </w:tc>
        <w:tc>
          <w:tcPr>
            <w:tcW w:w="1131" w:type="dxa"/>
            <w:tcBorders>
              <w:top w:val="nil"/>
              <w:left w:val="nil"/>
              <w:bottom w:val="nil"/>
              <w:right w:val="nil"/>
            </w:tcBorders>
            <w:shd w:val="clear" w:color="auto" w:fill="auto"/>
            <w:hideMark/>
          </w:tcPr>
          <w:p w14:paraId="6FD2FEB2"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0C81DCEA"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24.348.272</w:t>
            </w:r>
          </w:p>
        </w:tc>
      </w:tr>
      <w:tr w:rsidR="003438DE" w:rsidRPr="001733E9" w14:paraId="15523066" w14:textId="77777777" w:rsidTr="00F95294">
        <w:trPr>
          <w:trHeight w:val="20"/>
          <w:jc w:val="center"/>
        </w:trPr>
        <w:tc>
          <w:tcPr>
            <w:tcW w:w="567" w:type="dxa"/>
            <w:tcBorders>
              <w:top w:val="nil"/>
              <w:left w:val="nil"/>
              <w:bottom w:val="nil"/>
              <w:right w:val="nil"/>
            </w:tcBorders>
            <w:shd w:val="clear" w:color="auto" w:fill="auto"/>
            <w:hideMark/>
          </w:tcPr>
          <w:p w14:paraId="6B3AB0F4" w14:textId="77777777" w:rsidR="001E3E7D" w:rsidRPr="001733E9" w:rsidRDefault="001E3E7D" w:rsidP="007236B3">
            <w:pPr>
              <w:spacing w:after="60" w:line="240" w:lineRule="auto"/>
              <w:jc w:val="right"/>
              <w:rPr>
                <w:rFonts w:eastAsia="MS PGothic" w:cstheme="minorHAnsi"/>
                <w:color w:val="002060"/>
                <w:sz w:val="18"/>
                <w:szCs w:val="18"/>
                <w:lang w:val="sr-Cyrl-RS" w:eastAsia="ja-JP"/>
              </w:rPr>
            </w:pPr>
          </w:p>
        </w:tc>
        <w:tc>
          <w:tcPr>
            <w:tcW w:w="5036" w:type="dxa"/>
            <w:tcBorders>
              <w:top w:val="nil"/>
              <w:left w:val="nil"/>
              <w:bottom w:val="nil"/>
              <w:right w:val="nil"/>
            </w:tcBorders>
            <w:shd w:val="clear" w:color="auto" w:fill="auto"/>
            <w:vAlign w:val="center"/>
            <w:hideMark/>
          </w:tcPr>
          <w:p w14:paraId="45A37275"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auto" w:fill="auto"/>
            <w:hideMark/>
          </w:tcPr>
          <w:p w14:paraId="2A6AC90C"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2.895.009.541</w:t>
            </w:r>
          </w:p>
        </w:tc>
        <w:tc>
          <w:tcPr>
            <w:tcW w:w="1131" w:type="dxa"/>
            <w:tcBorders>
              <w:top w:val="nil"/>
              <w:left w:val="nil"/>
              <w:bottom w:val="nil"/>
              <w:right w:val="nil"/>
            </w:tcBorders>
            <w:shd w:val="clear" w:color="auto" w:fill="auto"/>
            <w:hideMark/>
          </w:tcPr>
          <w:p w14:paraId="5DAFA354"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auto" w:fill="auto"/>
            <w:hideMark/>
          </w:tcPr>
          <w:p w14:paraId="3619C2C8"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24.348.272</w:t>
            </w:r>
          </w:p>
        </w:tc>
      </w:tr>
      <w:tr w:rsidR="003438DE" w:rsidRPr="001733E9" w14:paraId="459936BA" w14:textId="77777777" w:rsidTr="00F95294">
        <w:trPr>
          <w:trHeight w:val="20"/>
          <w:jc w:val="center"/>
        </w:trPr>
        <w:tc>
          <w:tcPr>
            <w:tcW w:w="567" w:type="dxa"/>
            <w:tcBorders>
              <w:top w:val="nil"/>
              <w:left w:val="nil"/>
              <w:bottom w:val="nil"/>
              <w:right w:val="nil"/>
            </w:tcBorders>
            <w:shd w:val="clear" w:color="000000" w:fill="E7E6E6"/>
            <w:vAlign w:val="center"/>
            <w:hideMark/>
          </w:tcPr>
          <w:p w14:paraId="0D17864F"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w:t>
            </w:r>
          </w:p>
        </w:tc>
        <w:tc>
          <w:tcPr>
            <w:tcW w:w="5036" w:type="dxa"/>
            <w:tcBorders>
              <w:top w:val="nil"/>
              <w:left w:val="nil"/>
              <w:bottom w:val="nil"/>
              <w:right w:val="nil"/>
            </w:tcBorders>
            <w:shd w:val="clear" w:color="000000" w:fill="E7E6E6"/>
            <w:vAlign w:val="center"/>
            <w:hideMark/>
          </w:tcPr>
          <w:p w14:paraId="5A884297" w14:textId="77777777" w:rsidR="001E3E7D" w:rsidRPr="001733E9" w:rsidRDefault="001E3E7D" w:rsidP="007236B3">
            <w:pPr>
              <w:spacing w:after="60" w:line="240" w:lineRule="auto"/>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УКУПНО:</w:t>
            </w:r>
          </w:p>
        </w:tc>
        <w:tc>
          <w:tcPr>
            <w:tcW w:w="1488" w:type="dxa"/>
            <w:tcBorders>
              <w:top w:val="nil"/>
              <w:left w:val="nil"/>
              <w:bottom w:val="nil"/>
              <w:right w:val="nil"/>
            </w:tcBorders>
            <w:shd w:val="clear" w:color="000000" w:fill="E7E6E6"/>
            <w:hideMark/>
          </w:tcPr>
          <w:p w14:paraId="386F760B"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 133.584.150.000</w:t>
            </w:r>
          </w:p>
        </w:tc>
        <w:tc>
          <w:tcPr>
            <w:tcW w:w="1131" w:type="dxa"/>
            <w:tcBorders>
              <w:top w:val="nil"/>
              <w:left w:val="nil"/>
              <w:bottom w:val="nil"/>
              <w:right w:val="nil"/>
            </w:tcBorders>
            <w:shd w:val="clear" w:color="000000" w:fill="E7E6E6"/>
            <w:hideMark/>
          </w:tcPr>
          <w:p w14:paraId="27106003" w14:textId="77777777" w:rsidR="001E3E7D" w:rsidRPr="001733E9" w:rsidRDefault="001E3E7D" w:rsidP="00F95294">
            <w:pPr>
              <w:spacing w:after="60" w:line="240" w:lineRule="auto"/>
              <w:jc w:val="center"/>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EUR</w:t>
            </w:r>
          </w:p>
        </w:tc>
        <w:tc>
          <w:tcPr>
            <w:tcW w:w="1417" w:type="dxa"/>
            <w:tcBorders>
              <w:top w:val="nil"/>
              <w:left w:val="nil"/>
              <w:bottom w:val="nil"/>
              <w:right w:val="nil"/>
            </w:tcBorders>
            <w:shd w:val="clear" w:color="000000" w:fill="E7E6E6"/>
            <w:hideMark/>
          </w:tcPr>
          <w:p w14:paraId="3A4008AA" w14:textId="77777777" w:rsidR="001E3E7D" w:rsidRPr="001733E9" w:rsidRDefault="001E3E7D" w:rsidP="00F95294">
            <w:pPr>
              <w:spacing w:after="60" w:line="240" w:lineRule="auto"/>
              <w:jc w:val="right"/>
              <w:rPr>
                <w:rFonts w:eastAsia="MS PGothic" w:cstheme="minorHAnsi"/>
                <w:color w:val="002060"/>
                <w:sz w:val="18"/>
                <w:szCs w:val="18"/>
                <w:lang w:val="sr-Cyrl-RS" w:eastAsia="ja-JP"/>
              </w:rPr>
            </w:pPr>
            <w:r w:rsidRPr="001733E9">
              <w:rPr>
                <w:rFonts w:eastAsia="MS PGothic" w:cstheme="minorHAnsi"/>
                <w:color w:val="002060"/>
                <w:sz w:val="18"/>
                <w:szCs w:val="18"/>
                <w:lang w:val="sr-Cyrl-RS" w:eastAsia="ja-JP"/>
              </w:rPr>
              <w:t>1.123.500.000</w:t>
            </w:r>
          </w:p>
        </w:tc>
      </w:tr>
    </w:tbl>
    <w:p w14:paraId="21D556AA" w14:textId="77777777" w:rsidR="001E3E7D" w:rsidRPr="00347E91" w:rsidRDefault="001E3E7D" w:rsidP="008265F0">
      <w:pPr>
        <w:spacing w:after="120" w:line="276" w:lineRule="auto"/>
        <w:rPr>
          <w:rFonts w:eastAsia="MS PGothic" w:cstheme="minorHAnsi"/>
          <w:sz w:val="16"/>
          <w:szCs w:val="16"/>
          <w:lang w:val="sr-Cyrl-CS" w:eastAsia="ja-JP"/>
        </w:rPr>
        <w:sectPr w:rsidR="001E3E7D" w:rsidRPr="00347E91" w:rsidSect="009B76B2">
          <w:type w:val="continuous"/>
          <w:pgSz w:w="12240" w:h="15840" w:code="1"/>
          <w:pgMar w:top="1440" w:right="1440" w:bottom="1440" w:left="1440" w:header="720" w:footer="720" w:gutter="0"/>
          <w:cols w:space="720"/>
          <w:docGrid w:linePitch="360"/>
        </w:sectPr>
      </w:pPr>
      <w:r w:rsidRPr="00347E91">
        <w:rPr>
          <w:rFonts w:eastAsia="MS PGothic" w:cstheme="minorHAnsi"/>
          <w:sz w:val="16"/>
          <w:szCs w:val="16"/>
          <w:lang w:val="sr-Cyrl-CS" w:eastAsia="ja-JP"/>
        </w:rPr>
        <w:t>Извор: Министарство финансија</w:t>
      </w:r>
    </w:p>
    <w:p w14:paraId="106A6A1D" w14:textId="77777777" w:rsidR="001E3E7D" w:rsidRPr="00347E91" w:rsidRDefault="001E3E7D" w:rsidP="008E67C1">
      <w:pPr>
        <w:rPr>
          <w:rFonts w:eastAsia="MS PGothic" w:cstheme="minorHAnsi"/>
          <w:szCs w:val="20"/>
          <w:lang w:val="sr-Latn-RS" w:eastAsia="ja-JP"/>
        </w:rPr>
      </w:pPr>
      <w:r w:rsidRPr="00347E91">
        <w:rPr>
          <w:rFonts w:eastAsia="MS PGothic" w:cstheme="minorHAnsi"/>
          <w:szCs w:val="20"/>
          <w:lang w:val="sr-Cyrl-CS" w:eastAsia="ja-JP"/>
        </w:rPr>
        <w:lastRenderedPageBreak/>
        <w:t xml:space="preserve">У наредним годинама </w:t>
      </w:r>
      <w:r w:rsidRPr="00347E91">
        <w:rPr>
          <w:rFonts w:eastAsia="MS PGothic" w:cstheme="minorHAnsi"/>
          <w:szCs w:val="20"/>
          <w:lang w:val="sr-Cyrl-RS" w:eastAsia="ja-JP"/>
        </w:rPr>
        <w:t xml:space="preserve">није </w:t>
      </w:r>
      <w:r w:rsidRPr="00347E91">
        <w:rPr>
          <w:rFonts w:eastAsia="MS PGothic" w:cstheme="minorHAnsi"/>
          <w:szCs w:val="20"/>
          <w:lang w:val="sr-Cyrl-CS" w:eastAsia="ja-JP"/>
        </w:rPr>
        <w:t>планиран значајнији раст ове категорије</w:t>
      </w:r>
      <w:r w:rsidR="008E67C1">
        <w:rPr>
          <w:rFonts w:eastAsia="MS PGothic" w:cstheme="minorHAnsi"/>
          <w:szCs w:val="20"/>
          <w:lang w:val="sr-Cyrl-CS" w:eastAsia="ja-JP"/>
        </w:rPr>
        <w:t xml:space="preserve"> расхода. Учешће</w:t>
      </w:r>
      <w:r w:rsidR="00E404C0">
        <w:rPr>
          <w:rFonts w:eastAsia="MS PGothic" w:cstheme="minorHAnsi"/>
          <w:szCs w:val="20"/>
          <w:lang w:val="sr-Cyrl-CS" w:eastAsia="ja-JP"/>
        </w:rPr>
        <w:t xml:space="preserve"> о</w:t>
      </w:r>
      <w:r w:rsidR="008E67C1">
        <w:rPr>
          <w:rFonts w:eastAsia="MS PGothic" w:cstheme="minorHAnsi"/>
          <w:szCs w:val="20"/>
          <w:lang w:val="sr-Cyrl-CS" w:eastAsia="ja-JP"/>
        </w:rPr>
        <w:t xml:space="preserve">вих расхода </w:t>
      </w:r>
      <w:r w:rsidRPr="00347E91">
        <w:rPr>
          <w:rFonts w:eastAsia="MS PGothic" w:cstheme="minorHAnsi"/>
          <w:szCs w:val="20"/>
          <w:lang w:val="sr-Cyrl-CS" w:eastAsia="ja-JP"/>
        </w:rPr>
        <w:t xml:space="preserve">у БДП </w:t>
      </w:r>
      <w:r w:rsidR="00103068">
        <w:rPr>
          <w:rFonts w:eastAsia="MS PGothic" w:cstheme="minorHAnsi"/>
          <w:szCs w:val="20"/>
          <w:lang w:val="sr-Cyrl-RS" w:eastAsia="ja-JP"/>
        </w:rPr>
        <w:t xml:space="preserve">креће се у просеку око </w:t>
      </w:r>
      <w:r w:rsidR="001733E9">
        <w:rPr>
          <w:rFonts w:eastAsia="MS PGothic" w:cstheme="minorHAnsi"/>
          <w:szCs w:val="20"/>
          <w:lang w:val="sr-Cyrl-CS" w:eastAsia="ja-JP"/>
        </w:rPr>
        <w:t>0,2% БДП у средњем року.</w:t>
      </w:r>
    </w:p>
    <w:p w14:paraId="5D759068" w14:textId="77777777" w:rsidR="001E3E7D" w:rsidRPr="00347E91" w:rsidRDefault="001E3E7D" w:rsidP="008E67C1">
      <w:pPr>
        <w:rPr>
          <w:rFonts w:eastAsia="MS PGothic" w:cstheme="minorHAnsi"/>
          <w:szCs w:val="20"/>
          <w:lang w:val="sr-Cyrl-CS" w:eastAsia="ja-JP"/>
        </w:rPr>
      </w:pPr>
      <w:r w:rsidRPr="00347E91">
        <w:rPr>
          <w:rFonts w:eastAsia="MS PGothic" w:cstheme="minorHAnsi"/>
          <w:szCs w:val="20"/>
          <w:lang w:val="sr-Cyrl-CS" w:eastAsia="ja-JP"/>
        </w:rPr>
        <w:t>Структурне реформе јавних и државних предузећа, њихово оспособљавање за тржишну утакмицу и финансијску одрживост, с једне стране, и ограничено и циљано издавање нових гаранција, с друге стране, допринеће умањењу фискалних ризика по овом основу и одржавању расхода у планираним, тј. пројектованим оквирима у наредном средњорочном периоду.</w:t>
      </w:r>
    </w:p>
    <w:p w14:paraId="0231D6A1" w14:textId="77777777" w:rsidR="001E3E7D" w:rsidRPr="00AE36A5" w:rsidRDefault="001E3E7D" w:rsidP="008E67C1">
      <w:pPr>
        <w:rPr>
          <w:rFonts w:cstheme="minorHAnsi"/>
          <w:b/>
          <w:bCs/>
          <w:color w:val="2F5496" w:themeColor="accent1" w:themeShade="BF"/>
          <w:sz w:val="22"/>
          <w:szCs w:val="20"/>
          <w:lang w:val="sr-Cyrl-RS"/>
        </w:rPr>
      </w:pPr>
      <w:r w:rsidRPr="00AE36A5">
        <w:rPr>
          <w:rFonts w:cstheme="minorHAnsi"/>
          <w:b/>
          <w:bCs/>
          <w:color w:val="2F5496" w:themeColor="accent1" w:themeShade="BF"/>
          <w:sz w:val="22"/>
          <w:szCs w:val="20"/>
          <w:lang w:val="sr-Cyrl-RS"/>
        </w:rPr>
        <w:t>Јавна предузећа</w:t>
      </w:r>
    </w:p>
    <w:p w14:paraId="4D0380BB" w14:textId="77777777" w:rsidR="001E3E7D" w:rsidRPr="00347E91" w:rsidRDefault="001E3E7D" w:rsidP="008E67C1">
      <w:pPr>
        <w:rPr>
          <w:rFonts w:eastAsia="MS PGothic" w:cstheme="minorHAnsi"/>
          <w:szCs w:val="20"/>
          <w:lang w:val="sr-Cyrl-CS" w:eastAsia="ja-JP"/>
        </w:rPr>
      </w:pPr>
      <w:r w:rsidRPr="00347E91">
        <w:rPr>
          <w:rFonts w:eastAsia="MS PGothic" w:cstheme="minorHAnsi"/>
          <w:szCs w:val="20"/>
          <w:lang w:val="sr-Cyrl-CS" w:eastAsia="ja-JP"/>
        </w:rPr>
        <w:t>Пословање јавних предузећа представља значајан извор фискалних ризика, како на страни буџетских прихода, тако и на страни расхода. Јавна предузећа се у пословању суочавају са бројним проблемима, од наплате потраживања, до редовног измиривања обавеза према повериоцима</w:t>
      </w:r>
      <w:r w:rsidR="00103068">
        <w:rPr>
          <w:rFonts w:eastAsia="MS PGothic" w:cstheme="minorHAnsi"/>
          <w:szCs w:val="20"/>
          <w:lang w:val="sr-Cyrl-CS" w:eastAsia="ja-JP"/>
        </w:rPr>
        <w:t xml:space="preserve">, држави и запосленима и сл. </w:t>
      </w:r>
      <w:r w:rsidRPr="00347E91">
        <w:rPr>
          <w:rFonts w:eastAsia="MS PGothic" w:cstheme="minorHAnsi"/>
          <w:szCs w:val="20"/>
          <w:lang w:val="sr-Cyrl-CS" w:eastAsia="ja-JP"/>
        </w:rPr>
        <w:t>Држава као оснивач и њихов једини власник је одговорна за пословање и њихово је последње уточиште у случају неликвидности. Постоји неколико канала кроз које се могу материјализовати фискални ризици везани за пословање јавних предузећа. Највећи, али не и једини ризик, су државне гаранције дате за кредите јавних предузећа. Одрживост, ефикасност и профитабилност јавних предузећа утичу на приходе буџета, односно на износ добити коју уплаћују у буџет. Квалитет производа и услуга које обезбеђују јавна предузећа утичу на ефикасност и профитабилност приватног сектора и у крајњој инстанци на ниво пореза које уплаћују у буџет.</w:t>
      </w:r>
    </w:p>
    <w:p w14:paraId="1A6E6027" w14:textId="77777777" w:rsidR="001E3E7D" w:rsidRPr="00347E91" w:rsidRDefault="001E3E7D" w:rsidP="008E67C1">
      <w:pPr>
        <w:rPr>
          <w:rFonts w:eastAsia="MS PGothic" w:cstheme="minorHAnsi"/>
          <w:szCs w:val="20"/>
          <w:lang w:val="sr-Cyrl-CS" w:eastAsia="ja-JP"/>
        </w:rPr>
      </w:pPr>
      <w:r w:rsidRPr="00347E91">
        <w:rPr>
          <w:rFonts w:eastAsia="MS PGothic" w:cstheme="minorHAnsi"/>
          <w:szCs w:val="20"/>
          <w:lang w:val="sr-Cyrl-CS" w:eastAsia="ja-JP"/>
        </w:rPr>
        <w:t xml:space="preserve">Јавна предузећа представљају значајан сегмент српске привреде који запошљава око </w:t>
      </w:r>
      <w:r w:rsidRPr="00347E91">
        <w:rPr>
          <w:rFonts w:eastAsia="MS PGothic" w:cstheme="minorHAnsi"/>
          <w:szCs w:val="20"/>
          <w:lang w:val="en-GB" w:eastAsia="ja-JP"/>
        </w:rPr>
        <w:t>81</w:t>
      </w:r>
      <w:r w:rsidRPr="00347E91">
        <w:rPr>
          <w:rFonts w:eastAsia="MS PGothic" w:cstheme="minorHAnsi"/>
          <w:szCs w:val="20"/>
          <w:lang w:val="sr-Cyrl-CS" w:eastAsia="ja-JP"/>
        </w:rPr>
        <w:t xml:space="preserve"> хиљадa људи. Јавна предузећа се оснивају као друштва за обављање делатности од општег интереса. Њихов рад уређен је Законом о јавним предузећима, који је усвојен у фебруару 2016. године, као и подсекторским законима који дефинишу специфична подручја која нису обухваћена Законом о јавним предузећима (Закон о енергетици, Закон о привредним друштвима и др).</w:t>
      </w:r>
    </w:p>
    <w:p w14:paraId="176B76F6" w14:textId="77777777" w:rsidR="001E3E7D" w:rsidRPr="00AE36A5" w:rsidRDefault="001E3E7D" w:rsidP="008E67C1">
      <w:pPr>
        <w:rPr>
          <w:rFonts w:cstheme="minorHAnsi"/>
          <w:b/>
          <w:bCs/>
          <w:color w:val="2F5496" w:themeColor="accent1" w:themeShade="BF"/>
          <w:sz w:val="22"/>
          <w:szCs w:val="20"/>
          <w:lang w:val="sr-Cyrl-RS"/>
        </w:rPr>
      </w:pPr>
      <w:r w:rsidRPr="00AE36A5">
        <w:rPr>
          <w:rFonts w:cstheme="minorHAnsi"/>
          <w:b/>
          <w:bCs/>
          <w:color w:val="2F5496" w:themeColor="accent1" w:themeShade="BF"/>
          <w:sz w:val="22"/>
          <w:szCs w:val="20"/>
          <w:lang w:val="sr-Cyrl-RS"/>
        </w:rPr>
        <w:t>Кључни финансијски показатељи пословања јавних предузећа</w:t>
      </w:r>
    </w:p>
    <w:p w14:paraId="10BF7717" w14:textId="77777777" w:rsidR="001E3E7D" w:rsidRPr="008E67C1" w:rsidRDefault="001E3E7D" w:rsidP="008E67C1">
      <w:pPr>
        <w:jc w:val="left"/>
        <w:rPr>
          <w:b/>
          <w:color w:val="2F5496" w:themeColor="accent1" w:themeShade="BF"/>
          <w:lang w:val="sr-Cyrl-RS"/>
        </w:rPr>
      </w:pPr>
      <w:r w:rsidRPr="008E67C1">
        <w:rPr>
          <w:b/>
          <w:color w:val="2F5496" w:themeColor="accent1" w:themeShade="BF"/>
          <w:lang w:val="sr-Cyrl-RS"/>
        </w:rPr>
        <w:t>Резултати пословања јавних предузећа у 2020. години</w:t>
      </w:r>
    </w:p>
    <w:p w14:paraId="1C4857EB" w14:textId="77777777" w:rsidR="001E3E7D" w:rsidRDefault="001E3E7D" w:rsidP="008E67C1">
      <w:pPr>
        <w:rPr>
          <w:rFonts w:eastAsia="MS PGothic" w:cstheme="minorHAnsi"/>
          <w:szCs w:val="20"/>
          <w:lang w:val="sr-Cyrl-CS" w:eastAsia="ja-JP"/>
        </w:rPr>
      </w:pPr>
      <w:r w:rsidRPr="00347E91">
        <w:rPr>
          <w:rFonts w:eastAsia="MS PGothic" w:cstheme="minorHAnsi"/>
          <w:szCs w:val="20"/>
          <w:lang w:val="sr-Cyrl-CS" w:eastAsia="ja-JP"/>
        </w:rPr>
        <w:t>Укупан капитал републичких јавних предузећа на крају 2020. године износио је 1.587 млрд динара, док је као крајњи резултат остварен нето добитак у износу од 16,4 млрд динара.</w:t>
      </w:r>
    </w:p>
    <w:p w14:paraId="1E618C71" w14:textId="77777777" w:rsidR="001E3E7D" w:rsidRPr="00E11CF1" w:rsidRDefault="001E3E7D" w:rsidP="008E67C1">
      <w:pPr>
        <w:jc w:val="center"/>
        <w:rPr>
          <w:rFonts w:eastAsia="MS PGothic" w:cstheme="minorHAnsi"/>
          <w:b/>
          <w:bCs/>
          <w:color w:val="002060"/>
          <w:szCs w:val="20"/>
          <w:lang w:val="sr-Cyrl-CS" w:eastAsia="ja-JP"/>
        </w:rPr>
      </w:pPr>
      <w:r w:rsidRPr="004E0C7D">
        <w:rPr>
          <w:rFonts w:eastAsia="MS PGothic" w:cstheme="minorHAnsi"/>
          <w:b/>
          <w:bCs/>
          <w:color w:val="002060"/>
          <w:szCs w:val="20"/>
          <w:lang w:val="sr-Cyrl-CS" w:eastAsia="ja-JP"/>
        </w:rPr>
        <w:t xml:space="preserve">Табела 17. </w:t>
      </w:r>
      <w:r w:rsidRPr="00E11CF1">
        <w:rPr>
          <w:rFonts w:eastAsia="MS PGothic" w:cstheme="minorHAnsi"/>
          <w:b/>
          <w:bCs/>
          <w:color w:val="002060"/>
          <w:szCs w:val="20"/>
          <w:lang w:val="sr-Cyrl-CS" w:eastAsia="ja-JP"/>
        </w:rPr>
        <w:t>Главни финансијски показатељи пословања јавних предузећа, млрд дин.</w:t>
      </w:r>
    </w:p>
    <w:tbl>
      <w:tblPr>
        <w:tblW w:w="0" w:type="auto"/>
        <w:jc w:val="center"/>
        <w:tblLook w:val="04A0" w:firstRow="1" w:lastRow="0" w:firstColumn="1" w:lastColumn="0" w:noHBand="0" w:noVBand="1"/>
      </w:tblPr>
      <w:tblGrid>
        <w:gridCol w:w="2931"/>
        <w:gridCol w:w="627"/>
        <w:gridCol w:w="627"/>
      </w:tblGrid>
      <w:tr w:rsidR="00E11CF1" w:rsidRPr="008E67C1" w14:paraId="71B6EC54" w14:textId="77777777" w:rsidTr="008E67C1">
        <w:trPr>
          <w:trHeight w:hRule="exact" w:val="227"/>
          <w:jc w:val="center"/>
        </w:trPr>
        <w:tc>
          <w:tcPr>
            <w:tcW w:w="0" w:type="auto"/>
            <w:tcBorders>
              <w:top w:val="single" w:sz="8" w:space="0" w:color="002060"/>
              <w:left w:val="nil"/>
              <w:bottom w:val="single" w:sz="8" w:space="0" w:color="002060"/>
              <w:right w:val="nil"/>
            </w:tcBorders>
            <w:shd w:val="clear" w:color="auto" w:fill="auto"/>
            <w:noWrap/>
            <w:vAlign w:val="center"/>
            <w:hideMark/>
          </w:tcPr>
          <w:p w14:paraId="1F559C20"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Опис</w:t>
            </w:r>
          </w:p>
        </w:tc>
        <w:tc>
          <w:tcPr>
            <w:tcW w:w="0" w:type="auto"/>
            <w:tcBorders>
              <w:top w:val="single" w:sz="8" w:space="0" w:color="002060"/>
              <w:left w:val="nil"/>
              <w:bottom w:val="single" w:sz="8" w:space="0" w:color="002060"/>
              <w:right w:val="nil"/>
            </w:tcBorders>
            <w:shd w:val="clear" w:color="auto" w:fill="auto"/>
            <w:noWrap/>
            <w:vAlign w:val="center"/>
            <w:hideMark/>
          </w:tcPr>
          <w:p w14:paraId="32533FA2"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2019</w:t>
            </w:r>
          </w:p>
        </w:tc>
        <w:tc>
          <w:tcPr>
            <w:tcW w:w="0" w:type="auto"/>
            <w:tcBorders>
              <w:top w:val="single" w:sz="8" w:space="0" w:color="002060"/>
              <w:left w:val="nil"/>
              <w:bottom w:val="single" w:sz="8" w:space="0" w:color="002060"/>
              <w:right w:val="nil"/>
            </w:tcBorders>
            <w:shd w:val="clear" w:color="auto" w:fill="auto"/>
            <w:noWrap/>
            <w:vAlign w:val="center"/>
            <w:hideMark/>
          </w:tcPr>
          <w:p w14:paraId="3EBCF2AF"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2020</w:t>
            </w:r>
          </w:p>
        </w:tc>
      </w:tr>
      <w:tr w:rsidR="00E11CF1" w:rsidRPr="008E67C1" w14:paraId="5E3BDBE3"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11953AAB"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Укупна имовина</w:t>
            </w:r>
          </w:p>
        </w:tc>
        <w:tc>
          <w:tcPr>
            <w:tcW w:w="0" w:type="auto"/>
            <w:tcBorders>
              <w:top w:val="nil"/>
              <w:left w:val="nil"/>
              <w:bottom w:val="nil"/>
              <w:right w:val="nil"/>
            </w:tcBorders>
            <w:shd w:val="clear" w:color="auto" w:fill="auto"/>
            <w:noWrap/>
            <w:vAlign w:val="center"/>
            <w:hideMark/>
          </w:tcPr>
          <w:p w14:paraId="24F8782E"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2.854</w:t>
            </w:r>
          </w:p>
        </w:tc>
        <w:tc>
          <w:tcPr>
            <w:tcW w:w="0" w:type="auto"/>
            <w:tcBorders>
              <w:top w:val="nil"/>
              <w:left w:val="nil"/>
              <w:bottom w:val="nil"/>
              <w:right w:val="nil"/>
            </w:tcBorders>
            <w:shd w:val="clear" w:color="auto" w:fill="auto"/>
            <w:noWrap/>
            <w:vAlign w:val="center"/>
            <w:hideMark/>
          </w:tcPr>
          <w:p w14:paraId="6B27502E"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2.628</w:t>
            </w:r>
          </w:p>
        </w:tc>
      </w:tr>
      <w:tr w:rsidR="00E11CF1" w:rsidRPr="008E67C1" w14:paraId="0E84BAB3"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396F71F3"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Сопствени капитал</w:t>
            </w:r>
          </w:p>
        </w:tc>
        <w:tc>
          <w:tcPr>
            <w:tcW w:w="0" w:type="auto"/>
            <w:tcBorders>
              <w:top w:val="nil"/>
              <w:left w:val="nil"/>
              <w:bottom w:val="nil"/>
              <w:right w:val="nil"/>
            </w:tcBorders>
            <w:shd w:val="clear" w:color="auto" w:fill="auto"/>
            <w:noWrap/>
            <w:vAlign w:val="center"/>
            <w:hideMark/>
          </w:tcPr>
          <w:p w14:paraId="037352FE"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1.751</w:t>
            </w:r>
          </w:p>
        </w:tc>
        <w:tc>
          <w:tcPr>
            <w:tcW w:w="0" w:type="auto"/>
            <w:tcBorders>
              <w:top w:val="nil"/>
              <w:left w:val="nil"/>
              <w:bottom w:val="nil"/>
              <w:right w:val="nil"/>
            </w:tcBorders>
            <w:shd w:val="clear" w:color="auto" w:fill="auto"/>
            <w:noWrap/>
            <w:vAlign w:val="center"/>
            <w:hideMark/>
          </w:tcPr>
          <w:p w14:paraId="7A439A55"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1.587</w:t>
            </w:r>
          </w:p>
        </w:tc>
      </w:tr>
      <w:tr w:rsidR="00E11CF1" w:rsidRPr="008E67C1" w14:paraId="4C33B884"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14FB1668"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Укупни приходи</w:t>
            </w:r>
          </w:p>
        </w:tc>
        <w:tc>
          <w:tcPr>
            <w:tcW w:w="0" w:type="auto"/>
            <w:tcBorders>
              <w:top w:val="nil"/>
              <w:left w:val="nil"/>
              <w:bottom w:val="nil"/>
              <w:right w:val="nil"/>
            </w:tcBorders>
            <w:shd w:val="clear" w:color="auto" w:fill="auto"/>
            <w:noWrap/>
            <w:vAlign w:val="center"/>
            <w:hideMark/>
          </w:tcPr>
          <w:p w14:paraId="7F976227"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524,3</w:t>
            </w:r>
          </w:p>
        </w:tc>
        <w:tc>
          <w:tcPr>
            <w:tcW w:w="0" w:type="auto"/>
            <w:tcBorders>
              <w:top w:val="nil"/>
              <w:left w:val="nil"/>
              <w:bottom w:val="nil"/>
              <w:right w:val="nil"/>
            </w:tcBorders>
            <w:shd w:val="clear" w:color="auto" w:fill="auto"/>
            <w:noWrap/>
            <w:vAlign w:val="center"/>
            <w:hideMark/>
          </w:tcPr>
          <w:p w14:paraId="6D9D7238"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532,7</w:t>
            </w:r>
          </w:p>
        </w:tc>
      </w:tr>
      <w:tr w:rsidR="00E11CF1" w:rsidRPr="008E67C1" w14:paraId="4CCF3CB6"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773A88A0"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Нето добитак</w:t>
            </w:r>
          </w:p>
        </w:tc>
        <w:tc>
          <w:tcPr>
            <w:tcW w:w="0" w:type="auto"/>
            <w:tcBorders>
              <w:top w:val="nil"/>
              <w:left w:val="nil"/>
              <w:bottom w:val="nil"/>
              <w:right w:val="nil"/>
            </w:tcBorders>
            <w:shd w:val="clear" w:color="auto" w:fill="auto"/>
            <w:noWrap/>
            <w:vAlign w:val="center"/>
            <w:hideMark/>
          </w:tcPr>
          <w:p w14:paraId="1B9858D0"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-18,1</w:t>
            </w:r>
          </w:p>
        </w:tc>
        <w:tc>
          <w:tcPr>
            <w:tcW w:w="0" w:type="auto"/>
            <w:tcBorders>
              <w:top w:val="nil"/>
              <w:left w:val="nil"/>
              <w:bottom w:val="nil"/>
              <w:right w:val="nil"/>
            </w:tcBorders>
            <w:shd w:val="clear" w:color="auto" w:fill="auto"/>
            <w:noWrap/>
            <w:vAlign w:val="center"/>
            <w:hideMark/>
          </w:tcPr>
          <w:p w14:paraId="3E93F29D"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16,4</w:t>
            </w:r>
          </w:p>
        </w:tc>
      </w:tr>
      <w:tr w:rsidR="00E11CF1" w:rsidRPr="008E67C1" w14:paraId="23F18ED6" w14:textId="77777777" w:rsidTr="008E67C1">
        <w:trPr>
          <w:trHeight w:hRule="exact" w:val="227"/>
          <w:jc w:val="center"/>
        </w:trPr>
        <w:tc>
          <w:tcPr>
            <w:tcW w:w="0" w:type="auto"/>
            <w:tcBorders>
              <w:top w:val="nil"/>
              <w:left w:val="nil"/>
              <w:bottom w:val="nil"/>
              <w:right w:val="nil"/>
            </w:tcBorders>
            <w:shd w:val="clear" w:color="auto" w:fill="auto"/>
            <w:noWrap/>
            <w:vAlign w:val="center"/>
            <w:hideMark/>
          </w:tcPr>
          <w:p w14:paraId="4558FD7D"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Субвенције</w:t>
            </w:r>
          </w:p>
        </w:tc>
        <w:tc>
          <w:tcPr>
            <w:tcW w:w="0" w:type="auto"/>
            <w:tcBorders>
              <w:top w:val="nil"/>
              <w:left w:val="nil"/>
              <w:bottom w:val="nil"/>
              <w:right w:val="nil"/>
            </w:tcBorders>
            <w:shd w:val="clear" w:color="auto" w:fill="auto"/>
            <w:noWrap/>
            <w:vAlign w:val="center"/>
            <w:hideMark/>
          </w:tcPr>
          <w:p w14:paraId="0201896B"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33,4</w:t>
            </w:r>
          </w:p>
        </w:tc>
        <w:tc>
          <w:tcPr>
            <w:tcW w:w="0" w:type="auto"/>
            <w:tcBorders>
              <w:top w:val="nil"/>
              <w:left w:val="nil"/>
              <w:bottom w:val="nil"/>
              <w:right w:val="nil"/>
            </w:tcBorders>
            <w:shd w:val="clear" w:color="auto" w:fill="auto"/>
            <w:noWrap/>
            <w:vAlign w:val="center"/>
            <w:hideMark/>
          </w:tcPr>
          <w:p w14:paraId="10017BA8"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66,5</w:t>
            </w:r>
          </w:p>
        </w:tc>
      </w:tr>
      <w:tr w:rsidR="00E11CF1" w:rsidRPr="008E67C1" w14:paraId="436461C2" w14:textId="77777777" w:rsidTr="008E67C1">
        <w:trPr>
          <w:trHeight w:hRule="exact" w:val="227"/>
          <w:jc w:val="center"/>
        </w:trPr>
        <w:tc>
          <w:tcPr>
            <w:tcW w:w="0" w:type="auto"/>
            <w:tcBorders>
              <w:top w:val="nil"/>
              <w:left w:val="nil"/>
              <w:bottom w:val="single" w:sz="8" w:space="0" w:color="002060"/>
              <w:right w:val="nil"/>
            </w:tcBorders>
            <w:shd w:val="clear" w:color="auto" w:fill="auto"/>
            <w:noWrap/>
            <w:vAlign w:val="center"/>
            <w:hideMark/>
          </w:tcPr>
          <w:p w14:paraId="05017812" w14:textId="77777777" w:rsidR="001E3E7D" w:rsidRPr="008E67C1" w:rsidRDefault="001E3E7D" w:rsidP="008265F0">
            <w:pPr>
              <w:spacing w:after="120" w:line="276" w:lineRule="auto"/>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Субвенције, без ЈП „Путеви Србије”</w:t>
            </w:r>
          </w:p>
        </w:tc>
        <w:tc>
          <w:tcPr>
            <w:tcW w:w="0" w:type="auto"/>
            <w:tcBorders>
              <w:top w:val="nil"/>
              <w:left w:val="nil"/>
              <w:bottom w:val="single" w:sz="8" w:space="0" w:color="002060"/>
              <w:right w:val="nil"/>
            </w:tcBorders>
            <w:shd w:val="clear" w:color="auto" w:fill="auto"/>
            <w:noWrap/>
            <w:vAlign w:val="center"/>
            <w:hideMark/>
          </w:tcPr>
          <w:p w14:paraId="2467F33A"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24,3</w:t>
            </w:r>
          </w:p>
        </w:tc>
        <w:tc>
          <w:tcPr>
            <w:tcW w:w="0" w:type="auto"/>
            <w:tcBorders>
              <w:top w:val="nil"/>
              <w:left w:val="nil"/>
              <w:bottom w:val="single" w:sz="8" w:space="0" w:color="002060"/>
              <w:right w:val="nil"/>
            </w:tcBorders>
            <w:shd w:val="clear" w:color="auto" w:fill="auto"/>
            <w:noWrap/>
            <w:vAlign w:val="center"/>
            <w:hideMark/>
          </w:tcPr>
          <w:p w14:paraId="42EAC3BF" w14:textId="77777777" w:rsidR="001E3E7D" w:rsidRPr="008E67C1" w:rsidRDefault="001E3E7D" w:rsidP="008265F0">
            <w:pPr>
              <w:spacing w:after="120" w:line="276" w:lineRule="auto"/>
              <w:jc w:val="right"/>
              <w:rPr>
                <w:rFonts w:eastAsia="MS PGothic" w:cstheme="minorHAnsi"/>
                <w:color w:val="002060"/>
                <w:sz w:val="18"/>
                <w:szCs w:val="18"/>
                <w:lang w:val="sr-Cyrl-RS" w:eastAsia="ja-JP"/>
              </w:rPr>
            </w:pPr>
            <w:r w:rsidRPr="008E67C1">
              <w:rPr>
                <w:rFonts w:eastAsia="MS PGothic" w:cstheme="minorHAnsi"/>
                <w:color w:val="002060"/>
                <w:sz w:val="18"/>
                <w:szCs w:val="18"/>
                <w:lang w:val="sr-Cyrl-RS" w:eastAsia="ja-JP"/>
              </w:rPr>
              <w:t>39,6</w:t>
            </w:r>
          </w:p>
        </w:tc>
      </w:tr>
    </w:tbl>
    <w:p w14:paraId="7D07347A" w14:textId="77777777" w:rsidR="001E3E7D" w:rsidRPr="00347E91" w:rsidRDefault="001E3E7D" w:rsidP="008E67C1">
      <w:pPr>
        <w:spacing w:after="120" w:line="276" w:lineRule="auto"/>
        <w:ind w:left="57"/>
        <w:rPr>
          <w:rFonts w:eastAsia="MS PGothic" w:cstheme="minorHAnsi"/>
          <w:sz w:val="16"/>
          <w:szCs w:val="16"/>
          <w:vertAlign w:val="superscript"/>
          <w:lang w:val="sr-Cyrl-CS" w:eastAsia="ja-JP"/>
        </w:rPr>
      </w:pPr>
      <w:r w:rsidRPr="00347E91">
        <w:rPr>
          <w:rFonts w:eastAsia="MS PGothic" w:cstheme="minorHAnsi"/>
          <w:sz w:val="16"/>
          <w:szCs w:val="16"/>
          <w:lang w:val="sr-Cyrl-CS" w:eastAsia="ja-JP"/>
        </w:rPr>
        <w:t>Извор: Финансијски извештаји за 2019. и 2020. годину</w:t>
      </w:r>
    </w:p>
    <w:p w14:paraId="187526D5" w14:textId="77777777" w:rsidR="002C06AB" w:rsidRDefault="001E3E7D" w:rsidP="008E67C1">
      <w:pPr>
        <w:rPr>
          <w:rFonts w:eastAsia="MS PGothic" w:cstheme="minorHAnsi"/>
          <w:szCs w:val="20"/>
          <w:lang w:val="sr-Cyrl-CS" w:eastAsia="ja-JP"/>
        </w:rPr>
        <w:sectPr w:rsidR="002C06AB" w:rsidSect="009B76B2">
          <w:type w:val="continuous"/>
          <w:pgSz w:w="12240" w:h="15840" w:code="1"/>
          <w:pgMar w:top="1440" w:right="1440" w:bottom="1440" w:left="1440" w:header="720" w:footer="720" w:gutter="0"/>
          <w:cols w:num="2" w:space="720"/>
          <w:docGrid w:linePitch="360"/>
        </w:sectPr>
      </w:pPr>
      <w:r w:rsidRPr="00347E91">
        <w:rPr>
          <w:rFonts w:eastAsia="MS PGothic" w:cstheme="minorHAnsi"/>
          <w:szCs w:val="20"/>
          <w:lang w:val="sr-Cyrl-CS" w:eastAsia="ja-JP"/>
        </w:rPr>
        <w:t>У 2020. години субвенције су, изражене у проценту укупних прихода, на вишем нивоу у односу на претходну годину и чине 12% укупних прихода јавних предузећа. Одређене субвенције имају капитални карактер као што су субвенције за ЈП „Путеви Србије</w:t>
      </w:r>
      <w:r w:rsidR="00C6085C" w:rsidRPr="00C6085C">
        <w:rPr>
          <w:rFonts w:eastAsia="MS PGothic" w:cstheme="minorHAnsi"/>
          <w:bCs/>
          <w:szCs w:val="20"/>
          <w:lang w:val="sr-Cyrl-CS" w:eastAsia="ja-JP"/>
        </w:rPr>
        <w:t>”</w:t>
      </w:r>
      <w:r w:rsidRPr="00347E91">
        <w:rPr>
          <w:rFonts w:eastAsia="MS PGothic" w:cstheme="minorHAnsi"/>
          <w:szCs w:val="20"/>
          <w:lang w:val="sr-Cyrl-CS" w:eastAsia="ja-JP"/>
        </w:rPr>
        <w:t>, које су намењене реконструкцији путне инфраструктуре.</w:t>
      </w:r>
    </w:p>
    <w:p w14:paraId="615F6C41" w14:textId="77777777" w:rsidR="001E3E7D" w:rsidRPr="00347E91" w:rsidRDefault="001E3E7D" w:rsidP="008E67C1">
      <w:pPr>
        <w:rPr>
          <w:rFonts w:eastAsia="MS PGothic" w:cstheme="minorHAnsi"/>
          <w:szCs w:val="20"/>
          <w:lang w:val="sr-Cyrl-CS" w:eastAsia="ja-JP"/>
        </w:rPr>
      </w:pPr>
    </w:p>
    <w:p w14:paraId="24C8E044" w14:textId="77777777" w:rsidR="002C06AB" w:rsidRDefault="002C06AB">
      <w:pPr>
        <w:jc w:val="left"/>
        <w:rPr>
          <w:b/>
          <w:color w:val="2F5496" w:themeColor="accent1" w:themeShade="BF"/>
          <w:lang w:val="sr-Cyrl-RS"/>
        </w:rPr>
      </w:pPr>
      <w:r>
        <w:rPr>
          <w:b/>
          <w:color w:val="2F5496" w:themeColor="accent1" w:themeShade="BF"/>
          <w:lang w:val="sr-Cyrl-RS"/>
        </w:rPr>
        <w:br w:type="page"/>
      </w:r>
    </w:p>
    <w:p w14:paraId="495064B3" w14:textId="77777777" w:rsidR="001E3E7D" w:rsidRPr="008E67C1" w:rsidRDefault="001E3E7D" w:rsidP="008E67C1">
      <w:pPr>
        <w:jc w:val="left"/>
        <w:rPr>
          <w:b/>
          <w:color w:val="2F5496" w:themeColor="accent1" w:themeShade="BF"/>
          <w:lang w:val="sr-Cyrl-RS"/>
        </w:rPr>
      </w:pPr>
      <w:r w:rsidRPr="008E67C1">
        <w:rPr>
          <w:b/>
          <w:color w:val="2F5496" w:themeColor="accent1" w:themeShade="BF"/>
          <w:lang w:val="sr-Cyrl-RS"/>
        </w:rPr>
        <w:lastRenderedPageBreak/>
        <w:t>Резултати пословања јавних предузећа у првом кварталу 2021. године</w:t>
      </w:r>
    </w:p>
    <w:p w14:paraId="2C33F242" w14:textId="77777777" w:rsidR="001E3E7D" w:rsidRDefault="001E3E7D" w:rsidP="00C6085C">
      <w:pPr>
        <w:spacing w:after="360"/>
        <w:rPr>
          <w:rFonts w:eastAsia="MS PGothic" w:cstheme="minorHAnsi"/>
          <w:szCs w:val="20"/>
          <w:lang w:val="sr-Cyrl-CS" w:eastAsia="ja-JP"/>
        </w:rPr>
      </w:pPr>
      <w:r w:rsidRPr="00347E91">
        <w:rPr>
          <w:rFonts w:eastAsia="MS PGothic" w:cstheme="minorHAnsi"/>
          <w:szCs w:val="20"/>
          <w:lang w:val="sr-Cyrl-CS" w:eastAsia="ja-JP"/>
        </w:rPr>
        <w:t xml:space="preserve">Укупан нето резултат утврђен у првом кварталу је добит у износу од 16,1 млрд динара. Резултат </w:t>
      </w:r>
      <w:r w:rsidRPr="00347E91">
        <w:rPr>
          <w:rFonts w:eastAsia="MS PGothic" w:cstheme="minorHAnsi"/>
          <w:szCs w:val="20"/>
          <w:lang w:val="sr-Cyrl-CS" w:eastAsia="ja-JP"/>
        </w:rPr>
        <w:t>текуће године је прецењен за трошкове амортизације ЈП „Путеви Србије</w:t>
      </w:r>
      <w:r w:rsidR="00C6085C" w:rsidRPr="00C6085C">
        <w:rPr>
          <w:rFonts w:eastAsia="MS PGothic" w:cstheme="minorHAnsi"/>
          <w:bCs/>
          <w:szCs w:val="20"/>
          <w:lang w:val="sr-Cyrl-CS" w:eastAsia="ja-JP"/>
        </w:rPr>
        <w:t>”</w:t>
      </w:r>
      <w:r w:rsidRPr="00347E91">
        <w:rPr>
          <w:rFonts w:eastAsia="MS PGothic" w:cstheme="minorHAnsi"/>
          <w:szCs w:val="20"/>
          <w:lang w:val="sr-Cyrl-CS" w:eastAsia="ja-JP"/>
        </w:rPr>
        <w:t>, јер предузеће ове трошкове књижи тек на крају године у целокупном износу за дату годину.</w:t>
      </w:r>
    </w:p>
    <w:p w14:paraId="5FE18F8A" w14:textId="77777777" w:rsidR="008E67C1" w:rsidRPr="00347E91" w:rsidRDefault="008E67C1" w:rsidP="008265F0">
      <w:pPr>
        <w:spacing w:after="120" w:line="276" w:lineRule="auto"/>
        <w:rPr>
          <w:rFonts w:eastAsia="MS PGothic" w:cstheme="minorHAnsi"/>
          <w:szCs w:val="20"/>
          <w:lang w:val="en-GB" w:eastAsia="ja-JP"/>
        </w:rPr>
        <w:sectPr w:rsidR="008E67C1" w:rsidRPr="00347E91" w:rsidSect="009B76B2">
          <w:type w:val="continuous"/>
          <w:pgSz w:w="12240" w:h="15840" w:code="1"/>
          <w:pgMar w:top="1440" w:right="1440" w:bottom="1440" w:left="1440" w:header="720" w:footer="720" w:gutter="0"/>
          <w:cols w:num="2" w:space="720"/>
          <w:docGrid w:linePitch="360"/>
        </w:sectPr>
      </w:pPr>
    </w:p>
    <w:p w14:paraId="6B4C787F" w14:textId="77777777" w:rsidR="001E3E7D" w:rsidRPr="00E11CF1" w:rsidRDefault="001E3E7D" w:rsidP="00594453">
      <w:pPr>
        <w:spacing w:after="120" w:line="276" w:lineRule="auto"/>
        <w:jc w:val="center"/>
        <w:rPr>
          <w:rFonts w:eastAsia="MS PGothic" w:cstheme="minorHAnsi"/>
          <w:b/>
          <w:bCs/>
          <w:color w:val="002060"/>
          <w:szCs w:val="20"/>
          <w:lang w:val="sr-Cyrl-CS" w:eastAsia="ja-JP"/>
        </w:rPr>
      </w:pPr>
      <w:r w:rsidRPr="004E0C7D">
        <w:rPr>
          <w:rFonts w:eastAsia="MS PGothic" w:cstheme="minorHAnsi"/>
          <w:b/>
          <w:bCs/>
          <w:color w:val="002060"/>
          <w:szCs w:val="20"/>
          <w:lang w:val="sr-Cyrl-CS" w:eastAsia="ja-JP"/>
        </w:rPr>
        <w:t xml:space="preserve">Табела 18. </w:t>
      </w:r>
      <w:r w:rsidRPr="00E11CF1">
        <w:rPr>
          <w:rFonts w:eastAsia="MS PGothic" w:cstheme="minorHAnsi"/>
          <w:b/>
          <w:bCs/>
          <w:color w:val="002060"/>
          <w:szCs w:val="20"/>
          <w:lang w:val="sr-Cyrl-CS" w:eastAsia="ja-JP"/>
        </w:rPr>
        <w:t>Основни показатељи пословања ЈП на дан 31.3.2021. год, у млрд динара</w:t>
      </w:r>
    </w:p>
    <w:tbl>
      <w:tblPr>
        <w:tblW w:w="9239" w:type="dxa"/>
        <w:tblLayout w:type="fixed"/>
        <w:tblLook w:val="04A0" w:firstRow="1" w:lastRow="0" w:firstColumn="1" w:lastColumn="0" w:noHBand="0" w:noVBand="1"/>
      </w:tblPr>
      <w:tblGrid>
        <w:gridCol w:w="2298"/>
        <w:gridCol w:w="2313"/>
        <w:gridCol w:w="2314"/>
        <w:gridCol w:w="2314"/>
      </w:tblGrid>
      <w:tr w:rsidR="00E11CF1" w:rsidRPr="00E11CF1" w14:paraId="481DA393" w14:textId="77777777" w:rsidTr="00A958D8">
        <w:trPr>
          <w:trHeight w:hRule="exact" w:val="227"/>
          <w:tblHeader/>
        </w:trPr>
        <w:tc>
          <w:tcPr>
            <w:tcW w:w="2298" w:type="dxa"/>
            <w:tcBorders>
              <w:top w:val="single" w:sz="8" w:space="0" w:color="002060"/>
              <w:left w:val="nil"/>
              <w:bottom w:val="single" w:sz="8" w:space="0" w:color="002060"/>
              <w:right w:val="nil"/>
            </w:tcBorders>
            <w:shd w:val="clear" w:color="auto" w:fill="auto"/>
            <w:noWrap/>
            <w:vAlign w:val="center"/>
            <w:hideMark/>
          </w:tcPr>
          <w:p w14:paraId="6FB79865" w14:textId="77777777" w:rsidR="001E3E7D" w:rsidRPr="00A958D8" w:rsidRDefault="001E3E7D" w:rsidP="00CD7EDF">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Показатељи пословања</w:t>
            </w:r>
          </w:p>
        </w:tc>
        <w:tc>
          <w:tcPr>
            <w:tcW w:w="2313" w:type="dxa"/>
            <w:tcBorders>
              <w:top w:val="single" w:sz="8" w:space="0" w:color="002060"/>
              <w:left w:val="nil"/>
              <w:bottom w:val="single" w:sz="8" w:space="0" w:color="002060"/>
              <w:right w:val="nil"/>
            </w:tcBorders>
            <w:shd w:val="clear" w:color="auto" w:fill="auto"/>
            <w:noWrap/>
            <w:vAlign w:val="center"/>
            <w:hideMark/>
          </w:tcPr>
          <w:p w14:paraId="715E490F"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2019</w:t>
            </w:r>
          </w:p>
        </w:tc>
        <w:tc>
          <w:tcPr>
            <w:tcW w:w="2314" w:type="dxa"/>
            <w:tcBorders>
              <w:top w:val="single" w:sz="8" w:space="0" w:color="002060"/>
              <w:left w:val="nil"/>
              <w:bottom w:val="single" w:sz="8" w:space="0" w:color="002060"/>
              <w:right w:val="nil"/>
            </w:tcBorders>
            <w:shd w:val="clear" w:color="auto" w:fill="auto"/>
            <w:noWrap/>
            <w:vAlign w:val="center"/>
            <w:hideMark/>
          </w:tcPr>
          <w:p w14:paraId="4925B3B8"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2020</w:t>
            </w:r>
          </w:p>
        </w:tc>
        <w:tc>
          <w:tcPr>
            <w:tcW w:w="2314" w:type="dxa"/>
            <w:tcBorders>
              <w:top w:val="single" w:sz="8" w:space="0" w:color="002060"/>
              <w:left w:val="nil"/>
              <w:bottom w:val="single" w:sz="8" w:space="0" w:color="002060"/>
              <w:right w:val="nil"/>
            </w:tcBorders>
            <w:shd w:val="clear" w:color="auto" w:fill="auto"/>
            <w:noWrap/>
            <w:vAlign w:val="center"/>
            <w:hideMark/>
          </w:tcPr>
          <w:p w14:paraId="466C69A4"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1.1–31.3.2021.</w:t>
            </w:r>
          </w:p>
        </w:tc>
      </w:tr>
      <w:tr w:rsidR="00E11CF1" w:rsidRPr="00E11CF1" w14:paraId="4B76EFA3" w14:textId="77777777" w:rsidTr="00A958D8">
        <w:trPr>
          <w:trHeight w:hRule="exact" w:val="227"/>
        </w:trPr>
        <w:tc>
          <w:tcPr>
            <w:tcW w:w="2298" w:type="dxa"/>
            <w:tcBorders>
              <w:top w:val="nil"/>
              <w:left w:val="nil"/>
              <w:bottom w:val="nil"/>
              <w:right w:val="nil"/>
            </w:tcBorders>
            <w:shd w:val="clear" w:color="auto" w:fill="auto"/>
            <w:noWrap/>
            <w:vAlign w:val="center"/>
            <w:hideMark/>
          </w:tcPr>
          <w:p w14:paraId="341926EE"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Пословни приходи</w:t>
            </w:r>
          </w:p>
        </w:tc>
        <w:tc>
          <w:tcPr>
            <w:tcW w:w="2313" w:type="dxa"/>
            <w:tcBorders>
              <w:top w:val="nil"/>
              <w:left w:val="nil"/>
              <w:bottom w:val="nil"/>
              <w:right w:val="nil"/>
            </w:tcBorders>
            <w:shd w:val="clear" w:color="auto" w:fill="auto"/>
            <w:noWrap/>
            <w:vAlign w:val="center"/>
            <w:hideMark/>
          </w:tcPr>
          <w:p w14:paraId="43F73AD9"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 xml:space="preserve"> 496,7 </w:t>
            </w:r>
          </w:p>
        </w:tc>
        <w:tc>
          <w:tcPr>
            <w:tcW w:w="2314" w:type="dxa"/>
            <w:tcBorders>
              <w:top w:val="nil"/>
              <w:left w:val="nil"/>
              <w:bottom w:val="nil"/>
              <w:right w:val="nil"/>
            </w:tcBorders>
            <w:shd w:val="clear" w:color="auto" w:fill="auto"/>
            <w:noWrap/>
            <w:vAlign w:val="center"/>
            <w:hideMark/>
          </w:tcPr>
          <w:p w14:paraId="7E996E1F"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506,0</w:t>
            </w:r>
          </w:p>
        </w:tc>
        <w:tc>
          <w:tcPr>
            <w:tcW w:w="2314" w:type="dxa"/>
            <w:tcBorders>
              <w:top w:val="nil"/>
              <w:left w:val="nil"/>
              <w:bottom w:val="nil"/>
              <w:right w:val="nil"/>
            </w:tcBorders>
            <w:shd w:val="clear" w:color="auto" w:fill="auto"/>
            <w:noWrap/>
            <w:vAlign w:val="center"/>
            <w:hideMark/>
          </w:tcPr>
          <w:p w14:paraId="5F228C8D"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148,8</w:t>
            </w:r>
          </w:p>
        </w:tc>
      </w:tr>
      <w:tr w:rsidR="00E11CF1" w:rsidRPr="00E11CF1" w14:paraId="00368822" w14:textId="77777777" w:rsidTr="00A958D8">
        <w:trPr>
          <w:trHeight w:hRule="exact" w:val="227"/>
        </w:trPr>
        <w:tc>
          <w:tcPr>
            <w:tcW w:w="2298" w:type="dxa"/>
            <w:tcBorders>
              <w:top w:val="nil"/>
              <w:left w:val="nil"/>
              <w:bottom w:val="nil"/>
              <w:right w:val="nil"/>
            </w:tcBorders>
            <w:shd w:val="clear" w:color="auto" w:fill="auto"/>
            <w:noWrap/>
            <w:vAlign w:val="center"/>
            <w:hideMark/>
          </w:tcPr>
          <w:p w14:paraId="2CD42811"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Пословни расходи</w:t>
            </w:r>
          </w:p>
        </w:tc>
        <w:tc>
          <w:tcPr>
            <w:tcW w:w="2313" w:type="dxa"/>
            <w:tcBorders>
              <w:top w:val="nil"/>
              <w:left w:val="nil"/>
              <w:bottom w:val="nil"/>
              <w:right w:val="nil"/>
            </w:tcBorders>
            <w:shd w:val="clear" w:color="auto" w:fill="auto"/>
            <w:noWrap/>
            <w:vAlign w:val="center"/>
            <w:hideMark/>
          </w:tcPr>
          <w:p w14:paraId="6211E492"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 xml:space="preserve"> 490,9 </w:t>
            </w:r>
          </w:p>
        </w:tc>
        <w:tc>
          <w:tcPr>
            <w:tcW w:w="2314" w:type="dxa"/>
            <w:tcBorders>
              <w:top w:val="nil"/>
              <w:left w:val="nil"/>
              <w:bottom w:val="nil"/>
              <w:right w:val="nil"/>
            </w:tcBorders>
            <w:shd w:val="clear" w:color="auto" w:fill="auto"/>
            <w:noWrap/>
            <w:vAlign w:val="center"/>
            <w:hideMark/>
          </w:tcPr>
          <w:p w14:paraId="637AB16B"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469,2</w:t>
            </w:r>
          </w:p>
        </w:tc>
        <w:tc>
          <w:tcPr>
            <w:tcW w:w="2314" w:type="dxa"/>
            <w:tcBorders>
              <w:top w:val="nil"/>
              <w:left w:val="nil"/>
              <w:bottom w:val="nil"/>
              <w:right w:val="nil"/>
            </w:tcBorders>
            <w:shd w:val="clear" w:color="auto" w:fill="auto"/>
            <w:noWrap/>
            <w:vAlign w:val="center"/>
            <w:hideMark/>
          </w:tcPr>
          <w:p w14:paraId="74F543CA"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125,4</w:t>
            </w:r>
          </w:p>
        </w:tc>
      </w:tr>
      <w:tr w:rsidR="00E11CF1" w:rsidRPr="00E11CF1" w14:paraId="3BE3B41B" w14:textId="77777777" w:rsidTr="00A958D8">
        <w:trPr>
          <w:trHeight w:hRule="exact" w:val="227"/>
        </w:trPr>
        <w:tc>
          <w:tcPr>
            <w:tcW w:w="2298" w:type="dxa"/>
            <w:tcBorders>
              <w:top w:val="nil"/>
              <w:left w:val="nil"/>
              <w:bottom w:val="nil"/>
              <w:right w:val="nil"/>
            </w:tcBorders>
            <w:shd w:val="clear" w:color="auto" w:fill="auto"/>
            <w:noWrap/>
            <w:vAlign w:val="center"/>
            <w:hideMark/>
          </w:tcPr>
          <w:p w14:paraId="47113B9F"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Пословна добит</w:t>
            </w:r>
          </w:p>
        </w:tc>
        <w:tc>
          <w:tcPr>
            <w:tcW w:w="2313" w:type="dxa"/>
            <w:tcBorders>
              <w:top w:val="nil"/>
              <w:left w:val="nil"/>
              <w:bottom w:val="nil"/>
              <w:right w:val="nil"/>
            </w:tcBorders>
            <w:shd w:val="clear" w:color="auto" w:fill="auto"/>
            <w:noWrap/>
            <w:vAlign w:val="center"/>
            <w:hideMark/>
          </w:tcPr>
          <w:p w14:paraId="7B29103C"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6</w:t>
            </w:r>
          </w:p>
        </w:tc>
        <w:tc>
          <w:tcPr>
            <w:tcW w:w="2314" w:type="dxa"/>
            <w:tcBorders>
              <w:top w:val="nil"/>
              <w:left w:val="nil"/>
              <w:bottom w:val="nil"/>
              <w:right w:val="nil"/>
            </w:tcBorders>
            <w:shd w:val="clear" w:color="auto" w:fill="auto"/>
            <w:noWrap/>
            <w:vAlign w:val="center"/>
            <w:hideMark/>
          </w:tcPr>
          <w:p w14:paraId="7160D557"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36,7</w:t>
            </w:r>
          </w:p>
        </w:tc>
        <w:tc>
          <w:tcPr>
            <w:tcW w:w="2314" w:type="dxa"/>
            <w:tcBorders>
              <w:top w:val="nil"/>
              <w:left w:val="nil"/>
              <w:bottom w:val="nil"/>
              <w:right w:val="nil"/>
            </w:tcBorders>
            <w:shd w:val="clear" w:color="auto" w:fill="auto"/>
            <w:noWrap/>
            <w:vAlign w:val="center"/>
            <w:hideMark/>
          </w:tcPr>
          <w:p w14:paraId="2AE55B13"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23,4</w:t>
            </w:r>
          </w:p>
        </w:tc>
      </w:tr>
      <w:tr w:rsidR="00E11CF1" w:rsidRPr="00E11CF1" w14:paraId="05EE48EF" w14:textId="77777777" w:rsidTr="00A958D8">
        <w:trPr>
          <w:trHeight w:hRule="exact" w:val="227"/>
        </w:trPr>
        <w:tc>
          <w:tcPr>
            <w:tcW w:w="2298" w:type="dxa"/>
            <w:tcBorders>
              <w:top w:val="nil"/>
              <w:left w:val="nil"/>
              <w:bottom w:val="nil"/>
              <w:right w:val="nil"/>
            </w:tcBorders>
            <w:shd w:val="clear" w:color="auto" w:fill="auto"/>
            <w:noWrap/>
            <w:vAlign w:val="center"/>
            <w:hideMark/>
          </w:tcPr>
          <w:p w14:paraId="29813F3C"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Нето добит</w:t>
            </w:r>
          </w:p>
        </w:tc>
        <w:tc>
          <w:tcPr>
            <w:tcW w:w="2313" w:type="dxa"/>
            <w:tcBorders>
              <w:top w:val="nil"/>
              <w:left w:val="nil"/>
              <w:bottom w:val="nil"/>
              <w:right w:val="nil"/>
            </w:tcBorders>
            <w:shd w:val="clear" w:color="auto" w:fill="auto"/>
            <w:noWrap/>
            <w:vAlign w:val="center"/>
            <w:hideMark/>
          </w:tcPr>
          <w:p w14:paraId="5E63A8F4"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-18,1</w:t>
            </w:r>
          </w:p>
        </w:tc>
        <w:tc>
          <w:tcPr>
            <w:tcW w:w="2314" w:type="dxa"/>
            <w:tcBorders>
              <w:top w:val="nil"/>
              <w:left w:val="nil"/>
              <w:bottom w:val="nil"/>
              <w:right w:val="nil"/>
            </w:tcBorders>
            <w:shd w:val="clear" w:color="auto" w:fill="auto"/>
            <w:noWrap/>
            <w:vAlign w:val="center"/>
            <w:hideMark/>
          </w:tcPr>
          <w:p w14:paraId="30556F69"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16,4</w:t>
            </w:r>
          </w:p>
        </w:tc>
        <w:tc>
          <w:tcPr>
            <w:tcW w:w="2314" w:type="dxa"/>
            <w:tcBorders>
              <w:top w:val="nil"/>
              <w:left w:val="nil"/>
              <w:bottom w:val="nil"/>
              <w:right w:val="nil"/>
            </w:tcBorders>
            <w:shd w:val="clear" w:color="auto" w:fill="auto"/>
            <w:noWrap/>
            <w:vAlign w:val="center"/>
            <w:hideMark/>
          </w:tcPr>
          <w:p w14:paraId="589FCFA8"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16,1</w:t>
            </w:r>
          </w:p>
        </w:tc>
      </w:tr>
      <w:tr w:rsidR="00E11CF1" w:rsidRPr="00E11CF1" w14:paraId="1A46B486" w14:textId="77777777" w:rsidTr="00A958D8">
        <w:trPr>
          <w:trHeight w:hRule="exact" w:val="227"/>
        </w:trPr>
        <w:tc>
          <w:tcPr>
            <w:tcW w:w="2298" w:type="dxa"/>
            <w:tcBorders>
              <w:top w:val="nil"/>
              <w:left w:val="nil"/>
              <w:bottom w:val="nil"/>
              <w:right w:val="nil"/>
            </w:tcBorders>
            <w:shd w:val="clear" w:color="auto" w:fill="auto"/>
            <w:noWrap/>
            <w:vAlign w:val="center"/>
            <w:hideMark/>
          </w:tcPr>
          <w:p w14:paraId="2170B7B1"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Трошкови зарада*</w:t>
            </w:r>
          </w:p>
        </w:tc>
        <w:tc>
          <w:tcPr>
            <w:tcW w:w="2313" w:type="dxa"/>
            <w:tcBorders>
              <w:top w:val="nil"/>
              <w:left w:val="nil"/>
              <w:bottom w:val="nil"/>
              <w:right w:val="nil"/>
            </w:tcBorders>
            <w:shd w:val="clear" w:color="auto" w:fill="auto"/>
            <w:noWrap/>
            <w:vAlign w:val="center"/>
            <w:hideMark/>
          </w:tcPr>
          <w:p w14:paraId="7C43C3FC"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 xml:space="preserve"> 111,9 </w:t>
            </w:r>
          </w:p>
        </w:tc>
        <w:tc>
          <w:tcPr>
            <w:tcW w:w="2314" w:type="dxa"/>
            <w:tcBorders>
              <w:top w:val="nil"/>
              <w:left w:val="nil"/>
              <w:bottom w:val="nil"/>
              <w:right w:val="nil"/>
            </w:tcBorders>
            <w:shd w:val="clear" w:color="auto" w:fill="auto"/>
            <w:noWrap/>
            <w:vAlign w:val="center"/>
            <w:hideMark/>
          </w:tcPr>
          <w:p w14:paraId="4EC28DB6"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110,3</w:t>
            </w:r>
          </w:p>
        </w:tc>
        <w:tc>
          <w:tcPr>
            <w:tcW w:w="2314" w:type="dxa"/>
            <w:tcBorders>
              <w:top w:val="nil"/>
              <w:left w:val="nil"/>
              <w:bottom w:val="nil"/>
              <w:right w:val="nil"/>
            </w:tcBorders>
            <w:shd w:val="clear" w:color="auto" w:fill="auto"/>
            <w:noWrap/>
            <w:vAlign w:val="center"/>
            <w:hideMark/>
          </w:tcPr>
          <w:p w14:paraId="18C36001"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25,1</w:t>
            </w:r>
          </w:p>
        </w:tc>
      </w:tr>
      <w:tr w:rsidR="00E11CF1" w:rsidRPr="00E11CF1" w14:paraId="741836A2" w14:textId="77777777" w:rsidTr="00A958D8">
        <w:trPr>
          <w:trHeight w:hRule="exact" w:val="227"/>
        </w:trPr>
        <w:tc>
          <w:tcPr>
            <w:tcW w:w="2298" w:type="dxa"/>
            <w:tcBorders>
              <w:top w:val="nil"/>
              <w:left w:val="nil"/>
              <w:bottom w:val="single" w:sz="8" w:space="0" w:color="002060"/>
              <w:right w:val="nil"/>
            </w:tcBorders>
            <w:shd w:val="clear" w:color="auto" w:fill="auto"/>
            <w:noWrap/>
            <w:vAlign w:val="center"/>
            <w:hideMark/>
          </w:tcPr>
          <w:p w14:paraId="258827F6" w14:textId="77777777" w:rsidR="001E3E7D" w:rsidRPr="00A958D8" w:rsidRDefault="001E3E7D" w:rsidP="008265F0">
            <w:pPr>
              <w:spacing w:after="120" w:line="276" w:lineRule="auto"/>
              <w:rPr>
                <w:rFonts w:eastAsia="MS PGothic" w:cstheme="minorHAnsi"/>
                <w:color w:val="002060"/>
                <w:sz w:val="18"/>
                <w:szCs w:val="18"/>
                <w:lang w:val="sr-Cyrl-RS" w:eastAsia="ja-JP"/>
              </w:rPr>
            </w:pPr>
            <w:r w:rsidRPr="00A958D8">
              <w:rPr>
                <w:rFonts w:eastAsia="MS PGothic" w:cstheme="minorHAnsi"/>
                <w:color w:val="002060"/>
                <w:sz w:val="18"/>
                <w:szCs w:val="18"/>
                <w:lang w:val="sr-Cyrl-RS" w:eastAsia="ja-JP"/>
              </w:rPr>
              <w:t>Број ЈП која су остварила добит</w:t>
            </w:r>
          </w:p>
        </w:tc>
        <w:tc>
          <w:tcPr>
            <w:tcW w:w="2313" w:type="dxa"/>
            <w:tcBorders>
              <w:top w:val="nil"/>
              <w:left w:val="nil"/>
              <w:bottom w:val="single" w:sz="8" w:space="0" w:color="002060"/>
              <w:right w:val="nil"/>
            </w:tcBorders>
            <w:shd w:val="clear" w:color="auto" w:fill="auto"/>
            <w:noWrap/>
            <w:vAlign w:val="center"/>
            <w:hideMark/>
          </w:tcPr>
          <w:p w14:paraId="7371D371"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25</w:t>
            </w:r>
          </w:p>
        </w:tc>
        <w:tc>
          <w:tcPr>
            <w:tcW w:w="2314" w:type="dxa"/>
            <w:tcBorders>
              <w:top w:val="nil"/>
              <w:left w:val="nil"/>
              <w:bottom w:val="single" w:sz="8" w:space="0" w:color="002060"/>
              <w:right w:val="nil"/>
            </w:tcBorders>
            <w:shd w:val="clear" w:color="auto" w:fill="auto"/>
            <w:noWrap/>
            <w:vAlign w:val="center"/>
            <w:hideMark/>
          </w:tcPr>
          <w:p w14:paraId="70C99666"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23</w:t>
            </w:r>
          </w:p>
        </w:tc>
        <w:tc>
          <w:tcPr>
            <w:tcW w:w="2314" w:type="dxa"/>
            <w:tcBorders>
              <w:top w:val="nil"/>
              <w:left w:val="nil"/>
              <w:bottom w:val="single" w:sz="8" w:space="0" w:color="002060"/>
              <w:right w:val="nil"/>
            </w:tcBorders>
            <w:shd w:val="clear" w:color="auto" w:fill="auto"/>
            <w:noWrap/>
            <w:vAlign w:val="center"/>
            <w:hideMark/>
          </w:tcPr>
          <w:p w14:paraId="009BCD1B" w14:textId="77777777" w:rsidR="001E3E7D" w:rsidRPr="00E11CF1" w:rsidRDefault="001E3E7D" w:rsidP="008265F0">
            <w:pPr>
              <w:spacing w:after="120" w:line="276" w:lineRule="auto"/>
              <w:jc w:val="right"/>
              <w:rPr>
                <w:rFonts w:eastAsia="MS PGothic" w:cstheme="minorHAnsi"/>
                <w:color w:val="002060"/>
                <w:sz w:val="18"/>
                <w:szCs w:val="18"/>
                <w:lang w:val="en-GB" w:eastAsia="ja-JP"/>
              </w:rPr>
            </w:pPr>
            <w:r w:rsidRPr="00E11CF1">
              <w:rPr>
                <w:rFonts w:eastAsia="MS PGothic" w:cstheme="minorHAnsi"/>
                <w:color w:val="002060"/>
                <w:sz w:val="18"/>
                <w:szCs w:val="18"/>
                <w:lang w:val="en-GB" w:eastAsia="ja-JP"/>
              </w:rPr>
              <w:t>16</w:t>
            </w:r>
          </w:p>
        </w:tc>
      </w:tr>
    </w:tbl>
    <w:p w14:paraId="5FF4DD09" w14:textId="77777777" w:rsidR="001E3E7D" w:rsidRPr="00594453" w:rsidRDefault="001E3E7D" w:rsidP="00594453">
      <w:pPr>
        <w:spacing w:before="40" w:after="0" w:line="276" w:lineRule="auto"/>
        <w:rPr>
          <w:rFonts w:eastAsia="MS PGothic" w:cstheme="minorHAnsi"/>
          <w:sz w:val="16"/>
          <w:szCs w:val="16"/>
          <w:lang w:val="sr-Cyrl-CS" w:eastAsia="ja-JP"/>
        </w:rPr>
      </w:pPr>
      <w:r w:rsidRPr="00594453">
        <w:rPr>
          <w:rFonts w:eastAsia="MS PGothic" w:cstheme="minorHAnsi"/>
          <w:sz w:val="16"/>
          <w:szCs w:val="16"/>
          <w:lang w:val="sr-Cyrl-CS" w:eastAsia="ja-JP"/>
        </w:rPr>
        <w:t>*Трошкови зарада, накнада зарада и остали лични расходи</w:t>
      </w:r>
    </w:p>
    <w:p w14:paraId="4FD09522" w14:textId="77777777" w:rsidR="001E3E7D" w:rsidRPr="00347E91" w:rsidRDefault="001E3E7D" w:rsidP="008265F0">
      <w:pPr>
        <w:spacing w:after="120" w:line="276" w:lineRule="auto"/>
        <w:rPr>
          <w:rFonts w:eastAsia="MS PGothic" w:cstheme="minorHAnsi"/>
          <w:sz w:val="16"/>
          <w:szCs w:val="16"/>
          <w:lang w:val="sr-Cyrl-CS" w:eastAsia="ja-JP"/>
        </w:rPr>
      </w:pPr>
      <w:r w:rsidRPr="00347E91">
        <w:rPr>
          <w:rFonts w:eastAsia="MS PGothic" w:cstheme="minorHAnsi"/>
          <w:sz w:val="16"/>
          <w:szCs w:val="16"/>
          <w:lang w:val="sr-Cyrl-CS" w:eastAsia="ja-JP"/>
        </w:rPr>
        <w:t>Извор: Финансијски извештаји за 2019. и 2020. годину</w:t>
      </w:r>
      <w:r w:rsidRPr="00347E91">
        <w:rPr>
          <w:rFonts w:eastAsia="MS PGothic" w:cstheme="minorHAnsi"/>
          <w:sz w:val="16"/>
          <w:szCs w:val="16"/>
          <w:lang w:eastAsia="ja-JP"/>
        </w:rPr>
        <w:t xml:space="preserve"> </w:t>
      </w:r>
      <w:r w:rsidRPr="00347E91">
        <w:rPr>
          <w:rFonts w:eastAsia="MS PGothic" w:cstheme="minorHAnsi"/>
          <w:sz w:val="16"/>
          <w:szCs w:val="16"/>
          <w:lang w:val="sr-Cyrl-RS" w:eastAsia="ja-JP"/>
        </w:rPr>
        <w:t>и</w:t>
      </w:r>
      <w:r w:rsidRPr="00347E91">
        <w:rPr>
          <w:rFonts w:eastAsia="MS PGothic" w:cstheme="minorHAnsi"/>
          <w:sz w:val="16"/>
          <w:szCs w:val="16"/>
          <w:lang w:val="sr-Cyrl-CS" w:eastAsia="ja-JP"/>
        </w:rPr>
        <w:t xml:space="preserve"> квартални извештаји Министарства привреде за 2021. годину</w:t>
      </w:r>
    </w:p>
    <w:p w14:paraId="0FF624A7" w14:textId="77777777" w:rsidR="001E3E7D" w:rsidRPr="008E67C1" w:rsidRDefault="001E3E7D" w:rsidP="008265F0">
      <w:pPr>
        <w:spacing w:after="120" w:line="276" w:lineRule="auto"/>
        <w:rPr>
          <w:rFonts w:eastAsia="MS PGothic" w:cstheme="minorHAnsi"/>
          <w:sz w:val="4"/>
          <w:szCs w:val="20"/>
          <w:lang w:val="sr-Cyrl-CS" w:eastAsia="ja-JP"/>
        </w:rPr>
      </w:pPr>
    </w:p>
    <w:p w14:paraId="70E8D256" w14:textId="77777777" w:rsidR="001E3E7D" w:rsidRPr="008E67C1" w:rsidRDefault="001E3E7D" w:rsidP="008265F0">
      <w:pPr>
        <w:spacing w:after="120" w:line="276" w:lineRule="auto"/>
        <w:rPr>
          <w:rFonts w:eastAsia="MS PGothic" w:cstheme="minorHAnsi"/>
          <w:sz w:val="4"/>
          <w:szCs w:val="20"/>
          <w:lang w:val="sr-Cyrl-CS" w:eastAsia="ja-JP"/>
        </w:rPr>
        <w:sectPr w:rsidR="001E3E7D" w:rsidRPr="008E67C1" w:rsidSect="009B76B2">
          <w:type w:val="continuous"/>
          <w:pgSz w:w="12240" w:h="15840" w:code="1"/>
          <w:pgMar w:top="1440" w:right="1440" w:bottom="1440" w:left="1440" w:header="720" w:footer="720" w:gutter="0"/>
          <w:cols w:space="720"/>
          <w:docGrid w:linePitch="360"/>
        </w:sectPr>
      </w:pPr>
    </w:p>
    <w:p w14:paraId="2EDA2BDF" w14:textId="77777777" w:rsidR="001E3E7D" w:rsidRPr="00347E91" w:rsidRDefault="001E3E7D" w:rsidP="008E67C1">
      <w:pPr>
        <w:rPr>
          <w:rFonts w:eastAsia="MS PGothic" w:cstheme="minorHAnsi"/>
          <w:b/>
          <w:szCs w:val="20"/>
          <w:lang w:val="sr-Cyrl-CS" w:eastAsia="ja-JP"/>
        </w:rPr>
      </w:pPr>
      <w:r w:rsidRPr="00347E91">
        <w:rPr>
          <w:rFonts w:eastAsia="MS PGothic" w:cstheme="minorHAnsi"/>
          <w:szCs w:val="20"/>
          <w:lang w:val="sr-Cyrl-CS" w:eastAsia="ja-JP"/>
        </w:rPr>
        <w:t xml:space="preserve">У првом кварталу текуће године добит је остварило 16 предузећа у укупном износу од 18,5 млрд динара. Овај резултат је виши од плана у овом периоду (2,8 млрд динара). Највећи утицај на </w:t>
      </w:r>
      <w:r w:rsidRPr="00347E91">
        <w:rPr>
          <w:rFonts w:eastAsia="MS PGothic" w:cstheme="minorHAnsi"/>
          <w:szCs w:val="20"/>
          <w:lang w:val="sr-Cyrl-CS" w:eastAsia="ja-JP"/>
        </w:rPr>
        <w:t>позитиван нето резултат у посматраном периоду има ЈП „ЕПС</w:t>
      </w:r>
      <w:r w:rsidR="00C6085C" w:rsidRPr="00C6085C">
        <w:rPr>
          <w:rFonts w:eastAsia="MS PGothic" w:cstheme="minorHAnsi"/>
          <w:szCs w:val="20"/>
          <w:lang w:val="sr-Cyrl-CS" w:eastAsia="ja-JP"/>
        </w:rPr>
        <w:t>”</w:t>
      </w:r>
      <w:r w:rsidRPr="00347E91">
        <w:rPr>
          <w:rFonts w:eastAsia="MS PGothic" w:cstheme="minorHAnsi"/>
          <w:szCs w:val="20"/>
          <w:lang w:val="sr-Cyrl-CS" w:eastAsia="ja-JP"/>
        </w:rPr>
        <w:t>, које је остварило нето доби</w:t>
      </w:r>
      <w:r w:rsidR="00594453">
        <w:rPr>
          <w:rFonts w:eastAsia="MS PGothic" w:cstheme="minorHAnsi"/>
          <w:szCs w:val="20"/>
          <w:lang w:val="sr-Cyrl-CS" w:eastAsia="ja-JP"/>
        </w:rPr>
        <w:t>т у износу од 10,5 млрд динара.</w:t>
      </w:r>
    </w:p>
    <w:p w14:paraId="02D1E2F5" w14:textId="77777777" w:rsidR="001E3E7D" w:rsidRPr="00347E91" w:rsidRDefault="001E3E7D" w:rsidP="008265F0">
      <w:pPr>
        <w:spacing w:after="120" w:line="276" w:lineRule="auto"/>
        <w:rPr>
          <w:rFonts w:eastAsia="MS PGothic" w:cstheme="minorHAnsi"/>
          <w:b/>
          <w:szCs w:val="20"/>
          <w:lang w:val="sr-Cyrl-CS" w:eastAsia="ja-JP"/>
        </w:rPr>
        <w:sectPr w:rsidR="001E3E7D" w:rsidRPr="00347E91" w:rsidSect="009B76B2">
          <w:type w:val="continuous"/>
          <w:pgSz w:w="12240" w:h="15840" w:code="1"/>
          <w:pgMar w:top="1440" w:right="1440" w:bottom="1440" w:left="1440" w:header="720" w:footer="720" w:gutter="0"/>
          <w:cols w:num="2" w:space="720"/>
          <w:docGrid w:linePitch="360"/>
        </w:sectPr>
      </w:pPr>
    </w:p>
    <w:p w14:paraId="48FC756B" w14:textId="77777777" w:rsidR="001E3E7D" w:rsidRPr="008E67C1" w:rsidRDefault="001E3E7D" w:rsidP="008265F0">
      <w:pPr>
        <w:spacing w:after="120" w:line="276" w:lineRule="auto"/>
        <w:rPr>
          <w:rFonts w:eastAsia="MS PGothic" w:cstheme="minorHAnsi"/>
          <w:b/>
          <w:bCs/>
          <w:sz w:val="6"/>
          <w:szCs w:val="20"/>
          <w:lang w:val="sr-Cyrl-CS" w:eastAsia="ja-JP"/>
        </w:rPr>
      </w:pPr>
    </w:p>
    <w:p w14:paraId="18316E5B" w14:textId="77777777" w:rsidR="001E3E7D" w:rsidRPr="00594453" w:rsidRDefault="001E3E7D" w:rsidP="008265F0">
      <w:pPr>
        <w:spacing w:after="120" w:line="276" w:lineRule="auto"/>
        <w:rPr>
          <w:rFonts w:eastAsia="MS PGothic" w:cstheme="minorHAnsi"/>
          <w:b/>
          <w:bCs/>
          <w:color w:val="002060"/>
          <w:szCs w:val="20"/>
          <w:lang w:val="sr-Cyrl-CS" w:eastAsia="ja-JP"/>
        </w:rPr>
      </w:pPr>
      <w:bookmarkStart w:id="35" w:name="OLE_LINK1"/>
      <w:r w:rsidRPr="004E0C7D">
        <w:rPr>
          <w:rFonts w:eastAsia="MS PGothic" w:cstheme="minorHAnsi"/>
          <w:b/>
          <w:bCs/>
          <w:color w:val="002060"/>
          <w:szCs w:val="20"/>
          <w:lang w:val="sr-Cyrl-CS" w:eastAsia="ja-JP"/>
        </w:rPr>
        <w:t xml:space="preserve">Табела 19. </w:t>
      </w:r>
      <w:r w:rsidRPr="00594453">
        <w:rPr>
          <w:rFonts w:eastAsia="MS PGothic" w:cstheme="minorHAnsi"/>
          <w:b/>
          <w:bCs/>
          <w:color w:val="002060"/>
          <w:szCs w:val="20"/>
          <w:lang w:val="sr-Cyrl-CS" w:eastAsia="ja-JP"/>
        </w:rPr>
        <w:t>Јавна предузећа која су остварила нето добит у периоду 1.1–31.3.2021. године, у хиљ. динара</w:t>
      </w:r>
    </w:p>
    <w:tbl>
      <w:tblPr>
        <w:tblW w:w="9388" w:type="dxa"/>
        <w:tblLook w:val="04A0" w:firstRow="1" w:lastRow="0" w:firstColumn="1" w:lastColumn="0" w:noHBand="0" w:noVBand="1"/>
      </w:tblPr>
      <w:tblGrid>
        <w:gridCol w:w="3445"/>
        <w:gridCol w:w="1981"/>
        <w:gridCol w:w="1981"/>
        <w:gridCol w:w="1981"/>
      </w:tblGrid>
      <w:tr w:rsidR="001E3E7D" w:rsidRPr="00594453" w14:paraId="1FA12F5E" w14:textId="77777777" w:rsidTr="008265F0">
        <w:trPr>
          <w:trHeight w:hRule="exact" w:val="227"/>
          <w:tblHeader/>
        </w:trPr>
        <w:tc>
          <w:tcPr>
            <w:tcW w:w="3445" w:type="dxa"/>
            <w:vMerge w:val="restart"/>
            <w:tcBorders>
              <w:top w:val="single" w:sz="8" w:space="0" w:color="002060"/>
              <w:left w:val="nil"/>
              <w:bottom w:val="single" w:sz="8" w:space="0" w:color="002060"/>
              <w:right w:val="nil"/>
            </w:tcBorders>
            <w:shd w:val="clear" w:color="auto" w:fill="auto"/>
            <w:noWrap/>
            <w:vAlign w:val="center"/>
            <w:hideMark/>
          </w:tcPr>
          <w:p w14:paraId="3B63536E"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Предузеће</w:t>
            </w:r>
          </w:p>
        </w:tc>
        <w:tc>
          <w:tcPr>
            <w:tcW w:w="1981" w:type="dxa"/>
            <w:tcBorders>
              <w:top w:val="single" w:sz="8" w:space="0" w:color="002060"/>
              <w:left w:val="nil"/>
              <w:bottom w:val="nil"/>
              <w:right w:val="nil"/>
            </w:tcBorders>
            <w:shd w:val="clear" w:color="auto" w:fill="auto"/>
            <w:vAlign w:val="center"/>
            <w:hideMark/>
          </w:tcPr>
          <w:p w14:paraId="6C84698A"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Реализација</w:t>
            </w:r>
          </w:p>
        </w:tc>
        <w:tc>
          <w:tcPr>
            <w:tcW w:w="1981" w:type="dxa"/>
            <w:tcBorders>
              <w:top w:val="single" w:sz="8" w:space="0" w:color="002060"/>
              <w:left w:val="nil"/>
              <w:bottom w:val="nil"/>
              <w:right w:val="nil"/>
            </w:tcBorders>
            <w:shd w:val="clear" w:color="auto" w:fill="auto"/>
            <w:vAlign w:val="center"/>
            <w:hideMark/>
          </w:tcPr>
          <w:p w14:paraId="2ED1D762"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План</w:t>
            </w:r>
          </w:p>
        </w:tc>
        <w:tc>
          <w:tcPr>
            <w:tcW w:w="1981" w:type="dxa"/>
            <w:tcBorders>
              <w:top w:val="single" w:sz="8" w:space="0" w:color="002060"/>
              <w:left w:val="nil"/>
              <w:bottom w:val="nil"/>
              <w:right w:val="nil"/>
            </w:tcBorders>
            <w:shd w:val="clear" w:color="auto" w:fill="auto"/>
            <w:vAlign w:val="center"/>
            <w:hideMark/>
          </w:tcPr>
          <w:p w14:paraId="43409501"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Реализација</w:t>
            </w:r>
          </w:p>
        </w:tc>
      </w:tr>
      <w:tr w:rsidR="001E3E7D" w:rsidRPr="00594453" w14:paraId="32C14777" w14:textId="77777777" w:rsidTr="008265F0">
        <w:trPr>
          <w:trHeight w:hRule="exact" w:val="227"/>
          <w:tblHeader/>
        </w:trPr>
        <w:tc>
          <w:tcPr>
            <w:tcW w:w="3445" w:type="dxa"/>
            <w:vMerge/>
            <w:tcBorders>
              <w:top w:val="single" w:sz="8" w:space="0" w:color="002060"/>
              <w:left w:val="nil"/>
              <w:bottom w:val="single" w:sz="8" w:space="0" w:color="002060"/>
              <w:right w:val="nil"/>
            </w:tcBorders>
            <w:vAlign w:val="center"/>
            <w:hideMark/>
          </w:tcPr>
          <w:p w14:paraId="05A2E120"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p>
        </w:tc>
        <w:tc>
          <w:tcPr>
            <w:tcW w:w="1981" w:type="dxa"/>
            <w:tcBorders>
              <w:top w:val="nil"/>
              <w:left w:val="nil"/>
              <w:bottom w:val="single" w:sz="8" w:space="0" w:color="002060"/>
              <w:right w:val="nil"/>
            </w:tcBorders>
            <w:shd w:val="clear" w:color="auto" w:fill="auto"/>
            <w:vAlign w:val="center"/>
            <w:hideMark/>
          </w:tcPr>
          <w:p w14:paraId="54A33009"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2020. година</w:t>
            </w:r>
          </w:p>
        </w:tc>
        <w:tc>
          <w:tcPr>
            <w:tcW w:w="1981" w:type="dxa"/>
            <w:tcBorders>
              <w:top w:val="nil"/>
              <w:left w:val="nil"/>
              <w:bottom w:val="single" w:sz="8" w:space="0" w:color="002060"/>
              <w:right w:val="nil"/>
            </w:tcBorders>
            <w:shd w:val="clear" w:color="auto" w:fill="auto"/>
            <w:vAlign w:val="center"/>
            <w:hideMark/>
          </w:tcPr>
          <w:p w14:paraId="1376B7F1"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1.1–31.3.2021.</w:t>
            </w:r>
          </w:p>
        </w:tc>
        <w:tc>
          <w:tcPr>
            <w:tcW w:w="1981" w:type="dxa"/>
            <w:tcBorders>
              <w:top w:val="nil"/>
              <w:left w:val="nil"/>
              <w:bottom w:val="single" w:sz="8" w:space="0" w:color="002060"/>
              <w:right w:val="nil"/>
            </w:tcBorders>
            <w:shd w:val="clear" w:color="auto" w:fill="auto"/>
            <w:vAlign w:val="center"/>
            <w:hideMark/>
          </w:tcPr>
          <w:p w14:paraId="4C7B56E4"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1.1–31.3.2021.</w:t>
            </w:r>
          </w:p>
        </w:tc>
      </w:tr>
      <w:tr w:rsidR="001E3E7D" w:rsidRPr="00594453" w14:paraId="1C06FB54" w14:textId="77777777" w:rsidTr="008265F0">
        <w:trPr>
          <w:trHeight w:hRule="exact" w:val="227"/>
        </w:trPr>
        <w:tc>
          <w:tcPr>
            <w:tcW w:w="3445" w:type="dxa"/>
            <w:tcBorders>
              <w:top w:val="nil"/>
              <w:left w:val="nil"/>
              <w:bottom w:val="nil"/>
              <w:right w:val="nil"/>
            </w:tcBorders>
            <w:shd w:val="clear" w:color="auto" w:fill="auto"/>
            <w:noWrap/>
            <w:vAlign w:val="center"/>
            <w:hideMark/>
          </w:tcPr>
          <w:p w14:paraId="3BDF6384"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„Србијагас</w:t>
            </w:r>
            <w:r w:rsidR="00C6085C" w:rsidRPr="00C6085C">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noWrap/>
            <w:vAlign w:val="center"/>
            <w:hideMark/>
          </w:tcPr>
          <w:p w14:paraId="03F99D24"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2.990.053</w:t>
            </w:r>
          </w:p>
        </w:tc>
        <w:tc>
          <w:tcPr>
            <w:tcW w:w="1981" w:type="dxa"/>
            <w:tcBorders>
              <w:top w:val="nil"/>
              <w:left w:val="nil"/>
              <w:bottom w:val="nil"/>
              <w:right w:val="nil"/>
            </w:tcBorders>
            <w:shd w:val="clear" w:color="auto" w:fill="auto"/>
            <w:noWrap/>
            <w:vAlign w:val="center"/>
            <w:hideMark/>
          </w:tcPr>
          <w:p w14:paraId="1A0E2DE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5.263.402</w:t>
            </w:r>
          </w:p>
        </w:tc>
        <w:tc>
          <w:tcPr>
            <w:tcW w:w="1981" w:type="dxa"/>
            <w:tcBorders>
              <w:top w:val="nil"/>
              <w:left w:val="nil"/>
              <w:bottom w:val="nil"/>
              <w:right w:val="nil"/>
            </w:tcBorders>
            <w:shd w:val="clear" w:color="auto" w:fill="auto"/>
            <w:noWrap/>
            <w:vAlign w:val="center"/>
            <w:hideMark/>
          </w:tcPr>
          <w:p w14:paraId="2D0460EC"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2.400.416</w:t>
            </w:r>
          </w:p>
        </w:tc>
      </w:tr>
      <w:tr w:rsidR="001E3E7D" w:rsidRPr="00594453" w14:paraId="3F8E345E" w14:textId="77777777" w:rsidTr="008265F0">
        <w:trPr>
          <w:trHeight w:hRule="exact" w:val="227"/>
        </w:trPr>
        <w:tc>
          <w:tcPr>
            <w:tcW w:w="3445" w:type="dxa"/>
            <w:tcBorders>
              <w:top w:val="nil"/>
              <w:left w:val="nil"/>
              <w:bottom w:val="nil"/>
              <w:right w:val="nil"/>
            </w:tcBorders>
            <w:shd w:val="clear" w:color="auto" w:fill="auto"/>
            <w:noWrap/>
            <w:vAlign w:val="center"/>
            <w:hideMark/>
          </w:tcPr>
          <w:p w14:paraId="52E484D4"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„Скијалишта Србије</w:t>
            </w:r>
            <w:r w:rsidR="00C6085C" w:rsidRPr="00C6085C">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noWrap/>
            <w:vAlign w:val="center"/>
            <w:hideMark/>
          </w:tcPr>
          <w:p w14:paraId="23C8A584"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279.168</w:t>
            </w:r>
          </w:p>
        </w:tc>
        <w:tc>
          <w:tcPr>
            <w:tcW w:w="1981" w:type="dxa"/>
            <w:tcBorders>
              <w:top w:val="nil"/>
              <w:left w:val="nil"/>
              <w:bottom w:val="nil"/>
              <w:right w:val="nil"/>
            </w:tcBorders>
            <w:shd w:val="clear" w:color="auto" w:fill="auto"/>
            <w:noWrap/>
            <w:vAlign w:val="center"/>
            <w:hideMark/>
          </w:tcPr>
          <w:p w14:paraId="63826D07"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799.307</w:t>
            </w:r>
          </w:p>
        </w:tc>
        <w:tc>
          <w:tcPr>
            <w:tcW w:w="1981" w:type="dxa"/>
            <w:tcBorders>
              <w:top w:val="nil"/>
              <w:left w:val="nil"/>
              <w:bottom w:val="nil"/>
              <w:right w:val="nil"/>
            </w:tcBorders>
            <w:shd w:val="clear" w:color="auto" w:fill="auto"/>
            <w:noWrap/>
            <w:vAlign w:val="center"/>
            <w:hideMark/>
          </w:tcPr>
          <w:p w14:paraId="1D9D889A"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857.922</w:t>
            </w:r>
          </w:p>
        </w:tc>
      </w:tr>
      <w:tr w:rsidR="001E3E7D" w:rsidRPr="00594453" w14:paraId="70966BD0" w14:textId="77777777" w:rsidTr="008265F0">
        <w:trPr>
          <w:trHeight w:hRule="exact" w:val="227"/>
        </w:trPr>
        <w:tc>
          <w:tcPr>
            <w:tcW w:w="3445" w:type="dxa"/>
            <w:tcBorders>
              <w:top w:val="nil"/>
              <w:left w:val="nil"/>
              <w:bottom w:val="nil"/>
              <w:right w:val="nil"/>
            </w:tcBorders>
            <w:shd w:val="clear" w:color="auto" w:fill="auto"/>
            <w:noWrap/>
            <w:vAlign w:val="center"/>
            <w:hideMark/>
          </w:tcPr>
          <w:p w14:paraId="4D7BCB5F"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„Коридори Србије</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81" w:type="dxa"/>
            <w:tcBorders>
              <w:top w:val="nil"/>
              <w:left w:val="nil"/>
              <w:bottom w:val="nil"/>
              <w:right w:val="nil"/>
            </w:tcBorders>
            <w:shd w:val="clear" w:color="auto" w:fill="auto"/>
            <w:noWrap/>
            <w:vAlign w:val="center"/>
            <w:hideMark/>
          </w:tcPr>
          <w:p w14:paraId="2135D175"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0</w:t>
            </w:r>
          </w:p>
        </w:tc>
        <w:tc>
          <w:tcPr>
            <w:tcW w:w="1981" w:type="dxa"/>
            <w:tcBorders>
              <w:top w:val="nil"/>
              <w:left w:val="nil"/>
              <w:bottom w:val="nil"/>
              <w:right w:val="nil"/>
            </w:tcBorders>
            <w:shd w:val="clear" w:color="auto" w:fill="auto"/>
            <w:noWrap/>
            <w:vAlign w:val="center"/>
            <w:hideMark/>
          </w:tcPr>
          <w:p w14:paraId="28B1361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0</w:t>
            </w:r>
          </w:p>
        </w:tc>
        <w:tc>
          <w:tcPr>
            <w:tcW w:w="1981" w:type="dxa"/>
            <w:tcBorders>
              <w:top w:val="nil"/>
              <w:left w:val="nil"/>
              <w:bottom w:val="nil"/>
              <w:right w:val="nil"/>
            </w:tcBorders>
            <w:shd w:val="clear" w:color="auto" w:fill="auto"/>
            <w:noWrap/>
            <w:vAlign w:val="center"/>
            <w:hideMark/>
          </w:tcPr>
          <w:p w14:paraId="3175003A"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46.093</w:t>
            </w:r>
          </w:p>
        </w:tc>
      </w:tr>
      <w:tr w:rsidR="001E3E7D" w:rsidRPr="00594453" w14:paraId="5FA184BD" w14:textId="77777777" w:rsidTr="008265F0">
        <w:trPr>
          <w:trHeight w:hRule="exact" w:val="227"/>
        </w:trPr>
        <w:tc>
          <w:tcPr>
            <w:tcW w:w="3445" w:type="dxa"/>
            <w:tcBorders>
              <w:top w:val="nil"/>
              <w:left w:val="nil"/>
              <w:bottom w:val="nil"/>
              <w:right w:val="nil"/>
            </w:tcBorders>
            <w:shd w:val="clear" w:color="auto" w:fill="auto"/>
            <w:vAlign w:val="center"/>
            <w:hideMark/>
          </w:tcPr>
          <w:p w14:paraId="55B2F3FC"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„Просветни преглед</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81" w:type="dxa"/>
            <w:tcBorders>
              <w:top w:val="nil"/>
              <w:left w:val="nil"/>
              <w:bottom w:val="nil"/>
              <w:right w:val="nil"/>
            </w:tcBorders>
            <w:shd w:val="clear" w:color="auto" w:fill="auto"/>
            <w:vAlign w:val="center"/>
            <w:hideMark/>
          </w:tcPr>
          <w:p w14:paraId="4D46FA44"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25.238</w:t>
            </w:r>
          </w:p>
        </w:tc>
        <w:tc>
          <w:tcPr>
            <w:tcW w:w="1981" w:type="dxa"/>
            <w:tcBorders>
              <w:top w:val="nil"/>
              <w:left w:val="nil"/>
              <w:bottom w:val="nil"/>
              <w:right w:val="nil"/>
            </w:tcBorders>
            <w:shd w:val="clear" w:color="auto" w:fill="auto"/>
            <w:noWrap/>
            <w:vAlign w:val="center"/>
            <w:hideMark/>
          </w:tcPr>
          <w:p w14:paraId="36FBD5E0"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5.828</w:t>
            </w:r>
          </w:p>
        </w:tc>
        <w:tc>
          <w:tcPr>
            <w:tcW w:w="1981" w:type="dxa"/>
            <w:tcBorders>
              <w:top w:val="nil"/>
              <w:left w:val="nil"/>
              <w:bottom w:val="nil"/>
              <w:right w:val="nil"/>
            </w:tcBorders>
            <w:shd w:val="clear" w:color="auto" w:fill="auto"/>
            <w:noWrap/>
            <w:vAlign w:val="center"/>
            <w:hideMark/>
          </w:tcPr>
          <w:p w14:paraId="7648BDA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2.922</w:t>
            </w:r>
          </w:p>
        </w:tc>
      </w:tr>
      <w:tr w:rsidR="001E3E7D" w:rsidRPr="00594453" w14:paraId="05B50BA8" w14:textId="77777777" w:rsidTr="008265F0">
        <w:trPr>
          <w:trHeight w:hRule="exact" w:val="227"/>
        </w:trPr>
        <w:tc>
          <w:tcPr>
            <w:tcW w:w="3445" w:type="dxa"/>
            <w:tcBorders>
              <w:top w:val="nil"/>
              <w:left w:val="nil"/>
              <w:bottom w:val="nil"/>
              <w:right w:val="nil"/>
            </w:tcBorders>
            <w:shd w:val="clear" w:color="auto" w:fill="auto"/>
            <w:noWrap/>
            <w:vAlign w:val="center"/>
            <w:hideMark/>
          </w:tcPr>
          <w:p w14:paraId="526E4045"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„Дипос</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д.o.o.</w:t>
            </w:r>
          </w:p>
        </w:tc>
        <w:tc>
          <w:tcPr>
            <w:tcW w:w="1981" w:type="dxa"/>
            <w:tcBorders>
              <w:top w:val="nil"/>
              <w:left w:val="nil"/>
              <w:bottom w:val="nil"/>
              <w:right w:val="nil"/>
            </w:tcBorders>
            <w:shd w:val="clear" w:color="auto" w:fill="auto"/>
            <w:noWrap/>
            <w:vAlign w:val="center"/>
            <w:hideMark/>
          </w:tcPr>
          <w:p w14:paraId="6AA46956"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en-GB" w:eastAsia="ja-JP"/>
              </w:rPr>
              <w:t>124.454</w:t>
            </w:r>
          </w:p>
        </w:tc>
        <w:tc>
          <w:tcPr>
            <w:tcW w:w="1981" w:type="dxa"/>
            <w:tcBorders>
              <w:top w:val="nil"/>
              <w:left w:val="nil"/>
              <w:bottom w:val="nil"/>
              <w:right w:val="nil"/>
            </w:tcBorders>
            <w:shd w:val="clear" w:color="auto" w:fill="auto"/>
            <w:noWrap/>
            <w:vAlign w:val="center"/>
            <w:hideMark/>
          </w:tcPr>
          <w:p w14:paraId="4069F30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21.640</w:t>
            </w:r>
          </w:p>
        </w:tc>
        <w:tc>
          <w:tcPr>
            <w:tcW w:w="1981" w:type="dxa"/>
            <w:tcBorders>
              <w:top w:val="nil"/>
              <w:left w:val="nil"/>
              <w:bottom w:val="nil"/>
              <w:right w:val="nil"/>
            </w:tcBorders>
            <w:shd w:val="clear" w:color="auto" w:fill="auto"/>
            <w:noWrap/>
            <w:vAlign w:val="center"/>
            <w:hideMark/>
          </w:tcPr>
          <w:p w14:paraId="3B9CB413"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75.977</w:t>
            </w:r>
          </w:p>
        </w:tc>
      </w:tr>
      <w:tr w:rsidR="001E3E7D" w:rsidRPr="00594453" w14:paraId="7ABADCBF" w14:textId="77777777" w:rsidTr="008265F0">
        <w:trPr>
          <w:trHeight w:hRule="exact" w:val="227"/>
        </w:trPr>
        <w:tc>
          <w:tcPr>
            <w:tcW w:w="3445" w:type="dxa"/>
            <w:tcBorders>
              <w:top w:val="nil"/>
              <w:left w:val="nil"/>
              <w:bottom w:val="nil"/>
              <w:right w:val="nil"/>
            </w:tcBorders>
            <w:shd w:val="clear" w:color="auto" w:fill="auto"/>
            <w:vAlign w:val="center"/>
            <w:hideMark/>
          </w:tcPr>
          <w:p w14:paraId="0D8CDBD7"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„Електромрежа Србије</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a.д.</w:t>
            </w:r>
          </w:p>
        </w:tc>
        <w:tc>
          <w:tcPr>
            <w:tcW w:w="1981" w:type="dxa"/>
            <w:tcBorders>
              <w:top w:val="nil"/>
              <w:left w:val="nil"/>
              <w:bottom w:val="nil"/>
              <w:right w:val="nil"/>
            </w:tcBorders>
            <w:shd w:val="clear" w:color="auto" w:fill="auto"/>
            <w:vAlign w:val="center"/>
            <w:hideMark/>
          </w:tcPr>
          <w:p w14:paraId="6FDA763C" w14:textId="77777777" w:rsidR="001E3E7D" w:rsidRPr="00AF23DC" w:rsidRDefault="00AC4594"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en-GB" w:eastAsia="ja-JP"/>
              </w:rPr>
              <w:t>862.977</w:t>
            </w:r>
          </w:p>
        </w:tc>
        <w:tc>
          <w:tcPr>
            <w:tcW w:w="1981" w:type="dxa"/>
            <w:tcBorders>
              <w:top w:val="nil"/>
              <w:left w:val="nil"/>
              <w:bottom w:val="nil"/>
              <w:right w:val="nil"/>
            </w:tcBorders>
            <w:shd w:val="clear" w:color="auto" w:fill="auto"/>
            <w:noWrap/>
            <w:vAlign w:val="center"/>
            <w:hideMark/>
          </w:tcPr>
          <w:p w14:paraId="2AF6BF4E"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434.67</w:t>
            </w:r>
            <w:r w:rsidRPr="00594453">
              <w:rPr>
                <w:rFonts w:eastAsia="MS PGothic" w:cstheme="minorHAnsi"/>
                <w:color w:val="002060"/>
                <w:sz w:val="18"/>
                <w:szCs w:val="18"/>
                <w:lang w:val="en-GB" w:eastAsia="ja-JP"/>
              </w:rPr>
              <w:t>0</w:t>
            </w:r>
          </w:p>
        </w:tc>
        <w:tc>
          <w:tcPr>
            <w:tcW w:w="1981" w:type="dxa"/>
            <w:tcBorders>
              <w:top w:val="nil"/>
              <w:left w:val="nil"/>
              <w:bottom w:val="nil"/>
              <w:right w:val="nil"/>
            </w:tcBorders>
            <w:shd w:val="clear" w:color="auto" w:fill="auto"/>
            <w:noWrap/>
            <w:vAlign w:val="center"/>
            <w:hideMark/>
          </w:tcPr>
          <w:p w14:paraId="5715CF3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863.645</w:t>
            </w:r>
          </w:p>
        </w:tc>
      </w:tr>
      <w:tr w:rsidR="001E3E7D" w:rsidRPr="00594453" w14:paraId="33333DF4" w14:textId="77777777" w:rsidTr="008265F0">
        <w:trPr>
          <w:trHeight w:hRule="exact" w:val="227"/>
        </w:trPr>
        <w:tc>
          <w:tcPr>
            <w:tcW w:w="3445" w:type="dxa"/>
            <w:tcBorders>
              <w:top w:val="nil"/>
              <w:left w:val="nil"/>
              <w:bottom w:val="nil"/>
              <w:right w:val="nil"/>
            </w:tcBorders>
            <w:shd w:val="clear" w:color="auto" w:fill="auto"/>
            <w:noWrap/>
            <w:vAlign w:val="center"/>
            <w:hideMark/>
          </w:tcPr>
          <w:p w14:paraId="6DB389F0" w14:textId="77777777" w:rsidR="001E3E7D" w:rsidRPr="00594453" w:rsidRDefault="001E3E7D" w:rsidP="00C6085C">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„НП Копаоник</w:t>
            </w:r>
            <w:r w:rsidR="00C6085C" w:rsidRPr="00C6085C">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noWrap/>
            <w:vAlign w:val="center"/>
            <w:hideMark/>
          </w:tcPr>
          <w:p w14:paraId="1BBFB473"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23.651</w:t>
            </w:r>
          </w:p>
        </w:tc>
        <w:tc>
          <w:tcPr>
            <w:tcW w:w="1981" w:type="dxa"/>
            <w:tcBorders>
              <w:top w:val="nil"/>
              <w:left w:val="nil"/>
              <w:bottom w:val="nil"/>
              <w:right w:val="nil"/>
            </w:tcBorders>
            <w:shd w:val="clear" w:color="auto" w:fill="auto"/>
            <w:noWrap/>
            <w:vAlign w:val="center"/>
            <w:hideMark/>
          </w:tcPr>
          <w:p w14:paraId="247A67C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30.503</w:t>
            </w:r>
          </w:p>
        </w:tc>
        <w:tc>
          <w:tcPr>
            <w:tcW w:w="1981" w:type="dxa"/>
            <w:tcBorders>
              <w:top w:val="nil"/>
              <w:left w:val="nil"/>
              <w:bottom w:val="nil"/>
              <w:right w:val="nil"/>
            </w:tcBorders>
            <w:shd w:val="clear" w:color="auto" w:fill="auto"/>
            <w:noWrap/>
            <w:vAlign w:val="center"/>
            <w:hideMark/>
          </w:tcPr>
          <w:p w14:paraId="06EC52D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49.712</w:t>
            </w:r>
          </w:p>
        </w:tc>
      </w:tr>
      <w:tr w:rsidR="001E3E7D" w:rsidRPr="00594453" w14:paraId="77F125AA" w14:textId="77777777" w:rsidTr="008265F0">
        <w:trPr>
          <w:trHeight w:hRule="exact" w:val="227"/>
        </w:trPr>
        <w:tc>
          <w:tcPr>
            <w:tcW w:w="3445" w:type="dxa"/>
            <w:tcBorders>
              <w:top w:val="nil"/>
              <w:left w:val="nil"/>
              <w:bottom w:val="nil"/>
              <w:right w:val="nil"/>
            </w:tcBorders>
            <w:shd w:val="clear" w:color="auto" w:fill="auto"/>
            <w:vAlign w:val="center"/>
            <w:hideMark/>
          </w:tcPr>
          <w:p w14:paraId="4FDC7B6D" w14:textId="77777777" w:rsidR="001E3E7D" w:rsidRPr="00D43C76" w:rsidRDefault="00AF23DC" w:rsidP="00C6085C">
            <w:pPr>
              <w:spacing w:after="120" w:line="276" w:lineRule="auto"/>
              <w:rPr>
                <w:rFonts w:eastAsia="MS PGothic" w:cstheme="minorHAnsi"/>
                <w:color w:val="002060"/>
                <w:sz w:val="18"/>
                <w:szCs w:val="18"/>
                <w:lang w:val="en-GB" w:eastAsia="ja-JP"/>
              </w:rPr>
            </w:pPr>
            <w:r>
              <w:rPr>
                <w:rFonts w:eastAsia="MS PGothic" w:cstheme="minorHAnsi"/>
                <w:color w:val="002060"/>
                <w:sz w:val="18"/>
                <w:szCs w:val="18"/>
                <w:lang w:val="sr-Cyrl-RS" w:eastAsia="ja-JP"/>
              </w:rPr>
              <w:t xml:space="preserve">Група </w:t>
            </w:r>
            <w:r w:rsidR="001E3E7D" w:rsidRPr="00D43C76">
              <w:rPr>
                <w:rFonts w:eastAsia="MS PGothic" w:cstheme="minorHAnsi"/>
                <w:color w:val="002060"/>
                <w:sz w:val="18"/>
                <w:szCs w:val="18"/>
                <w:lang w:val="sr-Cyrl-CS" w:eastAsia="ja-JP"/>
              </w:rPr>
              <w:t>JП „EПС</w:t>
            </w:r>
            <w:r w:rsidR="00C6085C" w:rsidRPr="00D43C76">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vAlign w:val="center"/>
            <w:hideMark/>
          </w:tcPr>
          <w:p w14:paraId="5877F0DE"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11.581.043</w:t>
            </w:r>
            <w:r w:rsidR="00391B73" w:rsidRPr="00AF23DC">
              <w:rPr>
                <w:rStyle w:val="FootnoteReference"/>
                <w:rFonts w:eastAsia="MS PGothic" w:cstheme="minorHAnsi"/>
                <w:color w:val="002060"/>
                <w:sz w:val="18"/>
                <w:szCs w:val="18"/>
                <w:lang w:val="sr-Cyrl-CS" w:eastAsia="ja-JP"/>
              </w:rPr>
              <w:footnoteReference w:id="9"/>
            </w:r>
          </w:p>
        </w:tc>
        <w:tc>
          <w:tcPr>
            <w:tcW w:w="1981" w:type="dxa"/>
            <w:tcBorders>
              <w:top w:val="nil"/>
              <w:left w:val="nil"/>
              <w:bottom w:val="nil"/>
              <w:right w:val="nil"/>
            </w:tcBorders>
            <w:shd w:val="clear" w:color="auto" w:fill="auto"/>
            <w:noWrap/>
            <w:vAlign w:val="center"/>
            <w:hideMark/>
          </w:tcPr>
          <w:p w14:paraId="0C60608C"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7.063.165</w:t>
            </w:r>
          </w:p>
        </w:tc>
        <w:tc>
          <w:tcPr>
            <w:tcW w:w="1981" w:type="dxa"/>
            <w:tcBorders>
              <w:top w:val="nil"/>
              <w:left w:val="nil"/>
              <w:bottom w:val="nil"/>
              <w:right w:val="nil"/>
            </w:tcBorders>
            <w:shd w:val="clear" w:color="auto" w:fill="auto"/>
            <w:noWrap/>
            <w:vAlign w:val="center"/>
            <w:hideMark/>
          </w:tcPr>
          <w:p w14:paraId="6864A3EA"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10.543.091</w:t>
            </w:r>
          </w:p>
        </w:tc>
      </w:tr>
      <w:tr w:rsidR="001E3E7D" w:rsidRPr="00594453" w14:paraId="74E69517" w14:textId="77777777" w:rsidTr="008265F0">
        <w:trPr>
          <w:trHeight w:hRule="exact" w:val="227"/>
        </w:trPr>
        <w:tc>
          <w:tcPr>
            <w:tcW w:w="3445" w:type="dxa"/>
            <w:tcBorders>
              <w:top w:val="nil"/>
              <w:left w:val="nil"/>
              <w:bottom w:val="nil"/>
              <w:right w:val="nil"/>
            </w:tcBorders>
            <w:shd w:val="clear" w:color="auto" w:fill="auto"/>
            <w:vAlign w:val="center"/>
            <w:hideMark/>
          </w:tcPr>
          <w:p w14:paraId="793EECE8" w14:textId="77777777" w:rsidR="001E3E7D" w:rsidRPr="00D43C76" w:rsidRDefault="001E3E7D" w:rsidP="008265F0">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Државна лутрија Србије д.o.o.</w:t>
            </w:r>
          </w:p>
        </w:tc>
        <w:tc>
          <w:tcPr>
            <w:tcW w:w="1981" w:type="dxa"/>
            <w:tcBorders>
              <w:top w:val="nil"/>
              <w:left w:val="nil"/>
              <w:bottom w:val="nil"/>
              <w:right w:val="nil"/>
            </w:tcBorders>
            <w:shd w:val="clear" w:color="auto" w:fill="auto"/>
            <w:vAlign w:val="center"/>
            <w:hideMark/>
          </w:tcPr>
          <w:p w14:paraId="7E136DBF"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180.162</w:t>
            </w:r>
          </w:p>
        </w:tc>
        <w:tc>
          <w:tcPr>
            <w:tcW w:w="1981" w:type="dxa"/>
            <w:tcBorders>
              <w:top w:val="nil"/>
              <w:left w:val="nil"/>
              <w:bottom w:val="nil"/>
              <w:right w:val="nil"/>
            </w:tcBorders>
            <w:shd w:val="clear" w:color="auto" w:fill="auto"/>
            <w:noWrap/>
            <w:vAlign w:val="center"/>
            <w:hideMark/>
          </w:tcPr>
          <w:p w14:paraId="4A664720"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21.937</w:t>
            </w:r>
          </w:p>
        </w:tc>
        <w:tc>
          <w:tcPr>
            <w:tcW w:w="1981" w:type="dxa"/>
            <w:tcBorders>
              <w:top w:val="nil"/>
              <w:left w:val="nil"/>
              <w:bottom w:val="nil"/>
              <w:right w:val="nil"/>
            </w:tcBorders>
            <w:shd w:val="clear" w:color="auto" w:fill="auto"/>
            <w:noWrap/>
            <w:vAlign w:val="center"/>
            <w:hideMark/>
          </w:tcPr>
          <w:p w14:paraId="50C37183"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64.423</w:t>
            </w:r>
          </w:p>
        </w:tc>
      </w:tr>
      <w:tr w:rsidR="001E3E7D" w:rsidRPr="00594453" w14:paraId="5A8B863B" w14:textId="77777777" w:rsidTr="008265F0">
        <w:trPr>
          <w:trHeight w:hRule="exact" w:val="227"/>
        </w:trPr>
        <w:tc>
          <w:tcPr>
            <w:tcW w:w="3445" w:type="dxa"/>
            <w:tcBorders>
              <w:top w:val="nil"/>
              <w:left w:val="nil"/>
              <w:bottom w:val="nil"/>
              <w:right w:val="nil"/>
            </w:tcBorders>
            <w:shd w:val="clear" w:color="auto" w:fill="auto"/>
            <w:vAlign w:val="center"/>
            <w:hideMark/>
          </w:tcPr>
          <w:p w14:paraId="4CF27FC7" w14:textId="77777777" w:rsidR="001E3E7D" w:rsidRPr="00D43C76" w:rsidRDefault="001E3E7D" w:rsidP="00C6085C">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JП „Национални парк Тара</w:t>
            </w:r>
            <w:r w:rsidR="00C6085C" w:rsidRPr="00D43C76">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vAlign w:val="center"/>
            <w:hideMark/>
          </w:tcPr>
          <w:p w14:paraId="0E1CC8D7"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35.77</w:t>
            </w:r>
            <w:r w:rsidRPr="00AF23DC">
              <w:rPr>
                <w:rFonts w:eastAsia="MS PGothic" w:cstheme="minorHAnsi"/>
                <w:color w:val="002060"/>
                <w:sz w:val="18"/>
                <w:szCs w:val="18"/>
                <w:lang w:val="en-GB" w:eastAsia="ja-JP"/>
              </w:rPr>
              <w:t>0</w:t>
            </w:r>
          </w:p>
        </w:tc>
        <w:tc>
          <w:tcPr>
            <w:tcW w:w="1981" w:type="dxa"/>
            <w:tcBorders>
              <w:top w:val="nil"/>
              <w:left w:val="nil"/>
              <w:bottom w:val="nil"/>
              <w:right w:val="nil"/>
            </w:tcBorders>
            <w:shd w:val="clear" w:color="auto" w:fill="auto"/>
            <w:noWrap/>
            <w:vAlign w:val="center"/>
            <w:hideMark/>
          </w:tcPr>
          <w:p w14:paraId="0151A7E4"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40</w:t>
            </w:r>
          </w:p>
        </w:tc>
        <w:tc>
          <w:tcPr>
            <w:tcW w:w="1981" w:type="dxa"/>
            <w:tcBorders>
              <w:top w:val="nil"/>
              <w:left w:val="nil"/>
              <w:bottom w:val="nil"/>
              <w:right w:val="nil"/>
            </w:tcBorders>
            <w:shd w:val="clear" w:color="auto" w:fill="auto"/>
            <w:noWrap/>
            <w:vAlign w:val="center"/>
            <w:hideMark/>
          </w:tcPr>
          <w:p w14:paraId="34A289C1"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50</w:t>
            </w:r>
          </w:p>
        </w:tc>
      </w:tr>
      <w:tr w:rsidR="001E3E7D" w:rsidRPr="00594453" w14:paraId="7A5B9D07" w14:textId="77777777" w:rsidTr="008265F0">
        <w:trPr>
          <w:trHeight w:hRule="exact" w:val="227"/>
        </w:trPr>
        <w:tc>
          <w:tcPr>
            <w:tcW w:w="3445" w:type="dxa"/>
            <w:tcBorders>
              <w:top w:val="nil"/>
              <w:left w:val="nil"/>
              <w:bottom w:val="nil"/>
              <w:right w:val="nil"/>
            </w:tcBorders>
            <w:shd w:val="clear" w:color="auto" w:fill="auto"/>
            <w:noWrap/>
            <w:vAlign w:val="center"/>
            <w:hideMark/>
          </w:tcPr>
          <w:p w14:paraId="35A977F6" w14:textId="77777777" w:rsidR="001E3E7D" w:rsidRPr="00D43C76" w:rsidRDefault="001E3E7D" w:rsidP="00C6085C">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JП „Нуклеарни објекти Србије</w:t>
            </w:r>
            <w:r w:rsidR="00C6085C" w:rsidRPr="00D43C76">
              <w:rPr>
                <w:rFonts w:eastAsia="MS PGothic" w:cstheme="minorHAnsi"/>
                <w:color w:val="002060"/>
                <w:sz w:val="18"/>
                <w:szCs w:val="18"/>
                <w:lang w:val="sr-Cyrl-CS" w:eastAsia="ja-JP"/>
              </w:rPr>
              <w:t>”</w:t>
            </w:r>
            <w:r w:rsidRPr="00D43C76">
              <w:rPr>
                <w:rFonts w:eastAsia="MS PGothic" w:cstheme="minorHAnsi"/>
                <w:color w:val="002060"/>
                <w:sz w:val="18"/>
                <w:szCs w:val="18"/>
                <w:lang w:val="sr-Cyrl-CS" w:eastAsia="ja-JP"/>
              </w:rPr>
              <w:t xml:space="preserve"> ВИНЧА</w:t>
            </w:r>
          </w:p>
        </w:tc>
        <w:tc>
          <w:tcPr>
            <w:tcW w:w="1981" w:type="dxa"/>
            <w:tcBorders>
              <w:top w:val="nil"/>
              <w:left w:val="nil"/>
              <w:bottom w:val="nil"/>
              <w:right w:val="nil"/>
            </w:tcBorders>
            <w:shd w:val="clear" w:color="auto" w:fill="auto"/>
            <w:noWrap/>
            <w:vAlign w:val="center"/>
            <w:hideMark/>
          </w:tcPr>
          <w:p w14:paraId="416BF787"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143</w:t>
            </w:r>
          </w:p>
        </w:tc>
        <w:tc>
          <w:tcPr>
            <w:tcW w:w="1981" w:type="dxa"/>
            <w:tcBorders>
              <w:top w:val="nil"/>
              <w:left w:val="nil"/>
              <w:bottom w:val="nil"/>
              <w:right w:val="nil"/>
            </w:tcBorders>
            <w:shd w:val="clear" w:color="auto" w:fill="auto"/>
            <w:noWrap/>
            <w:vAlign w:val="center"/>
            <w:hideMark/>
          </w:tcPr>
          <w:p w14:paraId="6603C3BE"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292</w:t>
            </w:r>
          </w:p>
        </w:tc>
        <w:tc>
          <w:tcPr>
            <w:tcW w:w="1981" w:type="dxa"/>
            <w:tcBorders>
              <w:top w:val="nil"/>
              <w:left w:val="nil"/>
              <w:bottom w:val="nil"/>
              <w:right w:val="nil"/>
            </w:tcBorders>
            <w:shd w:val="clear" w:color="auto" w:fill="auto"/>
            <w:noWrap/>
            <w:vAlign w:val="center"/>
            <w:hideMark/>
          </w:tcPr>
          <w:p w14:paraId="397937BA"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752</w:t>
            </w:r>
          </w:p>
        </w:tc>
      </w:tr>
      <w:tr w:rsidR="001E3E7D" w:rsidRPr="00594453" w14:paraId="0F142BE3" w14:textId="77777777" w:rsidTr="008265F0">
        <w:trPr>
          <w:trHeight w:hRule="exact" w:val="227"/>
        </w:trPr>
        <w:tc>
          <w:tcPr>
            <w:tcW w:w="3445" w:type="dxa"/>
            <w:tcBorders>
              <w:top w:val="nil"/>
              <w:left w:val="nil"/>
              <w:bottom w:val="nil"/>
              <w:right w:val="nil"/>
            </w:tcBorders>
            <w:shd w:val="clear" w:color="auto" w:fill="auto"/>
            <w:noWrap/>
            <w:vAlign w:val="center"/>
            <w:hideMark/>
          </w:tcPr>
          <w:p w14:paraId="27A41A2B" w14:textId="77777777" w:rsidR="001E3E7D" w:rsidRPr="00D43C76" w:rsidRDefault="009A6B1D" w:rsidP="008265F0">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„Железнице Србије” а.д.</w:t>
            </w:r>
          </w:p>
        </w:tc>
        <w:tc>
          <w:tcPr>
            <w:tcW w:w="1981" w:type="dxa"/>
            <w:tcBorders>
              <w:top w:val="nil"/>
              <w:left w:val="nil"/>
              <w:bottom w:val="nil"/>
              <w:right w:val="nil"/>
            </w:tcBorders>
            <w:shd w:val="clear" w:color="auto" w:fill="auto"/>
            <w:noWrap/>
            <w:vAlign w:val="center"/>
            <w:hideMark/>
          </w:tcPr>
          <w:p w14:paraId="5D8CAA94"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-60.756</w:t>
            </w:r>
          </w:p>
        </w:tc>
        <w:tc>
          <w:tcPr>
            <w:tcW w:w="1981" w:type="dxa"/>
            <w:tcBorders>
              <w:top w:val="nil"/>
              <w:left w:val="nil"/>
              <w:bottom w:val="nil"/>
              <w:right w:val="nil"/>
            </w:tcBorders>
            <w:shd w:val="clear" w:color="auto" w:fill="auto"/>
            <w:noWrap/>
            <w:vAlign w:val="center"/>
            <w:hideMark/>
          </w:tcPr>
          <w:p w14:paraId="7878CA20"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-86.177</w:t>
            </w:r>
          </w:p>
        </w:tc>
        <w:tc>
          <w:tcPr>
            <w:tcW w:w="1981" w:type="dxa"/>
            <w:tcBorders>
              <w:top w:val="nil"/>
              <w:left w:val="nil"/>
              <w:bottom w:val="nil"/>
              <w:right w:val="nil"/>
            </w:tcBorders>
            <w:shd w:val="clear" w:color="auto" w:fill="auto"/>
            <w:noWrap/>
            <w:vAlign w:val="center"/>
            <w:hideMark/>
          </w:tcPr>
          <w:p w14:paraId="4CEF3013"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24.706</w:t>
            </w:r>
          </w:p>
        </w:tc>
      </w:tr>
      <w:tr w:rsidR="001E3E7D" w:rsidRPr="00594453" w14:paraId="78638990" w14:textId="77777777" w:rsidTr="008265F0">
        <w:trPr>
          <w:trHeight w:hRule="exact" w:val="227"/>
        </w:trPr>
        <w:tc>
          <w:tcPr>
            <w:tcW w:w="3445" w:type="dxa"/>
            <w:tcBorders>
              <w:top w:val="nil"/>
              <w:left w:val="nil"/>
              <w:bottom w:val="nil"/>
              <w:right w:val="nil"/>
            </w:tcBorders>
            <w:shd w:val="clear" w:color="auto" w:fill="auto"/>
            <w:noWrap/>
            <w:vAlign w:val="center"/>
            <w:hideMark/>
          </w:tcPr>
          <w:p w14:paraId="13E454EC" w14:textId="77777777" w:rsidR="001E3E7D" w:rsidRPr="00D43C76" w:rsidRDefault="001E3E7D" w:rsidP="00C6085C">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JП „Путеви Србије</w:t>
            </w:r>
            <w:r w:rsidR="00C6085C" w:rsidRPr="00D43C76">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noWrap/>
            <w:vAlign w:val="center"/>
            <w:hideMark/>
          </w:tcPr>
          <w:p w14:paraId="399A90B7"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5.611.990</w:t>
            </w:r>
          </w:p>
        </w:tc>
        <w:tc>
          <w:tcPr>
            <w:tcW w:w="1981" w:type="dxa"/>
            <w:tcBorders>
              <w:top w:val="nil"/>
              <w:left w:val="nil"/>
              <w:bottom w:val="nil"/>
              <w:right w:val="nil"/>
            </w:tcBorders>
            <w:shd w:val="clear" w:color="auto" w:fill="auto"/>
            <w:noWrap/>
            <w:vAlign w:val="center"/>
            <w:hideMark/>
          </w:tcPr>
          <w:p w14:paraId="79AE920C"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2.377.858</w:t>
            </w:r>
          </w:p>
        </w:tc>
        <w:tc>
          <w:tcPr>
            <w:tcW w:w="1981" w:type="dxa"/>
            <w:tcBorders>
              <w:top w:val="nil"/>
              <w:left w:val="nil"/>
              <w:bottom w:val="nil"/>
              <w:right w:val="nil"/>
            </w:tcBorders>
            <w:shd w:val="clear" w:color="auto" w:fill="auto"/>
            <w:noWrap/>
            <w:vAlign w:val="center"/>
            <w:hideMark/>
          </w:tcPr>
          <w:p w14:paraId="3925C0D5"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3.028.517</w:t>
            </w:r>
          </w:p>
        </w:tc>
      </w:tr>
      <w:tr w:rsidR="001E3E7D" w:rsidRPr="00594453" w14:paraId="128E926D" w14:textId="77777777" w:rsidTr="008265F0">
        <w:trPr>
          <w:trHeight w:hRule="exact" w:val="227"/>
        </w:trPr>
        <w:tc>
          <w:tcPr>
            <w:tcW w:w="3445" w:type="dxa"/>
            <w:tcBorders>
              <w:top w:val="nil"/>
              <w:left w:val="nil"/>
              <w:bottom w:val="nil"/>
              <w:right w:val="nil"/>
            </w:tcBorders>
            <w:shd w:val="clear" w:color="auto" w:fill="auto"/>
            <w:vAlign w:val="center"/>
            <w:hideMark/>
          </w:tcPr>
          <w:p w14:paraId="1DA13F84" w14:textId="77777777" w:rsidR="001E3E7D" w:rsidRPr="00D43C76" w:rsidRDefault="001E3E7D" w:rsidP="00C6085C">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JП „Стара планина</w:t>
            </w:r>
            <w:r w:rsidR="00C6085C" w:rsidRPr="00D43C76">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vAlign w:val="center"/>
            <w:hideMark/>
          </w:tcPr>
          <w:p w14:paraId="4E0E7B80"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en-GB" w:eastAsia="ja-JP"/>
              </w:rPr>
              <w:t>-885.91</w:t>
            </w:r>
            <w:r w:rsidR="007F328B" w:rsidRPr="00AF23DC">
              <w:rPr>
                <w:rFonts w:eastAsia="MS PGothic" w:cstheme="minorHAnsi"/>
                <w:color w:val="002060"/>
                <w:sz w:val="18"/>
                <w:szCs w:val="18"/>
                <w:lang w:val="en-GB" w:eastAsia="ja-JP"/>
              </w:rPr>
              <w:t>0</w:t>
            </w:r>
          </w:p>
        </w:tc>
        <w:tc>
          <w:tcPr>
            <w:tcW w:w="1981" w:type="dxa"/>
            <w:tcBorders>
              <w:top w:val="nil"/>
              <w:left w:val="nil"/>
              <w:bottom w:val="nil"/>
              <w:right w:val="nil"/>
            </w:tcBorders>
            <w:shd w:val="clear" w:color="auto" w:fill="auto"/>
            <w:noWrap/>
            <w:vAlign w:val="center"/>
            <w:hideMark/>
          </w:tcPr>
          <w:p w14:paraId="1CA4C175"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1</w:t>
            </w:r>
            <w:r w:rsidRPr="00D43C76">
              <w:rPr>
                <w:rFonts w:eastAsia="MS PGothic" w:cstheme="minorHAnsi"/>
                <w:color w:val="002060"/>
                <w:sz w:val="18"/>
                <w:szCs w:val="18"/>
                <w:lang w:val="en-GB" w:eastAsia="ja-JP"/>
              </w:rPr>
              <w:t>.000</w:t>
            </w:r>
          </w:p>
        </w:tc>
        <w:tc>
          <w:tcPr>
            <w:tcW w:w="1981" w:type="dxa"/>
            <w:tcBorders>
              <w:top w:val="nil"/>
              <w:left w:val="nil"/>
              <w:bottom w:val="nil"/>
              <w:right w:val="nil"/>
            </w:tcBorders>
            <w:shd w:val="clear" w:color="auto" w:fill="auto"/>
            <w:noWrap/>
            <w:vAlign w:val="center"/>
            <w:hideMark/>
          </w:tcPr>
          <w:p w14:paraId="779E64D1"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9.901</w:t>
            </w:r>
          </w:p>
        </w:tc>
      </w:tr>
      <w:tr w:rsidR="001E3E7D" w:rsidRPr="00594453" w14:paraId="3B3D5D72" w14:textId="77777777" w:rsidTr="008265F0">
        <w:trPr>
          <w:trHeight w:hRule="exact" w:val="227"/>
        </w:trPr>
        <w:tc>
          <w:tcPr>
            <w:tcW w:w="3445" w:type="dxa"/>
            <w:tcBorders>
              <w:top w:val="nil"/>
              <w:left w:val="nil"/>
              <w:bottom w:val="nil"/>
              <w:right w:val="nil"/>
            </w:tcBorders>
            <w:shd w:val="clear" w:color="auto" w:fill="auto"/>
            <w:vAlign w:val="center"/>
            <w:hideMark/>
          </w:tcPr>
          <w:p w14:paraId="029413AD" w14:textId="77777777" w:rsidR="001E3E7D" w:rsidRPr="00D43C76" w:rsidRDefault="001E3E7D" w:rsidP="00C6085C">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„Метохија</w:t>
            </w:r>
            <w:r w:rsidR="00C6085C" w:rsidRPr="00D43C76">
              <w:rPr>
                <w:rFonts w:eastAsia="MS PGothic" w:cstheme="minorHAnsi"/>
                <w:color w:val="002060"/>
                <w:sz w:val="18"/>
                <w:szCs w:val="18"/>
                <w:lang w:val="sr-Cyrl-CS" w:eastAsia="ja-JP"/>
              </w:rPr>
              <w:t>”</w:t>
            </w:r>
            <w:r w:rsidRPr="00D43C76">
              <w:rPr>
                <w:rFonts w:eastAsia="MS PGothic" w:cstheme="minorHAnsi"/>
                <w:color w:val="002060"/>
                <w:sz w:val="18"/>
                <w:szCs w:val="18"/>
                <w:lang w:val="sr-Cyrl-CS" w:eastAsia="ja-JP"/>
              </w:rPr>
              <w:t xml:space="preserve"> д.о.о.</w:t>
            </w:r>
          </w:p>
        </w:tc>
        <w:tc>
          <w:tcPr>
            <w:tcW w:w="1981" w:type="dxa"/>
            <w:tcBorders>
              <w:top w:val="nil"/>
              <w:left w:val="nil"/>
              <w:bottom w:val="nil"/>
              <w:right w:val="nil"/>
            </w:tcBorders>
            <w:shd w:val="clear" w:color="auto" w:fill="auto"/>
            <w:vAlign w:val="center"/>
            <w:hideMark/>
          </w:tcPr>
          <w:p w14:paraId="05C3908B"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704</w:t>
            </w:r>
          </w:p>
        </w:tc>
        <w:tc>
          <w:tcPr>
            <w:tcW w:w="1981" w:type="dxa"/>
            <w:tcBorders>
              <w:top w:val="nil"/>
              <w:left w:val="nil"/>
              <w:bottom w:val="nil"/>
              <w:right w:val="nil"/>
            </w:tcBorders>
            <w:shd w:val="clear" w:color="auto" w:fill="auto"/>
            <w:noWrap/>
            <w:vAlign w:val="center"/>
            <w:hideMark/>
          </w:tcPr>
          <w:p w14:paraId="3A8CDCEC"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93</w:t>
            </w:r>
          </w:p>
        </w:tc>
        <w:tc>
          <w:tcPr>
            <w:tcW w:w="1981" w:type="dxa"/>
            <w:tcBorders>
              <w:top w:val="nil"/>
              <w:left w:val="nil"/>
              <w:bottom w:val="nil"/>
              <w:right w:val="nil"/>
            </w:tcBorders>
            <w:shd w:val="clear" w:color="auto" w:fill="auto"/>
            <w:noWrap/>
            <w:vAlign w:val="center"/>
            <w:hideMark/>
          </w:tcPr>
          <w:p w14:paraId="49040B96"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2.411</w:t>
            </w:r>
          </w:p>
        </w:tc>
      </w:tr>
      <w:tr w:rsidR="001E3E7D" w:rsidRPr="00594453" w14:paraId="2507CF11" w14:textId="77777777" w:rsidTr="008265F0">
        <w:trPr>
          <w:trHeight w:hRule="exact" w:val="227"/>
        </w:trPr>
        <w:tc>
          <w:tcPr>
            <w:tcW w:w="3445" w:type="dxa"/>
            <w:tcBorders>
              <w:top w:val="nil"/>
              <w:left w:val="nil"/>
              <w:bottom w:val="nil"/>
              <w:right w:val="nil"/>
            </w:tcBorders>
            <w:shd w:val="clear" w:color="auto" w:fill="auto"/>
            <w:vAlign w:val="center"/>
            <w:hideMark/>
          </w:tcPr>
          <w:p w14:paraId="3C36C418" w14:textId="77777777" w:rsidR="001E3E7D" w:rsidRPr="00D43C76" w:rsidRDefault="001E3E7D" w:rsidP="008265F0">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JП „Пошта Србије</w:t>
            </w:r>
            <w:r w:rsidR="00C6085C" w:rsidRPr="00D43C76">
              <w:rPr>
                <w:rFonts w:eastAsia="MS PGothic" w:cstheme="minorHAnsi"/>
                <w:color w:val="002060"/>
                <w:sz w:val="18"/>
                <w:szCs w:val="18"/>
                <w:lang w:val="sr-Cyrl-CS" w:eastAsia="ja-JP"/>
              </w:rPr>
              <w:t>”</w:t>
            </w:r>
          </w:p>
        </w:tc>
        <w:tc>
          <w:tcPr>
            <w:tcW w:w="1981" w:type="dxa"/>
            <w:tcBorders>
              <w:top w:val="nil"/>
              <w:left w:val="nil"/>
              <w:bottom w:val="nil"/>
              <w:right w:val="nil"/>
            </w:tcBorders>
            <w:shd w:val="clear" w:color="auto" w:fill="auto"/>
            <w:vAlign w:val="center"/>
            <w:hideMark/>
          </w:tcPr>
          <w:p w14:paraId="1C0D92DB" w14:textId="77777777" w:rsidR="001E3E7D" w:rsidRPr="00AF23DC" w:rsidRDefault="001E3E7D" w:rsidP="008265F0">
            <w:pPr>
              <w:spacing w:after="120" w:line="276" w:lineRule="auto"/>
              <w:jc w:val="right"/>
              <w:rPr>
                <w:rFonts w:eastAsia="MS PGothic" w:cstheme="minorHAnsi"/>
                <w:color w:val="002060"/>
                <w:sz w:val="18"/>
                <w:szCs w:val="18"/>
                <w:lang w:val="en-GB" w:eastAsia="ja-JP"/>
              </w:rPr>
            </w:pPr>
            <w:r w:rsidRPr="00AF23DC">
              <w:rPr>
                <w:rFonts w:eastAsia="MS PGothic" w:cstheme="minorHAnsi"/>
                <w:color w:val="002060"/>
                <w:sz w:val="18"/>
                <w:szCs w:val="18"/>
                <w:lang w:val="sr-Cyrl-CS" w:eastAsia="ja-JP"/>
              </w:rPr>
              <w:t>877.538</w:t>
            </w:r>
          </w:p>
        </w:tc>
        <w:tc>
          <w:tcPr>
            <w:tcW w:w="1981" w:type="dxa"/>
            <w:tcBorders>
              <w:top w:val="nil"/>
              <w:left w:val="nil"/>
              <w:bottom w:val="nil"/>
              <w:right w:val="nil"/>
            </w:tcBorders>
            <w:shd w:val="clear" w:color="auto" w:fill="auto"/>
            <w:noWrap/>
            <w:vAlign w:val="center"/>
            <w:hideMark/>
          </w:tcPr>
          <w:p w14:paraId="4FC78FA2"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-244.897</w:t>
            </w:r>
          </w:p>
        </w:tc>
        <w:tc>
          <w:tcPr>
            <w:tcW w:w="1981" w:type="dxa"/>
            <w:tcBorders>
              <w:top w:val="nil"/>
              <w:left w:val="nil"/>
              <w:bottom w:val="nil"/>
              <w:right w:val="nil"/>
            </w:tcBorders>
            <w:shd w:val="clear" w:color="auto" w:fill="auto"/>
            <w:noWrap/>
            <w:vAlign w:val="center"/>
            <w:hideMark/>
          </w:tcPr>
          <w:p w14:paraId="35DE1CE8"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544.821</w:t>
            </w:r>
          </w:p>
        </w:tc>
      </w:tr>
      <w:tr w:rsidR="001E3E7D" w:rsidRPr="00594453" w14:paraId="4875D745" w14:textId="77777777" w:rsidTr="008265F0">
        <w:trPr>
          <w:trHeight w:hRule="exact" w:val="227"/>
        </w:trPr>
        <w:tc>
          <w:tcPr>
            <w:tcW w:w="3445" w:type="dxa"/>
            <w:tcBorders>
              <w:top w:val="single" w:sz="8" w:space="0" w:color="002060"/>
              <w:left w:val="nil"/>
              <w:bottom w:val="single" w:sz="8" w:space="0" w:color="002060"/>
              <w:right w:val="nil"/>
            </w:tcBorders>
            <w:shd w:val="clear" w:color="auto" w:fill="auto"/>
            <w:noWrap/>
            <w:vAlign w:val="center"/>
            <w:hideMark/>
          </w:tcPr>
          <w:p w14:paraId="379F9066" w14:textId="77777777" w:rsidR="001E3E7D" w:rsidRPr="00D43C76" w:rsidRDefault="001E3E7D" w:rsidP="008265F0">
            <w:pPr>
              <w:spacing w:after="120" w:line="276" w:lineRule="auto"/>
              <w:rPr>
                <w:rFonts w:eastAsia="MS PGothic" w:cstheme="minorHAnsi"/>
                <w:color w:val="002060"/>
                <w:sz w:val="18"/>
                <w:szCs w:val="18"/>
                <w:lang w:val="en-GB" w:eastAsia="ja-JP"/>
              </w:rPr>
            </w:pPr>
            <w:r w:rsidRPr="00D43C76">
              <w:rPr>
                <w:rFonts w:eastAsia="MS PGothic" w:cstheme="minorHAnsi"/>
                <w:color w:val="002060"/>
                <w:sz w:val="18"/>
                <w:szCs w:val="18"/>
                <w:lang w:val="sr-Cyrl-CS" w:eastAsia="ja-JP"/>
              </w:rPr>
              <w:t>Укупно</w:t>
            </w:r>
          </w:p>
        </w:tc>
        <w:tc>
          <w:tcPr>
            <w:tcW w:w="1981" w:type="dxa"/>
            <w:tcBorders>
              <w:top w:val="single" w:sz="8" w:space="0" w:color="002060"/>
              <w:left w:val="nil"/>
              <w:bottom w:val="single" w:sz="8" w:space="0" w:color="002060"/>
              <w:right w:val="nil"/>
            </w:tcBorders>
            <w:shd w:val="clear" w:color="auto" w:fill="auto"/>
            <w:noWrap/>
            <w:vAlign w:val="center"/>
            <w:hideMark/>
          </w:tcPr>
          <w:p w14:paraId="7F736EFE" w14:textId="77777777" w:rsidR="001E3E7D" w:rsidRPr="00AF23DC" w:rsidRDefault="001E3E7D" w:rsidP="00AF23DC">
            <w:pPr>
              <w:spacing w:after="120" w:line="276" w:lineRule="auto"/>
              <w:jc w:val="right"/>
              <w:rPr>
                <w:rFonts w:eastAsia="MS PGothic" w:cstheme="minorHAnsi"/>
                <w:color w:val="002060"/>
                <w:sz w:val="18"/>
                <w:szCs w:val="18"/>
                <w:lang w:val="sr-Cyrl-RS" w:eastAsia="ja-JP"/>
              </w:rPr>
            </w:pPr>
            <w:r w:rsidRPr="00AF23DC">
              <w:rPr>
                <w:rFonts w:eastAsia="MS PGothic" w:cstheme="minorHAnsi"/>
                <w:color w:val="002060"/>
                <w:sz w:val="18"/>
                <w:szCs w:val="18"/>
                <w:lang w:val="en-GB" w:eastAsia="ja-JP"/>
              </w:rPr>
              <w:t>21.</w:t>
            </w:r>
            <w:r w:rsidR="00AF23DC" w:rsidRPr="00AF23DC">
              <w:rPr>
                <w:rFonts w:eastAsia="MS PGothic" w:cstheme="minorHAnsi"/>
                <w:color w:val="002060"/>
                <w:sz w:val="18"/>
                <w:szCs w:val="18"/>
                <w:lang w:val="sr-Cyrl-RS" w:eastAsia="ja-JP"/>
              </w:rPr>
              <w:t>646</w:t>
            </w:r>
            <w:r w:rsidR="00AF23DC" w:rsidRPr="00AF23DC">
              <w:rPr>
                <w:rFonts w:eastAsia="MS PGothic" w:cstheme="minorHAnsi"/>
                <w:color w:val="002060"/>
                <w:sz w:val="18"/>
                <w:szCs w:val="18"/>
                <w:lang w:val="en-GB" w:eastAsia="ja-JP"/>
              </w:rPr>
              <w:t>.</w:t>
            </w:r>
            <w:r w:rsidR="00AF23DC" w:rsidRPr="00AF23DC">
              <w:rPr>
                <w:rFonts w:eastAsia="MS PGothic" w:cstheme="minorHAnsi"/>
                <w:color w:val="002060"/>
                <w:sz w:val="18"/>
                <w:szCs w:val="18"/>
                <w:lang w:val="sr-Cyrl-RS" w:eastAsia="ja-JP"/>
              </w:rPr>
              <w:t>225</w:t>
            </w:r>
          </w:p>
        </w:tc>
        <w:tc>
          <w:tcPr>
            <w:tcW w:w="1981" w:type="dxa"/>
            <w:tcBorders>
              <w:top w:val="single" w:sz="8" w:space="0" w:color="002060"/>
              <w:left w:val="nil"/>
              <w:bottom w:val="single" w:sz="8" w:space="0" w:color="002060"/>
              <w:right w:val="nil"/>
            </w:tcBorders>
            <w:shd w:val="clear" w:color="auto" w:fill="auto"/>
            <w:noWrap/>
            <w:vAlign w:val="center"/>
            <w:hideMark/>
          </w:tcPr>
          <w:p w14:paraId="0A761398"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en-GB" w:eastAsia="ja-JP"/>
              </w:rPr>
              <w:t>15.688.</w:t>
            </w:r>
            <w:r w:rsidR="00D21C8E" w:rsidRPr="00D43C76">
              <w:rPr>
                <w:rFonts w:eastAsia="MS PGothic" w:cstheme="minorHAnsi"/>
                <w:color w:val="002060"/>
                <w:sz w:val="18"/>
                <w:szCs w:val="18"/>
                <w:lang w:val="en-GB" w:eastAsia="ja-JP"/>
              </w:rPr>
              <w:t>660</w:t>
            </w:r>
          </w:p>
        </w:tc>
        <w:tc>
          <w:tcPr>
            <w:tcW w:w="1981" w:type="dxa"/>
            <w:tcBorders>
              <w:top w:val="single" w:sz="8" w:space="0" w:color="002060"/>
              <w:left w:val="nil"/>
              <w:bottom w:val="single" w:sz="8" w:space="0" w:color="002060"/>
              <w:right w:val="nil"/>
            </w:tcBorders>
            <w:shd w:val="clear" w:color="auto" w:fill="auto"/>
            <w:noWrap/>
            <w:vAlign w:val="center"/>
            <w:hideMark/>
          </w:tcPr>
          <w:p w14:paraId="6EDA5182" w14:textId="77777777" w:rsidR="001E3E7D" w:rsidRPr="00D43C76" w:rsidRDefault="001E3E7D" w:rsidP="008265F0">
            <w:pPr>
              <w:spacing w:after="120" w:line="276" w:lineRule="auto"/>
              <w:jc w:val="right"/>
              <w:rPr>
                <w:rFonts w:eastAsia="MS PGothic" w:cstheme="minorHAnsi"/>
                <w:color w:val="002060"/>
                <w:sz w:val="18"/>
                <w:szCs w:val="18"/>
                <w:lang w:val="en-GB" w:eastAsia="ja-JP"/>
              </w:rPr>
            </w:pPr>
            <w:r w:rsidRPr="00D43C76">
              <w:rPr>
                <w:rFonts w:eastAsia="MS PGothic" w:cstheme="minorHAnsi"/>
                <w:color w:val="002060"/>
                <w:sz w:val="18"/>
                <w:szCs w:val="18"/>
                <w:lang w:val="en-GB" w:eastAsia="ja-JP"/>
              </w:rPr>
              <w:t>18.515.359</w:t>
            </w:r>
          </w:p>
        </w:tc>
      </w:tr>
    </w:tbl>
    <w:p w14:paraId="6BD05365" w14:textId="77777777" w:rsidR="001E3E7D" w:rsidRPr="00AE36A5" w:rsidRDefault="001E3E7D" w:rsidP="008265F0">
      <w:pPr>
        <w:spacing w:after="120" w:line="276" w:lineRule="auto"/>
        <w:rPr>
          <w:rFonts w:eastAsia="MS PGothic" w:cstheme="minorHAnsi"/>
          <w:sz w:val="16"/>
          <w:szCs w:val="16"/>
          <w:lang w:val="sr-Cyrl-CS" w:eastAsia="ja-JP"/>
        </w:rPr>
      </w:pPr>
      <w:r w:rsidRPr="00AE36A5">
        <w:rPr>
          <w:rFonts w:eastAsia="MS PGothic" w:cstheme="minorHAnsi"/>
          <w:sz w:val="16"/>
          <w:szCs w:val="16"/>
          <w:lang w:val="sr-Cyrl-CS" w:eastAsia="ja-JP"/>
        </w:rPr>
        <w:t>Извор: Финансијски извештаји за 2020. годину и квартални извештаји Министарства привреде за 2021. годину</w:t>
      </w:r>
    </w:p>
    <w:bookmarkEnd w:id="35"/>
    <w:p w14:paraId="321C4806" w14:textId="77777777" w:rsidR="001E3E7D" w:rsidRPr="00594453" w:rsidRDefault="001E3E7D" w:rsidP="00594453">
      <w:pPr>
        <w:spacing w:after="0" w:line="276" w:lineRule="auto"/>
        <w:rPr>
          <w:rFonts w:eastAsia="MS PGothic" w:cstheme="minorHAnsi"/>
          <w:sz w:val="8"/>
          <w:szCs w:val="20"/>
          <w:lang w:val="sr-Cyrl-CS" w:eastAsia="ja-JP"/>
        </w:rPr>
      </w:pPr>
    </w:p>
    <w:p w14:paraId="0203CB40" w14:textId="77777777" w:rsidR="001E3E7D" w:rsidRPr="00594453" w:rsidRDefault="001E3E7D" w:rsidP="00594453">
      <w:pPr>
        <w:spacing w:after="0" w:line="276" w:lineRule="auto"/>
        <w:rPr>
          <w:rFonts w:eastAsia="MS PGothic" w:cstheme="minorHAnsi"/>
          <w:sz w:val="8"/>
          <w:szCs w:val="20"/>
          <w:lang w:val="sr-Cyrl-CS" w:eastAsia="ja-JP"/>
        </w:rPr>
        <w:sectPr w:rsidR="001E3E7D" w:rsidRPr="00594453" w:rsidSect="009B76B2">
          <w:type w:val="continuous"/>
          <w:pgSz w:w="12240" w:h="15840" w:code="1"/>
          <w:pgMar w:top="1440" w:right="1440" w:bottom="1440" w:left="1440" w:header="720" w:footer="720" w:gutter="0"/>
          <w:cols w:space="720"/>
          <w:docGrid w:linePitch="360"/>
        </w:sectPr>
      </w:pPr>
    </w:p>
    <w:p w14:paraId="66990B26" w14:textId="77777777" w:rsidR="001E3E7D" w:rsidRPr="00347E91" w:rsidRDefault="001E3E7D" w:rsidP="008E67C1">
      <w:pPr>
        <w:rPr>
          <w:rFonts w:eastAsia="MS PGothic" w:cstheme="minorHAnsi"/>
          <w:szCs w:val="20"/>
          <w:lang w:val="sr-Cyrl-CS" w:eastAsia="ja-JP"/>
        </w:rPr>
      </w:pPr>
      <w:r w:rsidRPr="00347E91">
        <w:rPr>
          <w:rFonts w:eastAsia="MS PGothic" w:cstheme="minorHAnsi"/>
          <w:szCs w:val="20"/>
          <w:lang w:val="sr-Cyrl-CS" w:eastAsia="ja-JP"/>
        </w:rPr>
        <w:t xml:space="preserve">У првој половини текуће године 19 предузећа је остварило нето губитак у укупном износу од 2,4 </w:t>
      </w:r>
      <w:r w:rsidRPr="00347E91">
        <w:rPr>
          <w:rFonts w:eastAsia="MS PGothic" w:cstheme="minorHAnsi"/>
          <w:szCs w:val="20"/>
          <w:lang w:val="sr-Cyrl-CS" w:eastAsia="ja-JP"/>
        </w:rPr>
        <w:t>млрд динара, што је бољи резултат од планираног у овом периоду (2,8 млрд динара).</w:t>
      </w:r>
    </w:p>
    <w:p w14:paraId="184D93CA" w14:textId="77777777" w:rsidR="001E3E7D" w:rsidRPr="00347E91" w:rsidRDefault="001E3E7D" w:rsidP="008265F0">
      <w:pPr>
        <w:spacing w:after="120" w:line="276" w:lineRule="auto"/>
        <w:rPr>
          <w:rFonts w:eastAsia="MS PGothic" w:cstheme="minorHAnsi"/>
          <w:szCs w:val="20"/>
          <w:lang w:val="sr-Cyrl-CS" w:eastAsia="ja-JP"/>
        </w:rPr>
        <w:sectPr w:rsidR="001E3E7D" w:rsidRPr="00347E91" w:rsidSect="009B76B2">
          <w:type w:val="continuous"/>
          <w:pgSz w:w="12240" w:h="15840" w:code="1"/>
          <w:pgMar w:top="1440" w:right="1440" w:bottom="1440" w:left="1440" w:header="720" w:footer="720" w:gutter="0"/>
          <w:cols w:num="2" w:space="720"/>
          <w:docGrid w:linePitch="360"/>
        </w:sectPr>
      </w:pPr>
    </w:p>
    <w:p w14:paraId="732B74D6" w14:textId="77777777" w:rsidR="008E67C1" w:rsidRDefault="008E67C1" w:rsidP="008E67C1">
      <w:pPr>
        <w:rPr>
          <w:lang w:val="sr-Cyrl-CS" w:eastAsia="ja-JP"/>
        </w:rPr>
      </w:pPr>
      <w:r>
        <w:rPr>
          <w:lang w:val="sr-Cyrl-CS" w:eastAsia="ja-JP"/>
        </w:rPr>
        <w:br w:type="page"/>
      </w:r>
    </w:p>
    <w:p w14:paraId="652E2861" w14:textId="77777777" w:rsidR="001E3E7D" w:rsidRPr="00594453" w:rsidRDefault="001E3E7D" w:rsidP="008265F0">
      <w:pPr>
        <w:spacing w:after="120" w:line="276" w:lineRule="auto"/>
        <w:rPr>
          <w:rFonts w:eastAsia="MS PGothic" w:cstheme="minorHAnsi"/>
          <w:bCs/>
          <w:color w:val="002060"/>
          <w:szCs w:val="20"/>
          <w:lang w:val="sr-Cyrl-CS" w:eastAsia="ja-JP"/>
        </w:rPr>
      </w:pPr>
      <w:r w:rsidRPr="004E0C7D">
        <w:rPr>
          <w:rFonts w:eastAsia="MS PGothic" w:cstheme="minorHAnsi"/>
          <w:b/>
          <w:bCs/>
          <w:color w:val="002060"/>
          <w:szCs w:val="20"/>
          <w:lang w:val="sr-Cyrl-CS" w:eastAsia="ja-JP"/>
        </w:rPr>
        <w:lastRenderedPageBreak/>
        <w:t xml:space="preserve">Табела 20. </w:t>
      </w:r>
      <w:r w:rsidRPr="00594453">
        <w:rPr>
          <w:rFonts w:eastAsia="MS PGothic" w:cstheme="minorHAnsi"/>
          <w:b/>
          <w:bCs/>
          <w:color w:val="002060"/>
          <w:szCs w:val="20"/>
          <w:lang w:val="sr-Cyrl-CS" w:eastAsia="ja-JP"/>
        </w:rPr>
        <w:t>Јавна предузећа која су остварила нето губитак у периоду 1.1–31.3.2021. године, у хиљ. динара</w:t>
      </w:r>
    </w:p>
    <w:tbl>
      <w:tblPr>
        <w:tblW w:w="9356" w:type="dxa"/>
        <w:tblLayout w:type="fixed"/>
        <w:tblLook w:val="04A0" w:firstRow="1" w:lastRow="0" w:firstColumn="1" w:lastColumn="0" w:noHBand="0" w:noVBand="1"/>
      </w:tblPr>
      <w:tblGrid>
        <w:gridCol w:w="3544"/>
        <w:gridCol w:w="1937"/>
        <w:gridCol w:w="1937"/>
        <w:gridCol w:w="1938"/>
      </w:tblGrid>
      <w:tr w:rsidR="001E3E7D" w:rsidRPr="00594453" w14:paraId="087485A3" w14:textId="77777777" w:rsidTr="00180E21">
        <w:trPr>
          <w:trHeight w:hRule="exact" w:val="227"/>
          <w:tblHeader/>
        </w:trPr>
        <w:tc>
          <w:tcPr>
            <w:tcW w:w="3544" w:type="dxa"/>
            <w:vMerge w:val="restart"/>
            <w:tcBorders>
              <w:top w:val="single" w:sz="8" w:space="0" w:color="002060"/>
              <w:left w:val="nil"/>
              <w:bottom w:val="single" w:sz="8" w:space="0" w:color="002060"/>
              <w:right w:val="nil"/>
            </w:tcBorders>
            <w:shd w:val="clear" w:color="auto" w:fill="auto"/>
            <w:noWrap/>
            <w:vAlign w:val="center"/>
            <w:hideMark/>
          </w:tcPr>
          <w:p w14:paraId="36D00E25" w14:textId="77777777" w:rsidR="001E3E7D" w:rsidRPr="00594453" w:rsidRDefault="001E3E7D" w:rsidP="008265F0">
            <w:pPr>
              <w:spacing w:after="12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Предузеће</w:t>
            </w:r>
          </w:p>
        </w:tc>
        <w:tc>
          <w:tcPr>
            <w:tcW w:w="1937" w:type="dxa"/>
            <w:vMerge w:val="restart"/>
            <w:tcBorders>
              <w:top w:val="single" w:sz="8" w:space="0" w:color="002060"/>
              <w:left w:val="nil"/>
              <w:bottom w:val="single" w:sz="8" w:space="0" w:color="002060"/>
              <w:right w:val="nil"/>
            </w:tcBorders>
            <w:shd w:val="clear" w:color="auto" w:fill="auto"/>
            <w:vAlign w:val="center"/>
            <w:hideMark/>
          </w:tcPr>
          <w:p w14:paraId="66BB7369" w14:textId="77777777" w:rsidR="001E3E7D" w:rsidRPr="00594453" w:rsidRDefault="001E3E7D" w:rsidP="00A958D8">
            <w:pPr>
              <w:spacing w:after="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Реализација 2020. година</w:t>
            </w:r>
          </w:p>
        </w:tc>
        <w:tc>
          <w:tcPr>
            <w:tcW w:w="1937" w:type="dxa"/>
            <w:vMerge w:val="restart"/>
            <w:tcBorders>
              <w:top w:val="single" w:sz="8" w:space="0" w:color="002060"/>
              <w:left w:val="nil"/>
              <w:bottom w:val="single" w:sz="8" w:space="0" w:color="002060"/>
              <w:right w:val="nil"/>
            </w:tcBorders>
            <w:shd w:val="clear" w:color="auto" w:fill="auto"/>
            <w:vAlign w:val="center"/>
            <w:hideMark/>
          </w:tcPr>
          <w:p w14:paraId="40477868" w14:textId="77777777" w:rsidR="001E3E7D" w:rsidRPr="00594453" w:rsidRDefault="001E3E7D" w:rsidP="00A958D8">
            <w:pPr>
              <w:spacing w:after="0" w:line="276" w:lineRule="auto"/>
              <w:jc w:val="center"/>
              <w:rPr>
                <w:rFonts w:eastAsia="MS PGothic" w:cstheme="minorHAnsi"/>
                <w:color w:val="002060"/>
                <w:sz w:val="18"/>
                <w:szCs w:val="18"/>
                <w:lang w:val="sr-Cyrl-CS" w:eastAsia="ja-JP"/>
              </w:rPr>
            </w:pPr>
            <w:r w:rsidRPr="00594453">
              <w:rPr>
                <w:rFonts w:eastAsia="MS PGothic" w:cstheme="minorHAnsi"/>
                <w:color w:val="002060"/>
                <w:sz w:val="18"/>
                <w:szCs w:val="18"/>
                <w:lang w:val="sr-Cyrl-CS" w:eastAsia="ja-JP"/>
              </w:rPr>
              <w:t>План</w:t>
            </w:r>
          </w:p>
          <w:p w14:paraId="10E311E3" w14:textId="77777777" w:rsidR="001E3E7D" w:rsidRPr="00594453" w:rsidRDefault="001E3E7D" w:rsidP="00A958D8">
            <w:pPr>
              <w:spacing w:after="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1.1–31.3.2021.</w:t>
            </w:r>
          </w:p>
        </w:tc>
        <w:tc>
          <w:tcPr>
            <w:tcW w:w="1938" w:type="dxa"/>
            <w:vMerge w:val="restart"/>
            <w:tcBorders>
              <w:top w:val="single" w:sz="8" w:space="0" w:color="002060"/>
              <w:left w:val="nil"/>
              <w:bottom w:val="single" w:sz="8" w:space="0" w:color="002060"/>
              <w:right w:val="nil"/>
            </w:tcBorders>
            <w:shd w:val="clear" w:color="auto" w:fill="auto"/>
            <w:vAlign w:val="center"/>
            <w:hideMark/>
          </w:tcPr>
          <w:p w14:paraId="7231FEB7" w14:textId="77777777" w:rsidR="001E3E7D" w:rsidRPr="00594453" w:rsidRDefault="001E3E7D" w:rsidP="00A958D8">
            <w:pPr>
              <w:spacing w:after="0" w:line="276" w:lineRule="auto"/>
              <w:jc w:val="center"/>
              <w:rPr>
                <w:rFonts w:eastAsia="MS PGothic" w:cstheme="minorHAnsi"/>
                <w:color w:val="002060"/>
                <w:sz w:val="18"/>
                <w:szCs w:val="18"/>
                <w:lang w:val="sr-Cyrl-CS" w:eastAsia="ja-JP"/>
              </w:rPr>
            </w:pPr>
            <w:r w:rsidRPr="00594453">
              <w:rPr>
                <w:rFonts w:eastAsia="MS PGothic" w:cstheme="minorHAnsi"/>
                <w:color w:val="002060"/>
                <w:sz w:val="18"/>
                <w:szCs w:val="18"/>
                <w:lang w:val="sr-Cyrl-CS" w:eastAsia="ja-JP"/>
              </w:rPr>
              <w:t>Реализација</w:t>
            </w:r>
          </w:p>
          <w:p w14:paraId="030596BD" w14:textId="77777777" w:rsidR="001E3E7D" w:rsidRPr="00594453" w:rsidRDefault="001E3E7D" w:rsidP="00A958D8">
            <w:pPr>
              <w:spacing w:after="0" w:line="276" w:lineRule="auto"/>
              <w:jc w:val="center"/>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1.1–31.3.2021.</w:t>
            </w:r>
          </w:p>
        </w:tc>
      </w:tr>
      <w:tr w:rsidR="001E3E7D" w:rsidRPr="00594453" w14:paraId="745847D4" w14:textId="77777777" w:rsidTr="00180E21">
        <w:trPr>
          <w:trHeight w:hRule="exact" w:val="370"/>
        </w:trPr>
        <w:tc>
          <w:tcPr>
            <w:tcW w:w="3544" w:type="dxa"/>
            <w:vMerge/>
            <w:tcBorders>
              <w:top w:val="single" w:sz="8" w:space="0" w:color="002060"/>
              <w:left w:val="nil"/>
              <w:bottom w:val="single" w:sz="8" w:space="0" w:color="002060"/>
              <w:right w:val="nil"/>
            </w:tcBorders>
            <w:vAlign w:val="center"/>
            <w:hideMark/>
          </w:tcPr>
          <w:p w14:paraId="793781CD" w14:textId="77777777" w:rsidR="001E3E7D" w:rsidRPr="00594453" w:rsidRDefault="001E3E7D" w:rsidP="008265F0">
            <w:pPr>
              <w:spacing w:after="120" w:line="276" w:lineRule="auto"/>
              <w:rPr>
                <w:rFonts w:eastAsia="MS PGothic" w:cstheme="minorHAnsi"/>
                <w:color w:val="002060"/>
                <w:sz w:val="18"/>
                <w:szCs w:val="18"/>
                <w:lang w:val="en-GB" w:eastAsia="ja-JP"/>
              </w:rPr>
            </w:pPr>
          </w:p>
        </w:tc>
        <w:tc>
          <w:tcPr>
            <w:tcW w:w="1937" w:type="dxa"/>
            <w:vMerge/>
            <w:tcBorders>
              <w:top w:val="single" w:sz="8" w:space="0" w:color="002060"/>
              <w:left w:val="nil"/>
              <w:bottom w:val="single" w:sz="8" w:space="0" w:color="002060"/>
              <w:right w:val="nil"/>
            </w:tcBorders>
            <w:vAlign w:val="center"/>
            <w:hideMark/>
          </w:tcPr>
          <w:p w14:paraId="617B8029" w14:textId="77777777" w:rsidR="001E3E7D" w:rsidRPr="00594453" w:rsidRDefault="001E3E7D" w:rsidP="008265F0">
            <w:pPr>
              <w:spacing w:after="120" w:line="276" w:lineRule="auto"/>
              <w:rPr>
                <w:rFonts w:eastAsia="MS PGothic" w:cstheme="minorHAnsi"/>
                <w:color w:val="002060"/>
                <w:sz w:val="18"/>
                <w:szCs w:val="18"/>
                <w:lang w:val="en-GB" w:eastAsia="ja-JP"/>
              </w:rPr>
            </w:pPr>
          </w:p>
        </w:tc>
        <w:tc>
          <w:tcPr>
            <w:tcW w:w="1937" w:type="dxa"/>
            <w:vMerge/>
            <w:tcBorders>
              <w:top w:val="single" w:sz="8" w:space="0" w:color="002060"/>
              <w:left w:val="nil"/>
              <w:bottom w:val="single" w:sz="8" w:space="0" w:color="002060"/>
              <w:right w:val="nil"/>
            </w:tcBorders>
            <w:vAlign w:val="center"/>
            <w:hideMark/>
          </w:tcPr>
          <w:p w14:paraId="59F088C6" w14:textId="77777777" w:rsidR="001E3E7D" w:rsidRPr="00594453" w:rsidRDefault="001E3E7D" w:rsidP="008265F0">
            <w:pPr>
              <w:spacing w:after="120" w:line="276" w:lineRule="auto"/>
              <w:rPr>
                <w:rFonts w:eastAsia="MS PGothic" w:cstheme="minorHAnsi"/>
                <w:color w:val="002060"/>
                <w:sz w:val="18"/>
                <w:szCs w:val="18"/>
                <w:lang w:val="en-GB" w:eastAsia="ja-JP"/>
              </w:rPr>
            </w:pPr>
          </w:p>
        </w:tc>
        <w:tc>
          <w:tcPr>
            <w:tcW w:w="1938" w:type="dxa"/>
            <w:vMerge/>
            <w:tcBorders>
              <w:top w:val="single" w:sz="8" w:space="0" w:color="002060"/>
              <w:left w:val="nil"/>
              <w:bottom w:val="single" w:sz="8" w:space="0" w:color="002060"/>
              <w:right w:val="nil"/>
            </w:tcBorders>
            <w:vAlign w:val="center"/>
            <w:hideMark/>
          </w:tcPr>
          <w:p w14:paraId="7BBBF2A3" w14:textId="77777777" w:rsidR="001E3E7D" w:rsidRPr="00594453" w:rsidRDefault="001E3E7D" w:rsidP="008265F0">
            <w:pPr>
              <w:spacing w:after="120" w:line="276" w:lineRule="auto"/>
              <w:rPr>
                <w:rFonts w:eastAsia="MS PGothic" w:cstheme="minorHAnsi"/>
                <w:color w:val="002060"/>
                <w:sz w:val="18"/>
                <w:szCs w:val="18"/>
                <w:lang w:val="en-GB" w:eastAsia="ja-JP"/>
              </w:rPr>
            </w:pPr>
          </w:p>
        </w:tc>
      </w:tr>
      <w:tr w:rsidR="001E3E7D" w:rsidRPr="00594453" w14:paraId="2E2EAC23" w14:textId="77777777" w:rsidTr="00180E21">
        <w:trPr>
          <w:trHeight w:hRule="exact" w:val="227"/>
        </w:trPr>
        <w:tc>
          <w:tcPr>
            <w:tcW w:w="3544" w:type="dxa"/>
            <w:tcBorders>
              <w:top w:val="nil"/>
              <w:left w:val="nil"/>
              <w:bottom w:val="nil"/>
              <w:right w:val="nil"/>
            </w:tcBorders>
            <w:shd w:val="clear" w:color="auto" w:fill="auto"/>
            <w:vAlign w:val="center"/>
            <w:hideMark/>
          </w:tcPr>
          <w:p w14:paraId="79C89084"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ПЕУ „Ресавица</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vAlign w:val="center"/>
            <w:hideMark/>
          </w:tcPr>
          <w:p w14:paraId="1E5D0593"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-1.737.043</w:t>
            </w:r>
          </w:p>
        </w:tc>
        <w:tc>
          <w:tcPr>
            <w:tcW w:w="1937" w:type="dxa"/>
            <w:tcBorders>
              <w:top w:val="nil"/>
              <w:left w:val="nil"/>
              <w:bottom w:val="nil"/>
              <w:right w:val="nil"/>
            </w:tcBorders>
            <w:shd w:val="clear" w:color="auto" w:fill="auto"/>
            <w:noWrap/>
            <w:vAlign w:val="center"/>
            <w:hideMark/>
          </w:tcPr>
          <w:p w14:paraId="71ABA85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-543.458</w:t>
            </w:r>
          </w:p>
        </w:tc>
        <w:tc>
          <w:tcPr>
            <w:tcW w:w="1938" w:type="dxa"/>
            <w:tcBorders>
              <w:top w:val="nil"/>
              <w:left w:val="nil"/>
              <w:bottom w:val="nil"/>
              <w:right w:val="nil"/>
            </w:tcBorders>
            <w:shd w:val="clear" w:color="auto" w:fill="auto"/>
            <w:noWrap/>
            <w:vAlign w:val="center"/>
            <w:hideMark/>
          </w:tcPr>
          <w:p w14:paraId="6166574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-352.528</w:t>
            </w:r>
          </w:p>
        </w:tc>
      </w:tr>
      <w:tr w:rsidR="001E3E7D" w:rsidRPr="00594453" w14:paraId="12BE4A75" w14:textId="77777777" w:rsidTr="00180E21">
        <w:trPr>
          <w:trHeight w:hRule="exact" w:val="227"/>
        </w:trPr>
        <w:tc>
          <w:tcPr>
            <w:tcW w:w="3544" w:type="dxa"/>
            <w:tcBorders>
              <w:top w:val="nil"/>
              <w:left w:val="nil"/>
              <w:bottom w:val="nil"/>
              <w:right w:val="nil"/>
            </w:tcBorders>
            <w:shd w:val="clear" w:color="auto" w:fill="auto"/>
            <w:vAlign w:val="center"/>
            <w:hideMark/>
          </w:tcPr>
          <w:p w14:paraId="4F8E8BC9"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„Србија Воз</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а.д.</w:t>
            </w:r>
          </w:p>
        </w:tc>
        <w:tc>
          <w:tcPr>
            <w:tcW w:w="1937" w:type="dxa"/>
            <w:tcBorders>
              <w:top w:val="nil"/>
              <w:left w:val="nil"/>
              <w:bottom w:val="nil"/>
              <w:right w:val="nil"/>
            </w:tcBorders>
            <w:shd w:val="clear" w:color="auto" w:fill="auto"/>
            <w:vAlign w:val="center"/>
            <w:hideMark/>
          </w:tcPr>
          <w:p w14:paraId="2A958C6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-1.164.713</w:t>
            </w:r>
          </w:p>
        </w:tc>
        <w:tc>
          <w:tcPr>
            <w:tcW w:w="1937" w:type="dxa"/>
            <w:tcBorders>
              <w:top w:val="nil"/>
              <w:left w:val="nil"/>
              <w:bottom w:val="nil"/>
              <w:right w:val="nil"/>
            </w:tcBorders>
            <w:shd w:val="clear" w:color="auto" w:fill="auto"/>
            <w:noWrap/>
            <w:vAlign w:val="center"/>
            <w:hideMark/>
          </w:tcPr>
          <w:p w14:paraId="4637A12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-442.636</w:t>
            </w:r>
          </w:p>
        </w:tc>
        <w:tc>
          <w:tcPr>
            <w:tcW w:w="1938" w:type="dxa"/>
            <w:tcBorders>
              <w:top w:val="nil"/>
              <w:left w:val="nil"/>
              <w:bottom w:val="nil"/>
              <w:right w:val="nil"/>
            </w:tcBorders>
            <w:shd w:val="clear" w:color="auto" w:fill="auto"/>
            <w:noWrap/>
            <w:vAlign w:val="center"/>
            <w:hideMark/>
          </w:tcPr>
          <w:p w14:paraId="5F2E6AA6"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-276.842</w:t>
            </w:r>
          </w:p>
        </w:tc>
      </w:tr>
      <w:tr w:rsidR="001E3E7D" w:rsidRPr="00594453" w14:paraId="3616BA64" w14:textId="77777777" w:rsidTr="00180E21">
        <w:trPr>
          <w:trHeight w:hRule="exact" w:val="227"/>
        </w:trPr>
        <w:tc>
          <w:tcPr>
            <w:tcW w:w="3544" w:type="dxa"/>
            <w:tcBorders>
              <w:top w:val="nil"/>
              <w:left w:val="nil"/>
              <w:bottom w:val="nil"/>
              <w:right w:val="nil"/>
            </w:tcBorders>
            <w:shd w:val="clear" w:color="auto" w:fill="auto"/>
            <w:noWrap/>
            <w:vAlign w:val="center"/>
            <w:hideMark/>
          </w:tcPr>
          <w:p w14:paraId="293B306A"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JВП „Србијаводе</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noWrap/>
            <w:vAlign w:val="center"/>
            <w:hideMark/>
          </w:tcPr>
          <w:p w14:paraId="5EBD180A"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10.672</w:t>
            </w:r>
          </w:p>
        </w:tc>
        <w:tc>
          <w:tcPr>
            <w:tcW w:w="1937" w:type="dxa"/>
            <w:tcBorders>
              <w:top w:val="nil"/>
              <w:left w:val="nil"/>
              <w:bottom w:val="nil"/>
              <w:right w:val="nil"/>
            </w:tcBorders>
            <w:shd w:val="clear" w:color="auto" w:fill="auto"/>
            <w:noWrap/>
            <w:vAlign w:val="center"/>
            <w:hideMark/>
          </w:tcPr>
          <w:p w14:paraId="1750270E"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-114.493</w:t>
            </w:r>
          </w:p>
        </w:tc>
        <w:tc>
          <w:tcPr>
            <w:tcW w:w="1938" w:type="dxa"/>
            <w:tcBorders>
              <w:top w:val="nil"/>
              <w:left w:val="nil"/>
              <w:bottom w:val="nil"/>
              <w:right w:val="nil"/>
            </w:tcBorders>
            <w:shd w:val="clear" w:color="auto" w:fill="auto"/>
            <w:noWrap/>
            <w:vAlign w:val="center"/>
            <w:hideMark/>
          </w:tcPr>
          <w:p w14:paraId="78F6FB61"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-101.296</w:t>
            </w:r>
          </w:p>
        </w:tc>
      </w:tr>
      <w:tr w:rsidR="001E3E7D" w:rsidRPr="00594453" w14:paraId="0EA9548F" w14:textId="77777777" w:rsidTr="00180E21">
        <w:trPr>
          <w:trHeight w:hRule="exact" w:val="227"/>
        </w:trPr>
        <w:tc>
          <w:tcPr>
            <w:tcW w:w="3544" w:type="dxa"/>
            <w:tcBorders>
              <w:top w:val="nil"/>
              <w:left w:val="nil"/>
              <w:bottom w:val="nil"/>
              <w:right w:val="nil"/>
            </w:tcBorders>
            <w:shd w:val="clear" w:color="auto" w:fill="auto"/>
            <w:vAlign w:val="center"/>
            <w:hideMark/>
          </w:tcPr>
          <w:p w14:paraId="20F95570"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„Завод за уџбенике</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vAlign w:val="center"/>
            <w:hideMark/>
          </w:tcPr>
          <w:p w14:paraId="184F6BA1"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-235.199</w:t>
            </w:r>
          </w:p>
        </w:tc>
        <w:tc>
          <w:tcPr>
            <w:tcW w:w="1937" w:type="dxa"/>
            <w:tcBorders>
              <w:top w:val="nil"/>
              <w:left w:val="nil"/>
              <w:bottom w:val="nil"/>
              <w:right w:val="nil"/>
            </w:tcBorders>
            <w:shd w:val="clear" w:color="auto" w:fill="auto"/>
            <w:noWrap/>
            <w:vAlign w:val="center"/>
            <w:hideMark/>
          </w:tcPr>
          <w:p w14:paraId="39E0ACF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-142.953</w:t>
            </w:r>
          </w:p>
        </w:tc>
        <w:tc>
          <w:tcPr>
            <w:tcW w:w="1938" w:type="dxa"/>
            <w:tcBorders>
              <w:top w:val="nil"/>
              <w:left w:val="nil"/>
              <w:bottom w:val="nil"/>
              <w:right w:val="nil"/>
            </w:tcBorders>
            <w:shd w:val="clear" w:color="auto" w:fill="auto"/>
            <w:noWrap/>
            <w:vAlign w:val="center"/>
            <w:hideMark/>
          </w:tcPr>
          <w:p w14:paraId="7B5889BF"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-88.937</w:t>
            </w:r>
          </w:p>
        </w:tc>
      </w:tr>
      <w:tr w:rsidR="001E3E7D" w:rsidRPr="00594453" w14:paraId="0CD3E231" w14:textId="77777777" w:rsidTr="00180E21">
        <w:trPr>
          <w:trHeight w:hRule="exact" w:val="227"/>
        </w:trPr>
        <w:tc>
          <w:tcPr>
            <w:tcW w:w="3544" w:type="dxa"/>
            <w:tcBorders>
              <w:top w:val="nil"/>
              <w:left w:val="nil"/>
              <w:bottom w:val="nil"/>
              <w:right w:val="nil"/>
            </w:tcBorders>
            <w:shd w:val="clear" w:color="auto" w:fill="auto"/>
            <w:vAlign w:val="center"/>
            <w:hideMark/>
          </w:tcPr>
          <w:p w14:paraId="111DA248"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„Мокра гора</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37" w:type="dxa"/>
            <w:tcBorders>
              <w:top w:val="nil"/>
              <w:left w:val="nil"/>
              <w:bottom w:val="nil"/>
              <w:right w:val="nil"/>
            </w:tcBorders>
            <w:shd w:val="clear" w:color="auto" w:fill="auto"/>
            <w:vAlign w:val="center"/>
            <w:hideMark/>
          </w:tcPr>
          <w:p w14:paraId="38E75DB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-9.537</w:t>
            </w:r>
          </w:p>
        </w:tc>
        <w:tc>
          <w:tcPr>
            <w:tcW w:w="1937" w:type="dxa"/>
            <w:tcBorders>
              <w:top w:val="nil"/>
              <w:left w:val="nil"/>
              <w:bottom w:val="nil"/>
              <w:right w:val="nil"/>
            </w:tcBorders>
            <w:shd w:val="clear" w:color="auto" w:fill="auto"/>
            <w:noWrap/>
            <w:vAlign w:val="center"/>
            <w:hideMark/>
          </w:tcPr>
          <w:p w14:paraId="1F02890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27.393</w:t>
            </w:r>
          </w:p>
        </w:tc>
        <w:tc>
          <w:tcPr>
            <w:tcW w:w="1938" w:type="dxa"/>
            <w:tcBorders>
              <w:top w:val="nil"/>
              <w:left w:val="nil"/>
              <w:bottom w:val="nil"/>
              <w:right w:val="nil"/>
            </w:tcBorders>
            <w:shd w:val="clear" w:color="auto" w:fill="auto"/>
            <w:noWrap/>
            <w:vAlign w:val="center"/>
            <w:hideMark/>
          </w:tcPr>
          <w:p w14:paraId="3F507637"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-853</w:t>
            </w:r>
          </w:p>
        </w:tc>
      </w:tr>
      <w:tr w:rsidR="001E3E7D" w:rsidRPr="00594453" w14:paraId="343046EF" w14:textId="77777777" w:rsidTr="00180E21">
        <w:trPr>
          <w:trHeight w:hRule="exact" w:val="227"/>
        </w:trPr>
        <w:tc>
          <w:tcPr>
            <w:tcW w:w="3544" w:type="dxa"/>
            <w:tcBorders>
              <w:top w:val="nil"/>
              <w:left w:val="nil"/>
              <w:bottom w:val="nil"/>
              <w:right w:val="nil"/>
            </w:tcBorders>
            <w:shd w:val="clear" w:color="auto" w:fill="auto"/>
            <w:vAlign w:val="center"/>
            <w:hideMark/>
          </w:tcPr>
          <w:p w14:paraId="37992CD8"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„Тврђава Голубачки град</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37" w:type="dxa"/>
            <w:tcBorders>
              <w:top w:val="nil"/>
              <w:left w:val="nil"/>
              <w:bottom w:val="nil"/>
              <w:right w:val="nil"/>
            </w:tcBorders>
            <w:shd w:val="clear" w:color="auto" w:fill="auto"/>
            <w:vAlign w:val="center"/>
            <w:hideMark/>
          </w:tcPr>
          <w:p w14:paraId="0A5A396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-50</w:t>
            </w:r>
          </w:p>
        </w:tc>
        <w:tc>
          <w:tcPr>
            <w:tcW w:w="1937" w:type="dxa"/>
            <w:tcBorders>
              <w:top w:val="nil"/>
              <w:left w:val="nil"/>
              <w:bottom w:val="nil"/>
              <w:right w:val="nil"/>
            </w:tcBorders>
            <w:shd w:val="clear" w:color="auto" w:fill="auto"/>
            <w:noWrap/>
            <w:vAlign w:val="center"/>
            <w:hideMark/>
          </w:tcPr>
          <w:p w14:paraId="42590394"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-5.6</w:t>
            </w:r>
            <w:r w:rsidRPr="00594453">
              <w:rPr>
                <w:rFonts w:eastAsia="MS PGothic" w:cstheme="minorHAnsi"/>
                <w:color w:val="002060"/>
                <w:sz w:val="18"/>
                <w:szCs w:val="18"/>
                <w:lang w:val="en-GB" w:eastAsia="ja-JP"/>
              </w:rPr>
              <w:t>00</w:t>
            </w:r>
          </w:p>
        </w:tc>
        <w:tc>
          <w:tcPr>
            <w:tcW w:w="1938" w:type="dxa"/>
            <w:tcBorders>
              <w:top w:val="nil"/>
              <w:left w:val="nil"/>
              <w:bottom w:val="nil"/>
              <w:right w:val="nil"/>
            </w:tcBorders>
            <w:shd w:val="clear" w:color="auto" w:fill="auto"/>
            <w:noWrap/>
            <w:vAlign w:val="center"/>
            <w:hideMark/>
          </w:tcPr>
          <w:p w14:paraId="6BEB1277"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-10.543</w:t>
            </w:r>
          </w:p>
        </w:tc>
      </w:tr>
      <w:tr w:rsidR="001E3E7D" w:rsidRPr="00594453" w14:paraId="460C5C5C" w14:textId="77777777" w:rsidTr="00180E21">
        <w:trPr>
          <w:trHeight w:hRule="exact" w:val="227"/>
        </w:trPr>
        <w:tc>
          <w:tcPr>
            <w:tcW w:w="3544" w:type="dxa"/>
            <w:tcBorders>
              <w:top w:val="nil"/>
              <w:left w:val="nil"/>
              <w:bottom w:val="nil"/>
              <w:right w:val="nil"/>
            </w:tcBorders>
            <w:shd w:val="clear" w:color="auto" w:fill="auto"/>
            <w:vAlign w:val="center"/>
            <w:hideMark/>
          </w:tcPr>
          <w:p w14:paraId="3B1E0149"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„Србија Карго</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а.д.</w:t>
            </w:r>
          </w:p>
        </w:tc>
        <w:tc>
          <w:tcPr>
            <w:tcW w:w="1937" w:type="dxa"/>
            <w:tcBorders>
              <w:top w:val="nil"/>
              <w:left w:val="nil"/>
              <w:bottom w:val="nil"/>
              <w:right w:val="nil"/>
            </w:tcBorders>
            <w:shd w:val="clear" w:color="auto" w:fill="auto"/>
            <w:vAlign w:val="center"/>
            <w:hideMark/>
          </w:tcPr>
          <w:p w14:paraId="09242BC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-2.251.842</w:t>
            </w:r>
          </w:p>
        </w:tc>
        <w:tc>
          <w:tcPr>
            <w:tcW w:w="1937" w:type="dxa"/>
            <w:tcBorders>
              <w:top w:val="nil"/>
              <w:left w:val="nil"/>
              <w:bottom w:val="nil"/>
              <w:right w:val="nil"/>
            </w:tcBorders>
            <w:shd w:val="clear" w:color="auto" w:fill="auto"/>
            <w:noWrap/>
            <w:vAlign w:val="center"/>
            <w:hideMark/>
          </w:tcPr>
          <w:p w14:paraId="4BB05E77"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-561.403</w:t>
            </w:r>
          </w:p>
        </w:tc>
        <w:tc>
          <w:tcPr>
            <w:tcW w:w="1938" w:type="dxa"/>
            <w:tcBorders>
              <w:top w:val="nil"/>
              <w:left w:val="nil"/>
              <w:bottom w:val="nil"/>
              <w:right w:val="nil"/>
            </w:tcBorders>
            <w:shd w:val="clear" w:color="auto" w:fill="auto"/>
            <w:noWrap/>
            <w:vAlign w:val="center"/>
            <w:hideMark/>
          </w:tcPr>
          <w:p w14:paraId="4824C7A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-394.868</w:t>
            </w:r>
          </w:p>
        </w:tc>
      </w:tr>
      <w:tr w:rsidR="001E3E7D" w:rsidRPr="00594453" w14:paraId="1F621B5C" w14:textId="77777777" w:rsidTr="00180E21">
        <w:trPr>
          <w:trHeight w:hRule="exact" w:val="227"/>
        </w:trPr>
        <w:tc>
          <w:tcPr>
            <w:tcW w:w="3544" w:type="dxa"/>
            <w:tcBorders>
              <w:top w:val="nil"/>
              <w:left w:val="nil"/>
              <w:bottom w:val="nil"/>
              <w:right w:val="nil"/>
            </w:tcBorders>
            <w:shd w:val="clear" w:color="auto" w:fill="auto"/>
            <w:vAlign w:val="center"/>
            <w:hideMark/>
          </w:tcPr>
          <w:p w14:paraId="63401793"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„Парк Палић</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37" w:type="dxa"/>
            <w:tcBorders>
              <w:top w:val="nil"/>
              <w:left w:val="nil"/>
              <w:bottom w:val="nil"/>
              <w:right w:val="nil"/>
            </w:tcBorders>
            <w:shd w:val="clear" w:color="auto" w:fill="auto"/>
            <w:vAlign w:val="center"/>
            <w:hideMark/>
          </w:tcPr>
          <w:p w14:paraId="2CD560A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-3.779</w:t>
            </w:r>
          </w:p>
        </w:tc>
        <w:tc>
          <w:tcPr>
            <w:tcW w:w="1937" w:type="dxa"/>
            <w:tcBorders>
              <w:top w:val="nil"/>
              <w:left w:val="nil"/>
              <w:bottom w:val="nil"/>
              <w:right w:val="nil"/>
            </w:tcBorders>
            <w:shd w:val="clear" w:color="auto" w:fill="auto"/>
            <w:noWrap/>
            <w:vAlign w:val="center"/>
            <w:hideMark/>
          </w:tcPr>
          <w:p w14:paraId="10E9E95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-1.31</w:t>
            </w:r>
            <w:r w:rsidRPr="00594453">
              <w:rPr>
                <w:rFonts w:eastAsia="MS PGothic" w:cstheme="minorHAnsi"/>
                <w:color w:val="002060"/>
                <w:sz w:val="18"/>
                <w:szCs w:val="18"/>
                <w:lang w:val="en-GB" w:eastAsia="ja-JP"/>
              </w:rPr>
              <w:t>0</w:t>
            </w:r>
          </w:p>
        </w:tc>
        <w:tc>
          <w:tcPr>
            <w:tcW w:w="1938" w:type="dxa"/>
            <w:tcBorders>
              <w:top w:val="nil"/>
              <w:left w:val="nil"/>
              <w:bottom w:val="nil"/>
              <w:right w:val="nil"/>
            </w:tcBorders>
            <w:shd w:val="clear" w:color="auto" w:fill="auto"/>
            <w:noWrap/>
            <w:vAlign w:val="center"/>
            <w:hideMark/>
          </w:tcPr>
          <w:p w14:paraId="78A9A66A"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-421</w:t>
            </w:r>
          </w:p>
        </w:tc>
      </w:tr>
      <w:tr w:rsidR="001E3E7D" w:rsidRPr="00594453" w14:paraId="4C25E7E6" w14:textId="77777777" w:rsidTr="00180E21">
        <w:trPr>
          <w:trHeight w:hRule="exact" w:val="227"/>
        </w:trPr>
        <w:tc>
          <w:tcPr>
            <w:tcW w:w="3544" w:type="dxa"/>
            <w:tcBorders>
              <w:top w:val="nil"/>
              <w:left w:val="nil"/>
              <w:bottom w:val="nil"/>
              <w:right w:val="nil"/>
            </w:tcBorders>
            <w:shd w:val="clear" w:color="auto" w:fill="auto"/>
            <w:vAlign w:val="center"/>
            <w:hideMark/>
          </w:tcPr>
          <w:p w14:paraId="11C04CCD"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за склоништа</w:t>
            </w:r>
          </w:p>
        </w:tc>
        <w:tc>
          <w:tcPr>
            <w:tcW w:w="1937" w:type="dxa"/>
            <w:tcBorders>
              <w:top w:val="nil"/>
              <w:left w:val="nil"/>
              <w:bottom w:val="nil"/>
              <w:right w:val="nil"/>
            </w:tcBorders>
            <w:shd w:val="clear" w:color="auto" w:fill="auto"/>
            <w:vAlign w:val="center"/>
            <w:hideMark/>
          </w:tcPr>
          <w:p w14:paraId="194F06A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-87.001</w:t>
            </w:r>
          </w:p>
        </w:tc>
        <w:tc>
          <w:tcPr>
            <w:tcW w:w="1937" w:type="dxa"/>
            <w:tcBorders>
              <w:top w:val="nil"/>
              <w:left w:val="nil"/>
              <w:bottom w:val="nil"/>
              <w:right w:val="nil"/>
            </w:tcBorders>
            <w:shd w:val="clear" w:color="auto" w:fill="auto"/>
            <w:noWrap/>
            <w:vAlign w:val="center"/>
            <w:hideMark/>
          </w:tcPr>
          <w:p w14:paraId="07BFE927"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-34.13</w:t>
            </w:r>
            <w:r w:rsidRPr="00594453">
              <w:rPr>
                <w:rFonts w:eastAsia="MS PGothic" w:cstheme="minorHAnsi"/>
                <w:color w:val="002060"/>
                <w:sz w:val="18"/>
                <w:szCs w:val="18"/>
                <w:lang w:val="en-GB" w:eastAsia="ja-JP"/>
              </w:rPr>
              <w:t>0</w:t>
            </w:r>
          </w:p>
        </w:tc>
        <w:tc>
          <w:tcPr>
            <w:tcW w:w="1938" w:type="dxa"/>
            <w:tcBorders>
              <w:top w:val="nil"/>
              <w:left w:val="nil"/>
              <w:bottom w:val="nil"/>
              <w:right w:val="nil"/>
            </w:tcBorders>
            <w:shd w:val="clear" w:color="auto" w:fill="auto"/>
            <w:noWrap/>
            <w:vAlign w:val="center"/>
            <w:hideMark/>
          </w:tcPr>
          <w:p w14:paraId="68602986"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-29.264</w:t>
            </w:r>
          </w:p>
        </w:tc>
      </w:tr>
      <w:tr w:rsidR="001E3E7D" w:rsidRPr="00594453" w14:paraId="19C389C3" w14:textId="77777777" w:rsidTr="00180E21">
        <w:trPr>
          <w:trHeight w:hRule="exact" w:val="227"/>
        </w:trPr>
        <w:tc>
          <w:tcPr>
            <w:tcW w:w="3544" w:type="dxa"/>
            <w:tcBorders>
              <w:top w:val="nil"/>
              <w:left w:val="nil"/>
              <w:bottom w:val="nil"/>
              <w:right w:val="nil"/>
            </w:tcBorders>
            <w:shd w:val="clear" w:color="auto" w:fill="auto"/>
            <w:vAlign w:val="center"/>
            <w:hideMark/>
          </w:tcPr>
          <w:p w14:paraId="653E43CF"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„Југоимпорт-СДПР</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JП</w:t>
            </w:r>
          </w:p>
        </w:tc>
        <w:tc>
          <w:tcPr>
            <w:tcW w:w="1937" w:type="dxa"/>
            <w:tcBorders>
              <w:top w:val="nil"/>
              <w:left w:val="nil"/>
              <w:bottom w:val="nil"/>
              <w:right w:val="nil"/>
            </w:tcBorders>
            <w:shd w:val="clear" w:color="auto" w:fill="auto"/>
            <w:noWrap/>
            <w:vAlign w:val="center"/>
            <w:hideMark/>
          </w:tcPr>
          <w:p w14:paraId="20BC5390"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194.459</w:t>
            </w:r>
          </w:p>
        </w:tc>
        <w:tc>
          <w:tcPr>
            <w:tcW w:w="1937" w:type="dxa"/>
            <w:tcBorders>
              <w:top w:val="nil"/>
              <w:left w:val="nil"/>
              <w:bottom w:val="nil"/>
              <w:right w:val="nil"/>
            </w:tcBorders>
            <w:shd w:val="clear" w:color="auto" w:fill="auto"/>
            <w:noWrap/>
            <w:vAlign w:val="center"/>
            <w:hideMark/>
          </w:tcPr>
          <w:p w14:paraId="73DE7C5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-641.378</w:t>
            </w:r>
          </w:p>
        </w:tc>
        <w:tc>
          <w:tcPr>
            <w:tcW w:w="1938" w:type="dxa"/>
            <w:tcBorders>
              <w:top w:val="nil"/>
              <w:left w:val="nil"/>
              <w:bottom w:val="nil"/>
              <w:right w:val="nil"/>
            </w:tcBorders>
            <w:shd w:val="clear" w:color="auto" w:fill="auto"/>
            <w:noWrap/>
            <w:vAlign w:val="center"/>
            <w:hideMark/>
          </w:tcPr>
          <w:p w14:paraId="395555A6"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-345.63</w:t>
            </w:r>
            <w:r w:rsidRPr="00594453">
              <w:rPr>
                <w:rFonts w:eastAsia="MS PGothic" w:cstheme="minorHAnsi"/>
                <w:color w:val="002060"/>
                <w:sz w:val="18"/>
                <w:szCs w:val="18"/>
                <w:lang w:val="en-GB" w:eastAsia="ja-JP"/>
              </w:rPr>
              <w:t>0</w:t>
            </w:r>
          </w:p>
        </w:tc>
      </w:tr>
      <w:tr w:rsidR="001E3E7D" w:rsidRPr="00594453" w14:paraId="072189DC" w14:textId="77777777" w:rsidTr="00180E21">
        <w:trPr>
          <w:trHeight w:hRule="exact" w:val="227"/>
        </w:trPr>
        <w:tc>
          <w:tcPr>
            <w:tcW w:w="3544" w:type="dxa"/>
            <w:tcBorders>
              <w:top w:val="nil"/>
              <w:left w:val="nil"/>
              <w:bottom w:val="nil"/>
              <w:right w:val="nil"/>
            </w:tcBorders>
            <w:shd w:val="clear" w:color="auto" w:fill="auto"/>
            <w:noWrap/>
            <w:vAlign w:val="center"/>
            <w:hideMark/>
          </w:tcPr>
          <w:p w14:paraId="7D88CA1D"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ЈП Мрежа мост</w:t>
            </w:r>
          </w:p>
        </w:tc>
        <w:tc>
          <w:tcPr>
            <w:tcW w:w="1937" w:type="dxa"/>
            <w:tcBorders>
              <w:top w:val="nil"/>
              <w:left w:val="nil"/>
              <w:bottom w:val="nil"/>
              <w:right w:val="nil"/>
            </w:tcBorders>
            <w:shd w:val="clear" w:color="auto" w:fill="auto"/>
            <w:noWrap/>
            <w:vAlign w:val="center"/>
            <w:hideMark/>
          </w:tcPr>
          <w:p w14:paraId="03BEB74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7.215</w:t>
            </w:r>
          </w:p>
        </w:tc>
        <w:tc>
          <w:tcPr>
            <w:tcW w:w="1937" w:type="dxa"/>
            <w:tcBorders>
              <w:top w:val="nil"/>
              <w:left w:val="nil"/>
              <w:bottom w:val="nil"/>
              <w:right w:val="nil"/>
            </w:tcBorders>
            <w:shd w:val="clear" w:color="auto" w:fill="auto"/>
            <w:noWrap/>
            <w:vAlign w:val="center"/>
            <w:hideMark/>
          </w:tcPr>
          <w:p w14:paraId="468A7C5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0</w:t>
            </w:r>
          </w:p>
        </w:tc>
        <w:tc>
          <w:tcPr>
            <w:tcW w:w="1938" w:type="dxa"/>
            <w:tcBorders>
              <w:top w:val="nil"/>
              <w:left w:val="nil"/>
              <w:bottom w:val="nil"/>
              <w:right w:val="nil"/>
            </w:tcBorders>
            <w:shd w:val="clear" w:color="auto" w:fill="auto"/>
            <w:noWrap/>
            <w:vAlign w:val="center"/>
            <w:hideMark/>
          </w:tcPr>
          <w:p w14:paraId="49D18D2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-13.837</w:t>
            </w:r>
          </w:p>
        </w:tc>
      </w:tr>
      <w:tr w:rsidR="001E3E7D" w:rsidRPr="00594453" w14:paraId="6FA10F82" w14:textId="77777777" w:rsidTr="00180E21">
        <w:trPr>
          <w:trHeight w:hRule="exact" w:val="227"/>
        </w:trPr>
        <w:tc>
          <w:tcPr>
            <w:tcW w:w="3544" w:type="dxa"/>
            <w:tcBorders>
              <w:top w:val="nil"/>
              <w:left w:val="nil"/>
              <w:bottom w:val="nil"/>
              <w:right w:val="nil"/>
            </w:tcBorders>
            <w:shd w:val="clear" w:color="auto" w:fill="auto"/>
            <w:noWrap/>
            <w:vAlign w:val="center"/>
            <w:hideMark/>
          </w:tcPr>
          <w:p w14:paraId="2CB26B3B"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„НП Ђердап</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noWrap/>
            <w:vAlign w:val="center"/>
            <w:hideMark/>
          </w:tcPr>
          <w:p w14:paraId="53C873A6"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8.451</w:t>
            </w:r>
          </w:p>
        </w:tc>
        <w:tc>
          <w:tcPr>
            <w:tcW w:w="1937" w:type="dxa"/>
            <w:tcBorders>
              <w:top w:val="nil"/>
              <w:left w:val="nil"/>
              <w:bottom w:val="nil"/>
              <w:right w:val="nil"/>
            </w:tcBorders>
            <w:shd w:val="clear" w:color="auto" w:fill="auto"/>
            <w:noWrap/>
            <w:vAlign w:val="center"/>
            <w:hideMark/>
          </w:tcPr>
          <w:p w14:paraId="4C099081"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2.884</w:t>
            </w:r>
          </w:p>
        </w:tc>
        <w:tc>
          <w:tcPr>
            <w:tcW w:w="1938" w:type="dxa"/>
            <w:tcBorders>
              <w:top w:val="nil"/>
              <w:left w:val="nil"/>
              <w:bottom w:val="nil"/>
              <w:right w:val="nil"/>
            </w:tcBorders>
            <w:shd w:val="clear" w:color="auto" w:fill="auto"/>
            <w:noWrap/>
            <w:vAlign w:val="center"/>
            <w:hideMark/>
          </w:tcPr>
          <w:p w14:paraId="25F97F9A"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-4.006</w:t>
            </w:r>
          </w:p>
        </w:tc>
      </w:tr>
      <w:tr w:rsidR="001E3E7D" w:rsidRPr="00594453" w14:paraId="23EBF9E2" w14:textId="77777777" w:rsidTr="00180E21">
        <w:trPr>
          <w:trHeight w:hRule="exact" w:val="227"/>
        </w:trPr>
        <w:tc>
          <w:tcPr>
            <w:tcW w:w="3544" w:type="dxa"/>
            <w:tcBorders>
              <w:top w:val="nil"/>
              <w:left w:val="nil"/>
              <w:bottom w:val="nil"/>
              <w:right w:val="nil"/>
            </w:tcBorders>
            <w:shd w:val="clear" w:color="auto" w:fill="auto"/>
            <w:noWrap/>
            <w:vAlign w:val="center"/>
            <w:hideMark/>
          </w:tcPr>
          <w:p w14:paraId="10DCE2E5" w14:textId="77777777" w:rsidR="001E3E7D" w:rsidRPr="00410BD3" w:rsidRDefault="001E3E7D" w:rsidP="008265F0">
            <w:pPr>
              <w:spacing w:after="120" w:line="276" w:lineRule="auto"/>
              <w:rPr>
                <w:rFonts w:eastAsia="MS PGothic" w:cstheme="minorHAnsi"/>
                <w:color w:val="002060"/>
                <w:sz w:val="18"/>
                <w:szCs w:val="18"/>
                <w:lang w:val="sr-Cyrl-RS" w:eastAsia="ja-JP"/>
              </w:rPr>
            </w:pPr>
            <w:r w:rsidRPr="00410BD3">
              <w:rPr>
                <w:rFonts w:eastAsia="MS PGothic" w:cstheme="minorHAnsi"/>
                <w:color w:val="002060"/>
                <w:sz w:val="18"/>
                <w:szCs w:val="18"/>
                <w:lang w:val="sr-Cyrl-CS" w:eastAsia="ja-JP"/>
              </w:rPr>
              <w:t>„Tранснафта</w:t>
            </w:r>
            <w:r w:rsidR="00C6085C" w:rsidRPr="00410BD3">
              <w:rPr>
                <w:rFonts w:eastAsia="MS PGothic" w:cstheme="minorHAnsi"/>
                <w:color w:val="002060"/>
                <w:sz w:val="18"/>
                <w:szCs w:val="18"/>
                <w:lang w:val="sr-Cyrl-CS" w:eastAsia="ja-JP"/>
              </w:rPr>
              <w:t>”</w:t>
            </w:r>
            <w:r w:rsidR="00410BD3" w:rsidRPr="00410BD3">
              <w:rPr>
                <w:rFonts w:eastAsia="MS PGothic" w:cstheme="minorHAnsi"/>
                <w:color w:val="002060"/>
                <w:sz w:val="18"/>
                <w:szCs w:val="18"/>
                <w:lang w:val="sr-Cyrl-CS" w:eastAsia="ja-JP"/>
              </w:rPr>
              <w:t xml:space="preserve"> </w:t>
            </w:r>
            <w:r w:rsidR="00410BD3" w:rsidRPr="00410BD3">
              <w:rPr>
                <w:rFonts w:eastAsia="MS PGothic" w:cstheme="minorHAnsi"/>
                <w:color w:val="002060"/>
                <w:sz w:val="18"/>
                <w:szCs w:val="18"/>
                <w:lang w:val="sr-Cyrl-RS" w:eastAsia="ja-JP"/>
              </w:rPr>
              <w:t>а.д.</w:t>
            </w:r>
          </w:p>
        </w:tc>
        <w:tc>
          <w:tcPr>
            <w:tcW w:w="1937" w:type="dxa"/>
            <w:tcBorders>
              <w:top w:val="nil"/>
              <w:left w:val="nil"/>
              <w:bottom w:val="nil"/>
              <w:right w:val="nil"/>
            </w:tcBorders>
            <w:shd w:val="clear" w:color="auto" w:fill="auto"/>
            <w:noWrap/>
            <w:vAlign w:val="center"/>
            <w:hideMark/>
          </w:tcPr>
          <w:p w14:paraId="04F917A1"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148.815</w:t>
            </w:r>
          </w:p>
        </w:tc>
        <w:tc>
          <w:tcPr>
            <w:tcW w:w="1937" w:type="dxa"/>
            <w:tcBorders>
              <w:top w:val="nil"/>
              <w:left w:val="nil"/>
              <w:bottom w:val="nil"/>
              <w:right w:val="nil"/>
            </w:tcBorders>
            <w:shd w:val="clear" w:color="auto" w:fill="auto"/>
            <w:noWrap/>
            <w:vAlign w:val="center"/>
            <w:hideMark/>
          </w:tcPr>
          <w:p w14:paraId="630C23F3"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8.393</w:t>
            </w:r>
          </w:p>
        </w:tc>
        <w:tc>
          <w:tcPr>
            <w:tcW w:w="1938" w:type="dxa"/>
            <w:tcBorders>
              <w:top w:val="nil"/>
              <w:left w:val="nil"/>
              <w:bottom w:val="nil"/>
              <w:right w:val="nil"/>
            </w:tcBorders>
            <w:shd w:val="clear" w:color="auto" w:fill="auto"/>
            <w:noWrap/>
            <w:vAlign w:val="center"/>
            <w:hideMark/>
          </w:tcPr>
          <w:p w14:paraId="63CBFE6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-10.826</w:t>
            </w:r>
          </w:p>
        </w:tc>
      </w:tr>
      <w:tr w:rsidR="001E3E7D" w:rsidRPr="00594453" w14:paraId="2CEDF4F9" w14:textId="77777777" w:rsidTr="00180E21">
        <w:trPr>
          <w:trHeight w:hRule="exact" w:val="227"/>
        </w:trPr>
        <w:tc>
          <w:tcPr>
            <w:tcW w:w="3544" w:type="dxa"/>
            <w:tcBorders>
              <w:top w:val="nil"/>
              <w:left w:val="nil"/>
              <w:bottom w:val="nil"/>
              <w:right w:val="nil"/>
            </w:tcBorders>
            <w:shd w:val="clear" w:color="auto" w:fill="auto"/>
            <w:vAlign w:val="center"/>
            <w:hideMark/>
          </w:tcPr>
          <w:p w14:paraId="2EDE109E"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„Резерват Увац</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д.о.о.</w:t>
            </w:r>
          </w:p>
        </w:tc>
        <w:tc>
          <w:tcPr>
            <w:tcW w:w="1937" w:type="dxa"/>
            <w:tcBorders>
              <w:top w:val="nil"/>
              <w:left w:val="nil"/>
              <w:bottom w:val="nil"/>
              <w:right w:val="nil"/>
            </w:tcBorders>
            <w:shd w:val="clear" w:color="auto" w:fill="auto"/>
            <w:vAlign w:val="center"/>
            <w:hideMark/>
          </w:tcPr>
          <w:p w14:paraId="18305C1C"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3.48</w:t>
            </w:r>
            <w:r w:rsidRPr="00594453">
              <w:rPr>
                <w:rFonts w:eastAsia="MS PGothic" w:cstheme="minorHAnsi"/>
                <w:color w:val="002060"/>
                <w:sz w:val="18"/>
                <w:szCs w:val="18"/>
                <w:lang w:val="en-GB" w:eastAsia="ja-JP"/>
              </w:rPr>
              <w:t>0</w:t>
            </w:r>
          </w:p>
        </w:tc>
        <w:tc>
          <w:tcPr>
            <w:tcW w:w="1937" w:type="dxa"/>
            <w:tcBorders>
              <w:top w:val="nil"/>
              <w:left w:val="nil"/>
              <w:bottom w:val="nil"/>
              <w:right w:val="nil"/>
            </w:tcBorders>
            <w:shd w:val="clear" w:color="auto" w:fill="auto"/>
            <w:noWrap/>
            <w:vAlign w:val="center"/>
            <w:hideMark/>
          </w:tcPr>
          <w:p w14:paraId="124A686E"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851</w:t>
            </w:r>
          </w:p>
        </w:tc>
        <w:tc>
          <w:tcPr>
            <w:tcW w:w="1938" w:type="dxa"/>
            <w:tcBorders>
              <w:top w:val="nil"/>
              <w:left w:val="nil"/>
              <w:bottom w:val="nil"/>
              <w:right w:val="nil"/>
            </w:tcBorders>
            <w:shd w:val="clear" w:color="auto" w:fill="auto"/>
            <w:noWrap/>
            <w:vAlign w:val="center"/>
            <w:hideMark/>
          </w:tcPr>
          <w:p w14:paraId="4B94F7A9"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-1.386</w:t>
            </w:r>
          </w:p>
        </w:tc>
      </w:tr>
      <w:tr w:rsidR="001E3E7D" w:rsidRPr="00594453" w14:paraId="54DE3276" w14:textId="77777777" w:rsidTr="00180E21">
        <w:trPr>
          <w:trHeight w:hRule="exact" w:val="227"/>
        </w:trPr>
        <w:tc>
          <w:tcPr>
            <w:tcW w:w="3544" w:type="dxa"/>
            <w:tcBorders>
              <w:top w:val="nil"/>
              <w:left w:val="nil"/>
              <w:bottom w:val="nil"/>
              <w:right w:val="nil"/>
            </w:tcBorders>
            <w:shd w:val="clear" w:color="auto" w:fill="auto"/>
            <w:noWrap/>
            <w:vAlign w:val="center"/>
            <w:hideMark/>
          </w:tcPr>
          <w:p w14:paraId="3FDBC17C"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JП „Службени гласник</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noWrap/>
            <w:vAlign w:val="center"/>
            <w:hideMark/>
          </w:tcPr>
          <w:p w14:paraId="6C9A8165"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83.283</w:t>
            </w:r>
          </w:p>
        </w:tc>
        <w:tc>
          <w:tcPr>
            <w:tcW w:w="1937" w:type="dxa"/>
            <w:tcBorders>
              <w:top w:val="nil"/>
              <w:left w:val="nil"/>
              <w:bottom w:val="nil"/>
              <w:right w:val="nil"/>
            </w:tcBorders>
            <w:shd w:val="clear" w:color="auto" w:fill="auto"/>
            <w:noWrap/>
            <w:vAlign w:val="center"/>
            <w:hideMark/>
          </w:tcPr>
          <w:p w14:paraId="7E62E73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-915</w:t>
            </w:r>
          </w:p>
        </w:tc>
        <w:tc>
          <w:tcPr>
            <w:tcW w:w="1938" w:type="dxa"/>
            <w:tcBorders>
              <w:top w:val="nil"/>
              <w:left w:val="nil"/>
              <w:bottom w:val="nil"/>
              <w:right w:val="nil"/>
            </w:tcBorders>
            <w:shd w:val="clear" w:color="auto" w:fill="auto"/>
            <w:noWrap/>
            <w:vAlign w:val="center"/>
            <w:hideMark/>
          </w:tcPr>
          <w:p w14:paraId="334E1090"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-36.404</w:t>
            </w:r>
          </w:p>
        </w:tc>
      </w:tr>
      <w:tr w:rsidR="001E3E7D" w:rsidRPr="00594453" w14:paraId="1A3AA778" w14:textId="77777777" w:rsidTr="00180E21">
        <w:trPr>
          <w:trHeight w:hRule="exact" w:val="227"/>
        </w:trPr>
        <w:tc>
          <w:tcPr>
            <w:tcW w:w="3544" w:type="dxa"/>
            <w:tcBorders>
              <w:top w:val="nil"/>
              <w:left w:val="nil"/>
              <w:bottom w:val="nil"/>
              <w:right w:val="nil"/>
            </w:tcBorders>
            <w:shd w:val="clear" w:color="auto" w:fill="auto"/>
            <w:vAlign w:val="center"/>
            <w:hideMark/>
          </w:tcPr>
          <w:p w14:paraId="6B42C403"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410BD3">
              <w:rPr>
                <w:rFonts w:eastAsia="MS PGothic" w:cstheme="minorHAnsi"/>
                <w:color w:val="002060"/>
                <w:sz w:val="18"/>
                <w:szCs w:val="18"/>
                <w:lang w:val="sr-Cyrl-CS" w:eastAsia="ja-JP"/>
              </w:rPr>
              <w:t>JП „</w:t>
            </w:r>
            <w:r w:rsidR="00410BD3" w:rsidRPr="00410BD3">
              <w:rPr>
                <w:rFonts w:eastAsia="MS PGothic" w:cstheme="minorHAnsi"/>
                <w:color w:val="002060"/>
                <w:sz w:val="18"/>
                <w:szCs w:val="18"/>
                <w:lang w:val="sr-Cyrl-CS" w:eastAsia="ja-JP"/>
              </w:rPr>
              <w:t xml:space="preserve">НП </w:t>
            </w:r>
            <w:r w:rsidRPr="00410BD3">
              <w:rPr>
                <w:rFonts w:eastAsia="MS PGothic" w:cstheme="minorHAnsi"/>
                <w:color w:val="002060"/>
                <w:sz w:val="18"/>
                <w:szCs w:val="18"/>
                <w:lang w:val="sr-Cyrl-CS" w:eastAsia="ja-JP"/>
              </w:rPr>
              <w:t>Фрушка гора</w:t>
            </w:r>
            <w:r w:rsidR="00C6085C" w:rsidRPr="00410BD3">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vAlign w:val="center"/>
            <w:hideMark/>
          </w:tcPr>
          <w:p w14:paraId="7B669D8C"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13.225</w:t>
            </w:r>
          </w:p>
        </w:tc>
        <w:tc>
          <w:tcPr>
            <w:tcW w:w="1937" w:type="dxa"/>
            <w:tcBorders>
              <w:top w:val="nil"/>
              <w:left w:val="nil"/>
              <w:bottom w:val="nil"/>
              <w:right w:val="nil"/>
            </w:tcBorders>
            <w:shd w:val="clear" w:color="auto" w:fill="auto"/>
            <w:noWrap/>
            <w:vAlign w:val="center"/>
            <w:hideMark/>
          </w:tcPr>
          <w:p w14:paraId="2AB70ACF"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5.441</w:t>
            </w:r>
          </w:p>
        </w:tc>
        <w:tc>
          <w:tcPr>
            <w:tcW w:w="1938" w:type="dxa"/>
            <w:tcBorders>
              <w:top w:val="nil"/>
              <w:left w:val="nil"/>
              <w:bottom w:val="nil"/>
              <w:right w:val="nil"/>
            </w:tcBorders>
            <w:shd w:val="clear" w:color="auto" w:fill="auto"/>
            <w:noWrap/>
            <w:vAlign w:val="center"/>
            <w:hideMark/>
          </w:tcPr>
          <w:p w14:paraId="4B265FE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-5.305</w:t>
            </w:r>
          </w:p>
        </w:tc>
      </w:tr>
      <w:tr w:rsidR="001E3E7D" w:rsidRPr="00594453" w14:paraId="4BCBFDF4" w14:textId="77777777" w:rsidTr="00180E21">
        <w:trPr>
          <w:trHeight w:hRule="exact" w:val="227"/>
        </w:trPr>
        <w:tc>
          <w:tcPr>
            <w:tcW w:w="3544" w:type="dxa"/>
            <w:tcBorders>
              <w:top w:val="nil"/>
              <w:left w:val="nil"/>
              <w:bottom w:val="nil"/>
              <w:right w:val="nil"/>
            </w:tcBorders>
            <w:shd w:val="clear" w:color="auto" w:fill="auto"/>
            <w:noWrap/>
            <w:vAlign w:val="center"/>
            <w:hideMark/>
          </w:tcPr>
          <w:p w14:paraId="57376C0D"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„Инфраструктура железнице Србије</w:t>
            </w:r>
            <w:r w:rsidR="00C6085C" w:rsidRPr="00C6085C">
              <w:rPr>
                <w:rFonts w:eastAsia="MS PGothic" w:cstheme="minorHAnsi"/>
                <w:color w:val="002060"/>
                <w:sz w:val="18"/>
                <w:szCs w:val="18"/>
                <w:lang w:val="sr-Cyrl-CS" w:eastAsia="ja-JP"/>
              </w:rPr>
              <w:t>”</w:t>
            </w:r>
            <w:r w:rsidRPr="00594453">
              <w:rPr>
                <w:rFonts w:eastAsia="MS PGothic" w:cstheme="minorHAnsi"/>
                <w:color w:val="002060"/>
                <w:sz w:val="18"/>
                <w:szCs w:val="18"/>
                <w:lang w:val="sr-Cyrl-CS" w:eastAsia="ja-JP"/>
              </w:rPr>
              <w:t xml:space="preserve"> a.д.</w:t>
            </w:r>
          </w:p>
        </w:tc>
        <w:tc>
          <w:tcPr>
            <w:tcW w:w="1937" w:type="dxa"/>
            <w:tcBorders>
              <w:top w:val="nil"/>
              <w:left w:val="nil"/>
              <w:bottom w:val="nil"/>
              <w:right w:val="nil"/>
            </w:tcBorders>
            <w:shd w:val="clear" w:color="auto" w:fill="auto"/>
            <w:noWrap/>
            <w:vAlign w:val="center"/>
            <w:hideMark/>
          </w:tcPr>
          <w:p w14:paraId="0439172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-783.701</w:t>
            </w:r>
          </w:p>
        </w:tc>
        <w:tc>
          <w:tcPr>
            <w:tcW w:w="1937" w:type="dxa"/>
            <w:tcBorders>
              <w:top w:val="nil"/>
              <w:left w:val="nil"/>
              <w:bottom w:val="nil"/>
              <w:right w:val="nil"/>
            </w:tcBorders>
            <w:shd w:val="clear" w:color="auto" w:fill="auto"/>
            <w:noWrap/>
            <w:vAlign w:val="center"/>
            <w:hideMark/>
          </w:tcPr>
          <w:p w14:paraId="1D3AD4C5"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-155.185</w:t>
            </w:r>
          </w:p>
        </w:tc>
        <w:tc>
          <w:tcPr>
            <w:tcW w:w="1938" w:type="dxa"/>
            <w:tcBorders>
              <w:top w:val="nil"/>
              <w:left w:val="nil"/>
              <w:bottom w:val="nil"/>
              <w:right w:val="nil"/>
            </w:tcBorders>
            <w:shd w:val="clear" w:color="auto" w:fill="auto"/>
            <w:noWrap/>
            <w:vAlign w:val="center"/>
            <w:hideMark/>
          </w:tcPr>
          <w:p w14:paraId="75013E9D"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-691.405</w:t>
            </w:r>
          </w:p>
        </w:tc>
      </w:tr>
      <w:tr w:rsidR="001E3E7D" w:rsidRPr="00594453" w14:paraId="11235CB8" w14:textId="77777777" w:rsidTr="00180E21">
        <w:trPr>
          <w:trHeight w:hRule="exact" w:val="227"/>
        </w:trPr>
        <w:tc>
          <w:tcPr>
            <w:tcW w:w="3544" w:type="dxa"/>
            <w:tcBorders>
              <w:top w:val="nil"/>
              <w:left w:val="nil"/>
              <w:bottom w:val="nil"/>
              <w:right w:val="nil"/>
            </w:tcBorders>
            <w:shd w:val="clear" w:color="auto" w:fill="auto"/>
            <w:noWrap/>
            <w:vAlign w:val="center"/>
            <w:hideMark/>
          </w:tcPr>
          <w:p w14:paraId="6BDA4949"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ЈП Србијашуме</w:t>
            </w:r>
          </w:p>
        </w:tc>
        <w:tc>
          <w:tcPr>
            <w:tcW w:w="1937" w:type="dxa"/>
            <w:tcBorders>
              <w:top w:val="nil"/>
              <w:left w:val="nil"/>
              <w:bottom w:val="nil"/>
              <w:right w:val="nil"/>
            </w:tcBorders>
            <w:shd w:val="clear" w:color="auto" w:fill="auto"/>
            <w:noWrap/>
            <w:vAlign w:val="center"/>
            <w:hideMark/>
          </w:tcPr>
          <w:p w14:paraId="303A78F2"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485.378</w:t>
            </w:r>
          </w:p>
        </w:tc>
        <w:tc>
          <w:tcPr>
            <w:tcW w:w="1937" w:type="dxa"/>
            <w:tcBorders>
              <w:top w:val="nil"/>
              <w:left w:val="nil"/>
              <w:bottom w:val="nil"/>
              <w:right w:val="nil"/>
            </w:tcBorders>
            <w:shd w:val="clear" w:color="auto" w:fill="auto"/>
            <w:noWrap/>
            <w:vAlign w:val="center"/>
            <w:hideMark/>
          </w:tcPr>
          <w:p w14:paraId="4E3EA678"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-115.532</w:t>
            </w:r>
          </w:p>
        </w:tc>
        <w:tc>
          <w:tcPr>
            <w:tcW w:w="1938" w:type="dxa"/>
            <w:tcBorders>
              <w:top w:val="nil"/>
              <w:left w:val="nil"/>
              <w:bottom w:val="nil"/>
              <w:right w:val="nil"/>
            </w:tcBorders>
            <w:shd w:val="clear" w:color="auto" w:fill="auto"/>
            <w:noWrap/>
            <w:vAlign w:val="center"/>
            <w:hideMark/>
          </w:tcPr>
          <w:p w14:paraId="5485192B"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-70.568</w:t>
            </w:r>
          </w:p>
        </w:tc>
      </w:tr>
      <w:tr w:rsidR="001E3E7D" w:rsidRPr="00594453" w14:paraId="182DD8ED" w14:textId="77777777" w:rsidTr="00180E21">
        <w:trPr>
          <w:trHeight w:hRule="exact" w:val="227"/>
        </w:trPr>
        <w:tc>
          <w:tcPr>
            <w:tcW w:w="3544" w:type="dxa"/>
            <w:tcBorders>
              <w:top w:val="nil"/>
              <w:left w:val="nil"/>
              <w:bottom w:val="nil"/>
              <w:right w:val="nil"/>
            </w:tcBorders>
            <w:shd w:val="clear" w:color="auto" w:fill="auto"/>
            <w:noWrap/>
            <w:vAlign w:val="center"/>
            <w:hideMark/>
          </w:tcPr>
          <w:p w14:paraId="14A8A702"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ЈП „Емисиона техника и везе</w:t>
            </w:r>
            <w:r w:rsidR="00C6085C" w:rsidRPr="00C6085C">
              <w:rPr>
                <w:rFonts w:eastAsia="MS PGothic" w:cstheme="minorHAnsi"/>
                <w:color w:val="002060"/>
                <w:sz w:val="18"/>
                <w:szCs w:val="18"/>
                <w:lang w:val="sr-Cyrl-CS" w:eastAsia="ja-JP"/>
              </w:rPr>
              <w:t>”</w:t>
            </w:r>
          </w:p>
        </w:tc>
        <w:tc>
          <w:tcPr>
            <w:tcW w:w="1937" w:type="dxa"/>
            <w:tcBorders>
              <w:top w:val="nil"/>
              <w:left w:val="nil"/>
              <w:bottom w:val="nil"/>
              <w:right w:val="nil"/>
            </w:tcBorders>
            <w:shd w:val="clear" w:color="auto" w:fill="auto"/>
            <w:noWrap/>
            <w:vAlign w:val="center"/>
            <w:hideMark/>
          </w:tcPr>
          <w:p w14:paraId="251BB8FE"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8.324</w:t>
            </w:r>
          </w:p>
        </w:tc>
        <w:tc>
          <w:tcPr>
            <w:tcW w:w="1937" w:type="dxa"/>
            <w:tcBorders>
              <w:top w:val="nil"/>
              <w:left w:val="nil"/>
              <w:bottom w:val="nil"/>
              <w:right w:val="nil"/>
            </w:tcBorders>
            <w:shd w:val="clear" w:color="auto" w:fill="auto"/>
            <w:noWrap/>
            <w:vAlign w:val="center"/>
            <w:hideMark/>
          </w:tcPr>
          <w:p w14:paraId="3394A3C5"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-41.977</w:t>
            </w:r>
          </w:p>
        </w:tc>
        <w:tc>
          <w:tcPr>
            <w:tcW w:w="1938" w:type="dxa"/>
            <w:tcBorders>
              <w:top w:val="nil"/>
              <w:left w:val="nil"/>
              <w:bottom w:val="nil"/>
              <w:right w:val="nil"/>
            </w:tcBorders>
            <w:shd w:val="clear" w:color="auto" w:fill="auto"/>
            <w:noWrap/>
            <w:vAlign w:val="center"/>
            <w:hideMark/>
          </w:tcPr>
          <w:p w14:paraId="685B7895"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-16.105</w:t>
            </w:r>
          </w:p>
        </w:tc>
      </w:tr>
      <w:tr w:rsidR="001E3E7D" w:rsidRPr="00594453" w14:paraId="70BE7AED" w14:textId="77777777" w:rsidTr="00180E21">
        <w:trPr>
          <w:trHeight w:hRule="exact" w:val="227"/>
        </w:trPr>
        <w:tc>
          <w:tcPr>
            <w:tcW w:w="3544" w:type="dxa"/>
            <w:tcBorders>
              <w:top w:val="single" w:sz="8" w:space="0" w:color="002060"/>
              <w:left w:val="nil"/>
              <w:bottom w:val="single" w:sz="8" w:space="0" w:color="002060"/>
              <w:right w:val="nil"/>
            </w:tcBorders>
            <w:shd w:val="clear" w:color="auto" w:fill="auto"/>
            <w:noWrap/>
            <w:vAlign w:val="center"/>
            <w:hideMark/>
          </w:tcPr>
          <w:p w14:paraId="31E7CC0C" w14:textId="77777777" w:rsidR="001E3E7D" w:rsidRPr="00594453" w:rsidRDefault="001E3E7D" w:rsidP="008265F0">
            <w:pPr>
              <w:spacing w:after="120" w:line="276" w:lineRule="auto"/>
              <w:rPr>
                <w:rFonts w:eastAsia="MS PGothic" w:cstheme="minorHAnsi"/>
                <w:color w:val="002060"/>
                <w:sz w:val="18"/>
                <w:szCs w:val="18"/>
                <w:lang w:val="en-GB" w:eastAsia="ja-JP"/>
              </w:rPr>
            </w:pPr>
            <w:r w:rsidRPr="00594453">
              <w:rPr>
                <w:rFonts w:eastAsia="MS PGothic" w:cstheme="minorHAnsi"/>
                <w:color w:val="002060"/>
                <w:sz w:val="18"/>
                <w:szCs w:val="18"/>
                <w:lang w:val="sr-Cyrl-CS" w:eastAsia="ja-JP"/>
              </w:rPr>
              <w:t>Укупно</w:t>
            </w:r>
          </w:p>
        </w:tc>
        <w:tc>
          <w:tcPr>
            <w:tcW w:w="1937" w:type="dxa"/>
            <w:tcBorders>
              <w:top w:val="single" w:sz="8" w:space="0" w:color="002060"/>
              <w:left w:val="nil"/>
              <w:bottom w:val="single" w:sz="8" w:space="0" w:color="002060"/>
              <w:right w:val="nil"/>
            </w:tcBorders>
            <w:shd w:val="clear" w:color="auto" w:fill="auto"/>
            <w:noWrap/>
            <w:vAlign w:val="center"/>
            <w:hideMark/>
          </w:tcPr>
          <w:p w14:paraId="248BBAEF"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-5.309.563 </w:t>
            </w:r>
          </w:p>
        </w:tc>
        <w:tc>
          <w:tcPr>
            <w:tcW w:w="1937" w:type="dxa"/>
            <w:tcBorders>
              <w:top w:val="single" w:sz="8" w:space="0" w:color="002060"/>
              <w:left w:val="nil"/>
              <w:bottom w:val="single" w:sz="8" w:space="0" w:color="002060"/>
              <w:right w:val="nil"/>
            </w:tcBorders>
            <w:shd w:val="clear" w:color="auto" w:fill="auto"/>
            <w:noWrap/>
            <w:vAlign w:val="center"/>
            <w:hideMark/>
          </w:tcPr>
          <w:p w14:paraId="1F8F1CBF"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-2.756.007 </w:t>
            </w:r>
          </w:p>
        </w:tc>
        <w:tc>
          <w:tcPr>
            <w:tcW w:w="1938" w:type="dxa"/>
            <w:tcBorders>
              <w:top w:val="single" w:sz="8" w:space="0" w:color="002060"/>
              <w:left w:val="nil"/>
              <w:bottom w:val="single" w:sz="8" w:space="0" w:color="002060"/>
              <w:right w:val="nil"/>
            </w:tcBorders>
            <w:shd w:val="clear" w:color="auto" w:fill="auto"/>
            <w:noWrap/>
            <w:vAlign w:val="center"/>
            <w:hideMark/>
          </w:tcPr>
          <w:p w14:paraId="504E8E86" w14:textId="77777777" w:rsidR="001E3E7D" w:rsidRPr="00594453" w:rsidRDefault="001E3E7D" w:rsidP="008265F0">
            <w:pPr>
              <w:spacing w:after="120" w:line="276" w:lineRule="auto"/>
              <w:jc w:val="right"/>
              <w:rPr>
                <w:rFonts w:eastAsia="MS PGothic" w:cstheme="minorHAnsi"/>
                <w:color w:val="002060"/>
                <w:sz w:val="18"/>
                <w:szCs w:val="18"/>
                <w:lang w:val="en-GB" w:eastAsia="ja-JP"/>
              </w:rPr>
            </w:pPr>
            <w:r w:rsidRPr="00594453">
              <w:rPr>
                <w:rFonts w:eastAsia="MS PGothic" w:cstheme="minorHAnsi"/>
                <w:color w:val="002060"/>
                <w:sz w:val="18"/>
                <w:szCs w:val="18"/>
                <w:lang w:val="en-GB" w:eastAsia="ja-JP"/>
              </w:rPr>
              <w:t>-2.451.024 </w:t>
            </w:r>
          </w:p>
        </w:tc>
      </w:tr>
    </w:tbl>
    <w:p w14:paraId="567EC48A" w14:textId="77777777" w:rsidR="001E3E7D" w:rsidRPr="00AE36A5" w:rsidRDefault="001E3E7D" w:rsidP="008265F0">
      <w:pPr>
        <w:spacing w:after="0" w:line="276" w:lineRule="auto"/>
        <w:rPr>
          <w:rFonts w:eastAsia="MS PGothic" w:cstheme="minorHAnsi"/>
          <w:sz w:val="16"/>
          <w:szCs w:val="16"/>
          <w:lang w:val="sr-Cyrl-CS" w:eastAsia="ja-JP"/>
        </w:rPr>
        <w:sectPr w:rsidR="001E3E7D" w:rsidRPr="00AE36A5" w:rsidSect="009B76B2">
          <w:type w:val="continuous"/>
          <w:pgSz w:w="12240" w:h="15840" w:code="1"/>
          <w:pgMar w:top="1440" w:right="1440" w:bottom="1440" w:left="1440" w:header="720" w:footer="720" w:gutter="0"/>
          <w:cols w:space="720"/>
          <w:docGrid w:linePitch="360"/>
        </w:sectPr>
      </w:pPr>
      <w:r w:rsidRPr="00AE36A5">
        <w:rPr>
          <w:rFonts w:eastAsia="MS PGothic" w:cstheme="minorHAnsi"/>
          <w:sz w:val="16"/>
          <w:szCs w:val="16"/>
          <w:lang w:val="sr-Cyrl-CS" w:eastAsia="ja-JP"/>
        </w:rPr>
        <w:t>Извор: Финансијски извештаји за 2020. годину и квартални извештаји Минис</w:t>
      </w:r>
      <w:r>
        <w:rPr>
          <w:rFonts w:eastAsia="MS PGothic" w:cstheme="minorHAnsi"/>
          <w:sz w:val="16"/>
          <w:szCs w:val="16"/>
          <w:lang w:val="sr-Cyrl-CS" w:eastAsia="ja-JP"/>
        </w:rPr>
        <w:t>тарства привреде за 2021. годину</w:t>
      </w:r>
    </w:p>
    <w:p w14:paraId="5846D872" w14:textId="77777777" w:rsidR="001E3E7D" w:rsidRPr="00347E91" w:rsidRDefault="001E3E7D" w:rsidP="008265F0">
      <w:pPr>
        <w:spacing w:after="120" w:line="276" w:lineRule="auto"/>
        <w:rPr>
          <w:rFonts w:eastAsia="MS PGothic" w:cstheme="minorHAnsi"/>
          <w:szCs w:val="20"/>
          <w:lang w:val="sr-Cyrl-CS" w:eastAsia="ja-JP"/>
        </w:rPr>
        <w:sectPr w:rsidR="001E3E7D" w:rsidRPr="00347E91" w:rsidSect="009B76B2">
          <w:type w:val="continuous"/>
          <w:pgSz w:w="12240" w:h="15840" w:code="1"/>
          <w:pgMar w:top="1440" w:right="1440" w:bottom="1440" w:left="1440" w:header="720" w:footer="720" w:gutter="0"/>
          <w:cols w:num="2" w:space="720"/>
          <w:docGrid w:linePitch="360"/>
        </w:sectPr>
      </w:pPr>
    </w:p>
    <w:p w14:paraId="30EA5FFC" w14:textId="77777777" w:rsidR="00594453" w:rsidRDefault="001E3E7D" w:rsidP="008E67C1">
      <w:pPr>
        <w:rPr>
          <w:rFonts w:eastAsia="MS PGothic" w:cstheme="minorHAnsi"/>
          <w:szCs w:val="20"/>
          <w:lang w:val="sr-Cyrl-CS" w:eastAsia="ja-JP"/>
        </w:rPr>
      </w:pPr>
      <w:r w:rsidRPr="00347E91">
        <w:rPr>
          <w:rFonts w:eastAsia="MS PGothic" w:cstheme="minorHAnsi"/>
          <w:szCs w:val="20"/>
          <w:lang w:val="sr-Cyrl-CS" w:eastAsia="ja-JP"/>
        </w:rPr>
        <w:t>У циљу умањења фискалних ризика повезаних са пословањем јавних предузећа у току су процеси реструктурирања највећих јавних предузећа (групе предузећа које се баве железничким саобраћајем – „Железнице Србије</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а.д, „Инфраструктура железнице Србије</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а.д, „Србија Воз</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а.д, „Србија Карго</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а.д, ЈП ЕПС и ЈП „Србијагас</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Целокупан процес се спроводи у сарадњи за водећим светским финансијским институцијама – ММФ, Светском банком и Европском банком за обнову и развој (у даљем тексту: ЕБРД), како би се ова предузећа поставила на здраве основе и почела да функционишу по тржишном принципу, те умањили потенцијални фискални трошкови који могу </w:t>
      </w:r>
      <w:r w:rsidR="00594453">
        <w:rPr>
          <w:rFonts w:eastAsia="MS PGothic" w:cstheme="minorHAnsi"/>
          <w:szCs w:val="20"/>
          <w:lang w:val="sr-Cyrl-CS" w:eastAsia="ja-JP"/>
        </w:rPr>
        <w:t>проистећи из њиховог пословања.</w:t>
      </w:r>
    </w:p>
    <w:p w14:paraId="2A7126D5" w14:textId="77777777" w:rsidR="001E3E7D" w:rsidRPr="003907FA" w:rsidRDefault="001E3E7D" w:rsidP="008E67C1">
      <w:pPr>
        <w:rPr>
          <w:rFonts w:cstheme="minorHAnsi"/>
          <w:b/>
          <w:bCs/>
          <w:color w:val="2F5496" w:themeColor="accent1" w:themeShade="BF"/>
          <w:sz w:val="22"/>
          <w:szCs w:val="20"/>
          <w:lang w:val="sr-Cyrl-RS"/>
        </w:rPr>
      </w:pPr>
      <w:r w:rsidRPr="003907FA">
        <w:rPr>
          <w:rFonts w:cstheme="minorHAnsi"/>
          <w:b/>
          <w:bCs/>
          <w:color w:val="2F5496" w:themeColor="accent1" w:themeShade="BF"/>
          <w:sz w:val="22"/>
          <w:szCs w:val="20"/>
          <w:lang w:val="sr-Cyrl-RS"/>
        </w:rPr>
        <w:t>Уплата добити</w:t>
      </w:r>
    </w:p>
    <w:p w14:paraId="51EB7C84" w14:textId="77777777" w:rsidR="001E3E7D" w:rsidRPr="00347E91" w:rsidRDefault="001E3E7D" w:rsidP="008E67C1">
      <w:pPr>
        <w:rPr>
          <w:rFonts w:eastAsia="MS PGothic" w:cstheme="minorHAnsi"/>
          <w:bCs/>
          <w:szCs w:val="20"/>
          <w:lang w:val="sr-Cyrl-CS" w:eastAsia="ja-JP"/>
        </w:rPr>
      </w:pPr>
      <w:r w:rsidRPr="00347E91">
        <w:rPr>
          <w:rFonts w:eastAsia="MS PGothic" w:cstheme="minorHAnsi"/>
          <w:szCs w:val="20"/>
          <w:lang w:val="sr-Cyrl-CS" w:eastAsia="ja-JP"/>
        </w:rPr>
        <w:t xml:space="preserve">Уплата добити од стране јавних предузећа и дивиденди друштава капитала у којима држава има власништво представљају значајан део непореских прихода. Од успешности пословања </w:t>
      </w:r>
      <w:r w:rsidRPr="00347E91">
        <w:rPr>
          <w:rFonts w:eastAsia="MS PGothic" w:cstheme="minorHAnsi"/>
          <w:szCs w:val="20"/>
          <w:lang w:val="sr-Cyrl-CS" w:eastAsia="ja-JP"/>
        </w:rPr>
        <w:t>ових предузећа зависи и висина прихода</w:t>
      </w:r>
      <w:r w:rsidRPr="00347E91">
        <w:rPr>
          <w:rFonts w:eastAsia="MS PGothic" w:cstheme="minorHAnsi"/>
          <w:bCs/>
          <w:szCs w:val="20"/>
          <w:lang w:val="sr-Cyrl-CS" w:eastAsia="ja-JP"/>
        </w:rPr>
        <w:t xml:space="preserve"> буџета по овом основу. Уплата редовне добити и дивиденди је редован буџетски непорески приход, док се уплате из нераспоређене добити третирају као приход са једнократним карактером и не представљају трајни извор прихода.</w:t>
      </w:r>
    </w:p>
    <w:p w14:paraId="5214A433" w14:textId="77777777" w:rsidR="001E3E7D" w:rsidRPr="00347E91" w:rsidRDefault="001E3E7D" w:rsidP="008E67C1">
      <w:pPr>
        <w:rPr>
          <w:rFonts w:eastAsia="MS PGothic" w:cstheme="minorHAnsi"/>
          <w:szCs w:val="20"/>
          <w:lang w:val="sr-Cyrl-CS" w:eastAsia="ja-JP"/>
        </w:rPr>
      </w:pPr>
      <w:r w:rsidRPr="00347E91">
        <w:rPr>
          <w:rFonts w:eastAsia="MS PGothic" w:cstheme="minorHAnsi"/>
          <w:szCs w:val="20"/>
          <w:lang w:val="sr-Cyrl-CS" w:eastAsia="ja-JP"/>
        </w:rPr>
        <w:t>Обавеза за јавна предузећа да уплате најмање 50% добити остварене у претходној години прописана је и Законом о буџету Републике Србије за 20</w:t>
      </w:r>
      <w:r w:rsidRPr="00347E91">
        <w:rPr>
          <w:rFonts w:eastAsia="MS PGothic" w:cstheme="minorHAnsi"/>
          <w:szCs w:val="20"/>
          <w:lang w:val="sr-Latn-RS" w:eastAsia="ja-JP"/>
        </w:rPr>
        <w:t>21</w:t>
      </w:r>
      <w:r w:rsidRPr="00347E91">
        <w:rPr>
          <w:rFonts w:eastAsia="MS PGothic" w:cstheme="minorHAnsi"/>
          <w:szCs w:val="20"/>
          <w:lang w:val="sr-Cyrl-CS" w:eastAsia="ja-JP"/>
        </w:rPr>
        <w:t>. годину.</w:t>
      </w:r>
    </w:p>
    <w:p w14:paraId="7CEC26F8" w14:textId="77777777" w:rsidR="001E3E7D" w:rsidRPr="00347E91" w:rsidRDefault="001E3E7D" w:rsidP="008E67C1">
      <w:pPr>
        <w:rPr>
          <w:rFonts w:eastAsia="MS PGothic" w:cstheme="minorHAnsi"/>
          <w:bCs/>
          <w:szCs w:val="20"/>
          <w:lang w:val="sr-Cyrl-CS" w:eastAsia="ja-JP"/>
        </w:rPr>
      </w:pPr>
      <w:r w:rsidRPr="00347E91">
        <w:rPr>
          <w:rFonts w:eastAsia="MS PGothic" w:cstheme="minorHAnsi"/>
          <w:szCs w:val="20"/>
          <w:lang w:val="sr-Cyrl-CS" w:eastAsia="ja-JP"/>
        </w:rPr>
        <w:t>Ублажавање потенцијалних ризика, који настају као последица пословања јавних предузећа, обухвата низ мера везаних за одговорност, профитабилност и транспарентност у пословању ових предузећа. Процеси реструктурирања</w:t>
      </w:r>
      <w:r w:rsidRPr="00347E91">
        <w:rPr>
          <w:rFonts w:eastAsia="MS PGothic" w:cstheme="minorHAnsi"/>
          <w:bCs/>
          <w:szCs w:val="20"/>
          <w:lang w:val="sr-Cyrl-CS" w:eastAsia="ja-JP"/>
        </w:rPr>
        <w:t xml:space="preserve"> покренути су у ЈП ЕПС, ЈП „Србијагас</w:t>
      </w:r>
      <w:r w:rsidR="00C6085C" w:rsidRPr="00C6085C">
        <w:rPr>
          <w:rFonts w:eastAsia="MS PGothic" w:cstheme="minorHAnsi"/>
          <w:szCs w:val="20"/>
          <w:lang w:val="sr-Cyrl-CS" w:eastAsia="ja-JP"/>
        </w:rPr>
        <w:t>”</w:t>
      </w:r>
      <w:r w:rsidRPr="00347E91">
        <w:rPr>
          <w:rFonts w:eastAsia="MS PGothic" w:cstheme="minorHAnsi"/>
          <w:bCs/>
          <w:szCs w:val="20"/>
          <w:lang w:val="sr-Cyrl-CS" w:eastAsia="ja-JP"/>
        </w:rPr>
        <w:t xml:space="preserve"> и „Железнице Србије” а.д, при чему ће од успешности самог процеса реструктурирања и брзине спровођења усвојених мера зависити ефикасност пословања у будућности.</w:t>
      </w:r>
    </w:p>
    <w:p w14:paraId="0A9FEE42" w14:textId="77777777" w:rsidR="001E3E7D" w:rsidRDefault="001E3E7D" w:rsidP="008265F0">
      <w:pPr>
        <w:spacing w:after="120" w:line="276" w:lineRule="auto"/>
        <w:rPr>
          <w:rFonts w:eastAsia="MS PGothic" w:cstheme="minorHAnsi"/>
          <w:bCs/>
          <w:szCs w:val="20"/>
          <w:lang w:val="sr-Cyrl-CS" w:eastAsia="ja-JP"/>
        </w:rPr>
        <w:sectPr w:rsidR="001E3E7D" w:rsidSect="008265F0">
          <w:headerReference w:type="even" r:id="rId131"/>
          <w:headerReference w:type="default" r:id="rId132"/>
          <w:footerReference w:type="even" r:id="rId133"/>
          <w:footerReference w:type="default" r:id="rId134"/>
          <w:headerReference w:type="first" r:id="rId135"/>
          <w:type w:val="continuous"/>
          <w:pgSz w:w="12240" w:h="15840" w:code="1"/>
          <w:pgMar w:top="1440" w:right="1440" w:bottom="1440" w:left="1440" w:header="720" w:footer="720" w:gutter="0"/>
          <w:cols w:num="2" w:space="720"/>
          <w:docGrid w:linePitch="360"/>
        </w:sectPr>
      </w:pPr>
    </w:p>
    <w:p w14:paraId="34841EB0" w14:textId="77777777" w:rsidR="001E3E7D" w:rsidRPr="00347E91" w:rsidRDefault="001E3E7D" w:rsidP="008265F0">
      <w:pPr>
        <w:spacing w:after="120" w:line="276" w:lineRule="auto"/>
        <w:rPr>
          <w:rFonts w:eastAsia="MS PGothic" w:cstheme="minorHAnsi"/>
          <w:bCs/>
          <w:szCs w:val="20"/>
          <w:lang w:val="sr-Cyrl-CS" w:eastAsia="ja-JP"/>
        </w:rPr>
      </w:pPr>
      <w:r w:rsidRPr="00347E91">
        <w:rPr>
          <w:rFonts w:eastAsia="MS PGothic" w:cstheme="minorHAnsi"/>
          <w:bCs/>
          <w:szCs w:val="20"/>
          <w:lang w:val="sr-Cyrl-CS" w:eastAsia="ja-JP"/>
        </w:rPr>
        <w:br w:type="page"/>
      </w:r>
    </w:p>
    <w:p w14:paraId="4B9A0F11" w14:textId="77777777" w:rsidR="001E3E7D" w:rsidRPr="003907FA" w:rsidRDefault="001E3E7D" w:rsidP="00C6079A">
      <w:pPr>
        <w:jc w:val="left"/>
        <w:rPr>
          <w:rFonts w:cstheme="minorHAnsi"/>
          <w:b/>
          <w:bCs/>
          <w:color w:val="2F5496" w:themeColor="accent1" w:themeShade="BF"/>
          <w:sz w:val="22"/>
          <w:szCs w:val="20"/>
          <w:lang w:val="sr-Cyrl-RS"/>
        </w:rPr>
      </w:pPr>
      <w:r w:rsidRPr="003907FA">
        <w:rPr>
          <w:rFonts w:cstheme="minorHAnsi"/>
          <w:b/>
          <w:bCs/>
          <w:color w:val="2F5496" w:themeColor="accent1" w:themeShade="BF"/>
          <w:sz w:val="22"/>
          <w:szCs w:val="20"/>
          <w:lang w:val="sr-Cyrl-RS"/>
        </w:rPr>
        <w:lastRenderedPageBreak/>
        <w:t>Државне финансијске институције, банкарски систем и осигурање депозита</w:t>
      </w:r>
    </w:p>
    <w:p w14:paraId="7040E3CD"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Пре периода фискалне консолидације Република Србија имала је значајне фискалне трошкове спашавања државних банака. Укупни трошкови државних интервенција у банкарском сектору у периоду 2012–2015. године износили су око 900 милиона евра. То је износ издвојен за докапитализацију банака, различите финансијске трансакције приликом припајања неуспешних банака успешнијим, укључујући и исплату осигураних и неосигураних депозита (за шта су коришћена и средства Фонда за осигурање депозита).</w:t>
      </w:r>
    </w:p>
    <w:p w14:paraId="04702D82"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Република Србија данас у банкарском сектору земље има директан удео у капиталу:</w:t>
      </w:r>
    </w:p>
    <w:p w14:paraId="5E8E756B" w14:textId="77777777" w:rsidR="001E3E7D" w:rsidRPr="00B605F7" w:rsidRDefault="001E3E7D" w:rsidP="00C6079A">
      <w:pPr>
        <w:numPr>
          <w:ilvl w:val="0"/>
          <w:numId w:val="45"/>
        </w:numPr>
        <w:ind w:left="454" w:hanging="227"/>
        <w:contextualSpacing/>
        <w:jc w:val="left"/>
        <w:rPr>
          <w:rFonts w:eastAsia="MS PGothic" w:cstheme="minorHAnsi"/>
          <w:szCs w:val="20"/>
          <w:lang w:val="sr-Cyrl-RS" w:eastAsia="ja-JP"/>
        </w:rPr>
      </w:pPr>
      <w:r w:rsidRPr="00B605F7">
        <w:rPr>
          <w:rFonts w:eastAsia="MS PGothic" w:cstheme="minorHAnsi"/>
          <w:szCs w:val="20"/>
          <w:lang w:val="sr-Cyrl-RS" w:eastAsia="ja-JP"/>
        </w:rPr>
        <w:t>Банке Поштанска штедионица а.д. Београд (79,01%),</w:t>
      </w:r>
    </w:p>
    <w:p w14:paraId="1A3B759F" w14:textId="77777777" w:rsidR="001E3E7D" w:rsidRPr="00B605F7" w:rsidRDefault="001E3E7D" w:rsidP="00C6079A">
      <w:pPr>
        <w:numPr>
          <w:ilvl w:val="0"/>
          <w:numId w:val="45"/>
        </w:numPr>
        <w:ind w:left="454" w:hanging="227"/>
        <w:jc w:val="left"/>
        <w:rPr>
          <w:rFonts w:eastAsia="MS PGothic" w:cstheme="minorHAnsi"/>
          <w:szCs w:val="20"/>
          <w:lang w:val="sr-Cyrl-RS" w:eastAsia="ja-JP"/>
        </w:rPr>
      </w:pPr>
      <w:r w:rsidRPr="00B605F7">
        <w:rPr>
          <w:rFonts w:eastAsia="MS PGothic" w:cstheme="minorHAnsi"/>
          <w:szCs w:val="20"/>
          <w:lang w:val="sr-Cyrl-RS" w:eastAsia="ja-JP"/>
        </w:rPr>
        <w:t>Српске банке а.д</w:t>
      </w:r>
      <w:r w:rsidRPr="00B605F7">
        <w:rPr>
          <w:rFonts w:eastAsia="MS PGothic" w:cstheme="minorHAnsi"/>
          <w:szCs w:val="20"/>
          <w:lang w:val="sr-Latn-RS" w:eastAsia="ja-JP"/>
        </w:rPr>
        <w:t>.</w:t>
      </w:r>
      <w:r w:rsidRPr="00B605F7">
        <w:rPr>
          <w:rFonts w:eastAsia="MS PGothic" w:cstheme="minorHAnsi"/>
          <w:szCs w:val="20"/>
          <w:lang w:val="sr-Cyrl-RS" w:eastAsia="ja-JP"/>
        </w:rPr>
        <w:t xml:space="preserve"> Београд (76,69%).</w:t>
      </w:r>
    </w:p>
    <w:p w14:paraId="761C0FE1"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 циљу доследног спровођења излазне стратегије и смањења фискалних ризика по овом основу настављају се реформске активности у области државних финансијских институција започете 2012. године, односно 2015. године.</w:t>
      </w:r>
    </w:p>
    <w:p w14:paraId="2D9A10A4"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Банка Поштанска штедионица. Уз подршку Светске банке наставиће се са спровођењем стратегије за Банку Поштанска штедионица са нагласком на преусмеравање пословања са становништвом, предузетницима, микропредузећима и малим предузећима; побољшање интерне организације банке, корпоративног управљања и управљања ризиком; јачање ИТ инфраструктуре, као и план пословања за период 2020–2022. године.</w:t>
      </w:r>
    </w:p>
    <w:p w14:paraId="0A7D3E9F"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Како би се омогућило ублажавање економских и финансијских последица, насталих услед пандемије болести COVID-19 изазване вирусом SARS-CoV-2, Банци је омогућено да у потпуности примењује Уредбу о утврђивању гарантне шеме као мера подршке привреди за ублажавање последица пандемије болести COVID-19 изазване вирусом SARS-CоV-2, затим, пласира средства јединицама локалне самоуправе, а елиминисани </w:t>
      </w:r>
      <w:r w:rsidRPr="00B605F7">
        <w:rPr>
          <w:rFonts w:eastAsia="MS PGothic" w:cstheme="minorHAnsi"/>
          <w:szCs w:val="20"/>
          <w:lang w:val="sr-Cyrl-RS" w:eastAsia="ja-JP"/>
        </w:rPr>
        <w:t>су и лимити изложености према привредним друштвима која су до тада постојала у случају Банке Поштанска штедионица.</w:t>
      </w:r>
    </w:p>
    <w:p w14:paraId="01D8017A"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Комерцијална банка. Дана 26. фебруара 2020. године закључен је Уговор о купопродаји акција у вези са 83,23% обичних акција Комерцијалне банке а.д. Београд између Републике Србије и Nove Ljubljanske banke d.d. Ljubljana. Завршетак трансакције (пренос власништва и исплата купопродајне цене) реализован је 30. децембра 2020. године.</w:t>
      </w:r>
    </w:p>
    <w:p w14:paraId="56BD6323" w14:textId="77777777" w:rsidR="001E3E7D" w:rsidRPr="00D80AF7" w:rsidRDefault="001E3E7D" w:rsidP="00C6079A">
      <w:pPr>
        <w:rPr>
          <w:rFonts w:eastAsia="MS PGothic" w:cstheme="minorHAnsi"/>
          <w:spacing w:val="-2"/>
          <w:szCs w:val="20"/>
          <w:lang w:val="sr-Cyrl-RS" w:eastAsia="ja-JP"/>
        </w:rPr>
      </w:pPr>
      <w:r w:rsidRPr="00D80AF7">
        <w:rPr>
          <w:rFonts w:eastAsia="MS PGothic" w:cstheme="minorHAnsi"/>
          <w:spacing w:val="-2"/>
          <w:szCs w:val="20"/>
          <w:lang w:val="sr-Cyrl-RS" w:eastAsia="ja-JP"/>
        </w:rPr>
        <w:t>Српска банка. У складу са Владином стратегијом за државне банке, формирана је Стручна радна група за тр</w:t>
      </w:r>
      <w:r w:rsidR="003A25EF">
        <w:rPr>
          <w:rFonts w:eastAsia="MS PGothic" w:cstheme="minorHAnsi"/>
          <w:spacing w:val="-2"/>
          <w:szCs w:val="20"/>
          <w:lang w:val="sr-Cyrl-RS" w:eastAsia="ja-JP"/>
        </w:rPr>
        <w:t>а</w:t>
      </w:r>
      <w:r w:rsidRPr="00D80AF7">
        <w:rPr>
          <w:rFonts w:eastAsia="MS PGothic" w:cstheme="minorHAnsi"/>
          <w:spacing w:val="-2"/>
          <w:szCs w:val="20"/>
          <w:lang w:val="sr-Cyrl-RS" w:eastAsia="ja-JP"/>
        </w:rPr>
        <w:t>нсф</w:t>
      </w:r>
      <w:r w:rsidR="003A25EF">
        <w:rPr>
          <w:rFonts w:eastAsia="MS PGothic" w:cstheme="minorHAnsi"/>
          <w:spacing w:val="-2"/>
          <w:szCs w:val="20"/>
          <w:lang w:val="sr-Cyrl-RS" w:eastAsia="ja-JP"/>
        </w:rPr>
        <w:t>о</w:t>
      </w:r>
      <w:r w:rsidRPr="00D80AF7">
        <w:rPr>
          <w:rFonts w:eastAsia="MS PGothic" w:cstheme="minorHAnsi"/>
          <w:spacing w:val="-2"/>
          <w:szCs w:val="20"/>
          <w:lang w:val="sr-Cyrl-RS" w:eastAsia="ja-JP"/>
        </w:rPr>
        <w:t>рм</w:t>
      </w:r>
      <w:r w:rsidR="003A25EF">
        <w:rPr>
          <w:rFonts w:eastAsia="MS PGothic" w:cstheme="minorHAnsi"/>
          <w:spacing w:val="-2"/>
          <w:szCs w:val="20"/>
          <w:lang w:val="sr-Cyrl-RS" w:eastAsia="ja-JP"/>
        </w:rPr>
        <w:t>а</w:t>
      </w:r>
      <w:r w:rsidRPr="00D80AF7">
        <w:rPr>
          <w:rFonts w:eastAsia="MS PGothic" w:cstheme="minorHAnsi"/>
          <w:spacing w:val="-2"/>
          <w:szCs w:val="20"/>
          <w:lang w:val="sr-Cyrl-RS" w:eastAsia="ja-JP"/>
        </w:rPr>
        <w:t>ци</w:t>
      </w:r>
      <w:r w:rsidR="003A25EF">
        <w:rPr>
          <w:rFonts w:eastAsia="MS PGothic" w:cstheme="minorHAnsi"/>
          <w:spacing w:val="-2"/>
          <w:szCs w:val="20"/>
          <w:lang w:val="sr-Cyrl-RS" w:eastAsia="ja-JP"/>
        </w:rPr>
        <w:t>ј</w:t>
      </w:r>
      <w:r w:rsidRPr="00D80AF7">
        <w:rPr>
          <w:rFonts w:eastAsia="MS PGothic" w:cstheme="minorHAnsi"/>
          <w:spacing w:val="-2"/>
          <w:szCs w:val="20"/>
          <w:lang w:val="sr-Cyrl-RS" w:eastAsia="ja-JP"/>
        </w:rPr>
        <w:t>у Српске банке у сп</w:t>
      </w:r>
      <w:r w:rsidR="003A25EF">
        <w:rPr>
          <w:rFonts w:eastAsia="MS PGothic" w:cstheme="minorHAnsi"/>
          <w:spacing w:val="-2"/>
          <w:szCs w:val="20"/>
          <w:lang w:val="sr-Cyrl-RS" w:eastAsia="ja-JP"/>
        </w:rPr>
        <w:t>е</w:t>
      </w:r>
      <w:r w:rsidRPr="00D80AF7">
        <w:rPr>
          <w:rFonts w:eastAsia="MS PGothic" w:cstheme="minorHAnsi"/>
          <w:spacing w:val="-2"/>
          <w:szCs w:val="20"/>
          <w:lang w:val="sr-Cyrl-RS" w:eastAsia="ja-JP"/>
        </w:rPr>
        <w:t>ци</w:t>
      </w:r>
      <w:r w:rsidR="003A25EF">
        <w:rPr>
          <w:rFonts w:eastAsia="MS PGothic" w:cstheme="minorHAnsi"/>
          <w:spacing w:val="-2"/>
          <w:szCs w:val="20"/>
          <w:lang w:val="sr-Cyrl-RS" w:eastAsia="ja-JP"/>
        </w:rPr>
        <w:t>ја</w:t>
      </w:r>
      <w:r w:rsidRPr="00D80AF7">
        <w:rPr>
          <w:rFonts w:eastAsia="MS PGothic" w:cstheme="minorHAnsi"/>
          <w:spacing w:val="-2"/>
          <w:szCs w:val="20"/>
          <w:lang w:val="sr-Cyrl-RS" w:eastAsia="ja-JP"/>
        </w:rPr>
        <w:t>лиз</w:t>
      </w:r>
      <w:r w:rsidR="003A25EF">
        <w:rPr>
          <w:rFonts w:eastAsia="MS PGothic" w:cstheme="minorHAnsi"/>
          <w:spacing w:val="-2"/>
          <w:szCs w:val="20"/>
          <w:lang w:val="sr-Cyrl-RS" w:eastAsia="ja-JP"/>
        </w:rPr>
        <w:t>о</w:t>
      </w:r>
      <w:r w:rsidRPr="00D80AF7">
        <w:rPr>
          <w:rFonts w:eastAsia="MS PGothic" w:cstheme="minorHAnsi"/>
          <w:spacing w:val="-2"/>
          <w:szCs w:val="20"/>
          <w:lang w:val="sr-Cyrl-RS" w:eastAsia="ja-JP"/>
        </w:rPr>
        <w:t>в</w:t>
      </w:r>
      <w:r w:rsidR="003A25EF">
        <w:rPr>
          <w:rFonts w:eastAsia="MS PGothic" w:cstheme="minorHAnsi"/>
          <w:spacing w:val="-2"/>
          <w:szCs w:val="20"/>
          <w:lang w:val="sr-Cyrl-RS" w:eastAsia="ja-JP"/>
        </w:rPr>
        <w:t>а</w:t>
      </w:r>
      <w:r w:rsidRPr="00D80AF7">
        <w:rPr>
          <w:rFonts w:eastAsia="MS PGothic" w:cstheme="minorHAnsi"/>
          <w:spacing w:val="-2"/>
          <w:szCs w:val="20"/>
          <w:lang w:val="sr-Cyrl-RS" w:eastAsia="ja-JP"/>
        </w:rPr>
        <w:t>ну финансијску институцију за пружање свих врста финансијских услуга и подршке н</w:t>
      </w:r>
      <w:r w:rsidR="003A25EF">
        <w:rPr>
          <w:rFonts w:eastAsia="MS PGothic" w:cstheme="minorHAnsi"/>
          <w:spacing w:val="-2"/>
          <w:szCs w:val="20"/>
          <w:lang w:val="sr-Cyrl-RS" w:eastAsia="ja-JP"/>
        </w:rPr>
        <w:t>а</w:t>
      </w:r>
      <w:r w:rsidRPr="00D80AF7">
        <w:rPr>
          <w:rFonts w:eastAsia="MS PGothic" w:cstheme="minorHAnsi"/>
          <w:spacing w:val="-2"/>
          <w:szCs w:val="20"/>
          <w:lang w:val="sr-Cyrl-RS" w:eastAsia="ja-JP"/>
        </w:rPr>
        <w:t>м</w:t>
      </w:r>
      <w:r w:rsidR="003A25EF">
        <w:rPr>
          <w:rFonts w:eastAsia="MS PGothic" w:cstheme="minorHAnsi"/>
          <w:spacing w:val="-2"/>
          <w:szCs w:val="20"/>
          <w:lang w:val="sr-Cyrl-RS" w:eastAsia="ja-JP"/>
        </w:rPr>
        <w:t>е</w:t>
      </w:r>
      <w:r w:rsidRPr="00D80AF7">
        <w:rPr>
          <w:rFonts w:eastAsia="MS PGothic" w:cstheme="minorHAnsi"/>
          <w:spacing w:val="-2"/>
          <w:szCs w:val="20"/>
          <w:lang w:val="sr-Cyrl-RS" w:eastAsia="ja-JP"/>
        </w:rPr>
        <w:t>нск</w:t>
      </w:r>
      <w:r w:rsidR="003A25EF">
        <w:rPr>
          <w:rFonts w:eastAsia="MS PGothic" w:cstheme="minorHAnsi"/>
          <w:spacing w:val="-2"/>
          <w:szCs w:val="20"/>
          <w:lang w:val="sr-Cyrl-RS" w:eastAsia="ja-JP"/>
        </w:rPr>
        <w:t>ој</w:t>
      </w:r>
      <w:r w:rsidRPr="00D80AF7">
        <w:rPr>
          <w:rFonts w:eastAsia="MS PGothic" w:cstheme="minorHAnsi"/>
          <w:spacing w:val="-2"/>
          <w:szCs w:val="20"/>
          <w:lang w:val="sr-Cyrl-RS" w:eastAsia="ja-JP"/>
        </w:rPr>
        <w:t xml:space="preserve"> индустрији Републике Србије дана 21. јануара 2019. године и почела је са формалним радом у марту 2019. године када је одржана конститутивна седница.</w:t>
      </w:r>
    </w:p>
    <w:p w14:paraId="3A9109F0"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Реформа прописа који уређују српски финансијски систем</w:t>
      </w:r>
      <w:r w:rsidRPr="00B605F7">
        <w:rPr>
          <w:rFonts w:eastAsia="MS PGothic" w:cstheme="minorHAnsi"/>
          <w:szCs w:val="20"/>
          <w:vertAlign w:val="superscript"/>
          <w:lang w:val="sr-Cyrl-RS" w:eastAsia="ja-JP"/>
        </w:rPr>
        <w:footnoteReference w:id="10"/>
      </w:r>
      <w:r w:rsidRPr="00B605F7">
        <w:rPr>
          <w:rFonts w:eastAsia="MS PGothic" w:cstheme="minorHAnsi"/>
          <w:szCs w:val="20"/>
          <w:vertAlign w:val="superscript"/>
          <w:lang w:val="sr-Cyrl-RS" w:eastAsia="ja-JP"/>
        </w:rPr>
        <w:t xml:space="preserve"> </w:t>
      </w:r>
      <w:r w:rsidRPr="00B605F7">
        <w:rPr>
          <w:rFonts w:eastAsia="MS PGothic" w:cstheme="minorHAnsi"/>
          <w:szCs w:val="20"/>
          <w:lang w:val="sr-Cyrl-RS" w:eastAsia="ja-JP"/>
        </w:rPr>
        <w:t>спроведена је фебруара 2015. године. Једна од карактеристика те реформе јесте и пренос надлежности праћења резултата пословања и рада органа управљања у банкама, друштвима за осигурање и другим финансијским институцијама чији је акционар Република Србија, као и организовање и спровођење поступка продаје акција у њима, са АОД на Министарство финансија, почев од 1. априла 2015. године. Реформом прописа је у домаћу регулативу транспонована и Директива о реструктурирању банака (</w:t>
      </w:r>
      <w:r w:rsidRPr="00A958D8">
        <w:rPr>
          <w:rFonts w:eastAsia="MS PGothic" w:cstheme="minorHAnsi"/>
          <w:i/>
          <w:szCs w:val="20"/>
          <w:lang w:val="en-GB" w:eastAsia="ja-JP"/>
        </w:rPr>
        <w:t>Bank Recovery and Resolution Directive</w:t>
      </w:r>
      <w:r w:rsidRPr="00B605F7">
        <w:rPr>
          <w:rFonts w:eastAsia="MS PGothic" w:cstheme="minorHAnsi"/>
          <w:szCs w:val="20"/>
          <w:lang w:val="sr-Cyrl-RS" w:eastAsia="ja-JP"/>
        </w:rPr>
        <w:t xml:space="preserve"> – BRRD) и функција реструктурирања банака поверена је НБС. У децембру 2016. године усвојен је сет прописа којима се у домаћи регулаторни оквир имплементирају Базел III стандарди, чиме је постигнут значајан степен усклађености домаћих прописа са релевантним прописима ЕУ у овој области, а током 2017. године се наставило са активностима на унапређењу домаћих прописа којима се уређује пословање банака, а у циљу њиховог даљег усклађивања са прописима ЕУ. Основни циљеви усвајања ових прописа су </w:t>
      </w:r>
      <w:r w:rsidRPr="00B605F7">
        <w:rPr>
          <w:rFonts w:eastAsia="MS PGothic" w:cstheme="minorHAnsi"/>
          <w:szCs w:val="20"/>
          <w:lang w:val="sr-Cyrl-RS" w:eastAsia="ja-JP"/>
        </w:rPr>
        <w:lastRenderedPageBreak/>
        <w:t>повећање отпорности банкарског сектора повећањем квалитета капитала и увођењем заштитних слојева капитала, боље праћење и контрола изложености банке ризику ликвидности, даље јачање тржишне дисциплине и транспарентности пословања банака у Републици Србији објављивањем свих релевантних информација о пословању банке, као и прилагођавање извештајног система новим регулаторним решењима.</w:t>
      </w:r>
    </w:p>
    <w:p w14:paraId="69370CF5"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Један од ограничавајућих фактора за раст кредитне активности представљао је релативно висок ниво проблематичних кредита. У августу 2015. године усвојена је Стратегија за решавање проблематичних кредита која се спроводи имплементацијом два трогодишња акциона плана, један припремљен од стране Владе и други припремљен од стране НБС, у циљу спуштања нивоа проблематичних кредита. Кључне области имплементације подразумевале су јачање капацитета банака за решавање проблематичних кредита, унапређење регулативе за процену вредности средстава обезбеђења, развој тржишта проблематичних кредита и др.</w:t>
      </w:r>
    </w:p>
    <w:p w14:paraId="7FF90BDC"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Од доношења поменуте стратегије, усвојен је и измењен већи број законских и подзаконских аката, унапређен је институционални капацитет и спроведене су бројне мере за лакши отпис и пренос ненаплативих потраживања кроз доношење </w:t>
      </w:r>
      <w:r w:rsidRPr="00A52793">
        <w:rPr>
          <w:rFonts w:eastAsia="MS PGothic" w:cstheme="minorHAnsi"/>
          <w:szCs w:val="20"/>
          <w:lang w:val="sr-Cyrl-RS" w:eastAsia="ja-JP"/>
        </w:rPr>
        <w:t>Закона о проценитељима вредности</w:t>
      </w:r>
      <w:r w:rsidRPr="00B605F7">
        <w:rPr>
          <w:rFonts w:eastAsia="MS PGothic" w:cstheme="minorHAnsi"/>
          <w:szCs w:val="20"/>
          <w:lang w:val="sr-Cyrl-RS" w:eastAsia="ja-JP"/>
        </w:rPr>
        <w:t xml:space="preserve"> непокретности (почетак примене закона – јун 2017. године) који је, између осталог, увео нову професију – лиценциране проценитеље вредности непокретности и прописао обавезну процену која се спроводи у случајевима који се односе на Закон о хипотеци и Закон о стечају, као и приликом вршења процена за потребе кредитних послова који су обезбеђени хипотеком; образовање стручног одбора (стручно тело које треба да допринесе уређењу и унапређењу професије проценитеља вредности непокретности) и доношење Националних стандарда, кодекса етике и правила пр</w:t>
      </w:r>
      <w:r w:rsidR="00306468">
        <w:rPr>
          <w:rFonts w:eastAsia="MS PGothic" w:cstheme="minorHAnsi"/>
          <w:szCs w:val="20"/>
          <w:lang w:val="sr-Cyrl-RS" w:eastAsia="ja-JP"/>
        </w:rPr>
        <w:t>о</w:t>
      </w:r>
      <w:r w:rsidRPr="00B605F7">
        <w:rPr>
          <w:rFonts w:eastAsia="MS PGothic" w:cstheme="minorHAnsi"/>
          <w:szCs w:val="20"/>
          <w:lang w:val="sr-Cyrl-RS" w:eastAsia="ja-JP"/>
        </w:rPr>
        <w:t>ф</w:t>
      </w:r>
      <w:r w:rsidR="00306468">
        <w:rPr>
          <w:rFonts w:eastAsia="MS PGothic" w:cstheme="minorHAnsi"/>
          <w:szCs w:val="20"/>
          <w:lang w:val="sr-Cyrl-RS" w:eastAsia="ja-JP"/>
        </w:rPr>
        <w:t>е</w:t>
      </w:r>
      <w:r w:rsidRPr="00B605F7">
        <w:rPr>
          <w:rFonts w:eastAsia="MS PGothic" w:cstheme="minorHAnsi"/>
          <w:szCs w:val="20"/>
          <w:lang w:val="sr-Cyrl-RS" w:eastAsia="ja-JP"/>
        </w:rPr>
        <w:t>си</w:t>
      </w:r>
      <w:r w:rsidR="00306468">
        <w:rPr>
          <w:rFonts w:eastAsia="MS PGothic" w:cstheme="minorHAnsi"/>
          <w:szCs w:val="20"/>
          <w:lang w:val="sr-Cyrl-RS" w:eastAsia="ja-JP"/>
        </w:rPr>
        <w:t>о</w:t>
      </w:r>
      <w:r w:rsidRPr="00B605F7">
        <w:rPr>
          <w:rFonts w:eastAsia="MS PGothic" w:cstheme="minorHAnsi"/>
          <w:szCs w:val="20"/>
          <w:lang w:val="sr-Cyrl-RS" w:eastAsia="ja-JP"/>
        </w:rPr>
        <w:t>н</w:t>
      </w:r>
      <w:r w:rsidR="00306468">
        <w:rPr>
          <w:rFonts w:eastAsia="MS PGothic" w:cstheme="minorHAnsi"/>
          <w:szCs w:val="20"/>
          <w:lang w:val="sr-Cyrl-RS" w:eastAsia="ja-JP"/>
        </w:rPr>
        <w:t>а</w:t>
      </w:r>
      <w:r w:rsidRPr="00B605F7">
        <w:rPr>
          <w:rFonts w:eastAsia="MS PGothic" w:cstheme="minorHAnsi"/>
          <w:szCs w:val="20"/>
          <w:lang w:val="sr-Cyrl-RS" w:eastAsia="ja-JP"/>
        </w:rPr>
        <w:t>лн</w:t>
      </w:r>
      <w:r w:rsidR="00306468">
        <w:rPr>
          <w:rFonts w:eastAsia="MS PGothic" w:cstheme="minorHAnsi"/>
          <w:szCs w:val="20"/>
          <w:lang w:val="sr-Cyrl-RS" w:eastAsia="ja-JP"/>
        </w:rPr>
        <w:t>о</w:t>
      </w:r>
      <w:r w:rsidRPr="00B605F7">
        <w:rPr>
          <w:rFonts w:eastAsia="MS PGothic" w:cstheme="minorHAnsi"/>
          <w:szCs w:val="20"/>
          <w:lang w:val="sr-Cyrl-RS" w:eastAsia="ja-JP"/>
        </w:rPr>
        <w:t xml:space="preserve">г </w:t>
      </w:r>
      <w:r w:rsidR="00C757BE">
        <w:rPr>
          <w:rFonts w:eastAsia="MS PGothic" w:cstheme="minorHAnsi"/>
          <w:szCs w:val="20"/>
          <w:lang w:val="sr-Cyrl-RS" w:eastAsia="ja-JP"/>
        </w:rPr>
        <w:t>по</w:t>
      </w:r>
      <w:r w:rsidRPr="00B605F7">
        <w:rPr>
          <w:rFonts w:eastAsia="MS PGothic" w:cstheme="minorHAnsi"/>
          <w:szCs w:val="20"/>
          <w:lang w:val="sr-Cyrl-RS" w:eastAsia="ja-JP"/>
        </w:rPr>
        <w:t>н</w:t>
      </w:r>
      <w:r w:rsidR="00C757BE">
        <w:rPr>
          <w:rFonts w:eastAsia="MS PGothic" w:cstheme="minorHAnsi"/>
          <w:szCs w:val="20"/>
          <w:lang w:val="sr-Cyrl-RS" w:eastAsia="ja-JP"/>
        </w:rPr>
        <w:t>а</w:t>
      </w:r>
      <w:r w:rsidRPr="00B605F7">
        <w:rPr>
          <w:rFonts w:eastAsia="MS PGothic" w:cstheme="minorHAnsi"/>
          <w:szCs w:val="20"/>
          <w:lang w:val="sr-Cyrl-RS" w:eastAsia="ja-JP"/>
        </w:rPr>
        <w:t>ш</w:t>
      </w:r>
      <w:r w:rsidR="00C757BE">
        <w:rPr>
          <w:rFonts w:eastAsia="MS PGothic" w:cstheme="minorHAnsi"/>
          <w:szCs w:val="20"/>
          <w:lang w:val="sr-Cyrl-RS" w:eastAsia="ja-JP"/>
        </w:rPr>
        <w:t>а</w:t>
      </w:r>
      <w:r w:rsidRPr="00B605F7">
        <w:rPr>
          <w:rFonts w:eastAsia="MS PGothic" w:cstheme="minorHAnsi"/>
          <w:szCs w:val="20"/>
          <w:lang w:val="sr-Cyrl-RS" w:eastAsia="ja-JP"/>
        </w:rPr>
        <w:t>њ</w:t>
      </w:r>
      <w:r w:rsidR="00C757BE">
        <w:rPr>
          <w:rFonts w:eastAsia="MS PGothic" w:cstheme="minorHAnsi"/>
          <w:szCs w:val="20"/>
          <w:lang w:val="sr-Cyrl-RS" w:eastAsia="ja-JP"/>
        </w:rPr>
        <w:t>а</w:t>
      </w:r>
      <w:r w:rsidRPr="00B605F7">
        <w:rPr>
          <w:rFonts w:eastAsia="MS PGothic" w:cstheme="minorHAnsi"/>
          <w:szCs w:val="20"/>
          <w:lang w:val="sr-Cyrl-RS" w:eastAsia="ja-JP"/>
        </w:rPr>
        <w:t xml:space="preserve"> лиц</w:t>
      </w:r>
      <w:r w:rsidR="00306468">
        <w:rPr>
          <w:rFonts w:eastAsia="MS PGothic" w:cstheme="minorHAnsi"/>
          <w:szCs w:val="20"/>
          <w:lang w:val="sr-Cyrl-RS" w:eastAsia="ja-JP"/>
        </w:rPr>
        <w:t>е</w:t>
      </w:r>
      <w:r w:rsidRPr="00B605F7">
        <w:rPr>
          <w:rFonts w:eastAsia="MS PGothic" w:cstheme="minorHAnsi"/>
          <w:szCs w:val="20"/>
          <w:lang w:val="sr-Cyrl-RS" w:eastAsia="ja-JP"/>
        </w:rPr>
        <w:t>нцир</w:t>
      </w:r>
      <w:r w:rsidR="00306468">
        <w:rPr>
          <w:rFonts w:eastAsia="MS PGothic" w:cstheme="minorHAnsi"/>
          <w:szCs w:val="20"/>
          <w:lang w:val="sr-Cyrl-RS" w:eastAsia="ja-JP"/>
        </w:rPr>
        <w:t>а</w:t>
      </w:r>
      <w:r w:rsidRPr="00B605F7">
        <w:rPr>
          <w:rFonts w:eastAsia="MS PGothic" w:cstheme="minorHAnsi"/>
          <w:szCs w:val="20"/>
          <w:lang w:val="sr-Cyrl-RS" w:eastAsia="ja-JP"/>
        </w:rPr>
        <w:t>н</w:t>
      </w:r>
      <w:r w:rsidR="00306468">
        <w:rPr>
          <w:rFonts w:eastAsia="MS PGothic" w:cstheme="minorHAnsi"/>
          <w:szCs w:val="20"/>
          <w:lang w:val="sr-Cyrl-RS" w:eastAsia="ja-JP"/>
        </w:rPr>
        <w:t>о</w:t>
      </w:r>
      <w:r w:rsidRPr="00B605F7">
        <w:rPr>
          <w:rFonts w:eastAsia="MS PGothic" w:cstheme="minorHAnsi"/>
          <w:szCs w:val="20"/>
          <w:lang w:val="sr-Cyrl-RS" w:eastAsia="ja-JP"/>
        </w:rPr>
        <w:t>г пр</w:t>
      </w:r>
      <w:r w:rsidR="00306468">
        <w:rPr>
          <w:rFonts w:eastAsia="MS PGothic" w:cstheme="minorHAnsi"/>
          <w:szCs w:val="20"/>
          <w:lang w:val="sr-Cyrl-RS" w:eastAsia="ja-JP"/>
        </w:rPr>
        <w:t>о</w:t>
      </w:r>
      <w:r w:rsidRPr="00B605F7">
        <w:rPr>
          <w:rFonts w:eastAsia="MS PGothic" w:cstheme="minorHAnsi"/>
          <w:szCs w:val="20"/>
          <w:lang w:val="sr-Cyrl-RS" w:eastAsia="ja-JP"/>
        </w:rPr>
        <w:t>ц</w:t>
      </w:r>
      <w:r w:rsidR="00306468">
        <w:rPr>
          <w:rFonts w:eastAsia="MS PGothic" w:cstheme="minorHAnsi"/>
          <w:szCs w:val="20"/>
          <w:lang w:val="sr-Cyrl-RS" w:eastAsia="ja-JP"/>
        </w:rPr>
        <w:t>е</w:t>
      </w:r>
      <w:r w:rsidRPr="00B605F7">
        <w:rPr>
          <w:rFonts w:eastAsia="MS PGothic" w:cstheme="minorHAnsi"/>
          <w:szCs w:val="20"/>
          <w:lang w:val="sr-Cyrl-RS" w:eastAsia="ja-JP"/>
        </w:rPr>
        <w:t>нит</w:t>
      </w:r>
      <w:r w:rsidR="00306468">
        <w:rPr>
          <w:rFonts w:eastAsia="MS PGothic" w:cstheme="minorHAnsi"/>
          <w:szCs w:val="20"/>
          <w:lang w:val="sr-Cyrl-RS" w:eastAsia="ja-JP"/>
        </w:rPr>
        <w:t>е</w:t>
      </w:r>
      <w:r w:rsidRPr="00B605F7">
        <w:rPr>
          <w:rFonts w:eastAsia="MS PGothic" w:cstheme="minorHAnsi"/>
          <w:szCs w:val="20"/>
          <w:lang w:val="sr-Cyrl-RS" w:eastAsia="ja-JP"/>
        </w:rPr>
        <w:t>љ</w:t>
      </w:r>
      <w:r w:rsidR="00306468">
        <w:rPr>
          <w:rFonts w:eastAsia="MS PGothic" w:cstheme="minorHAnsi"/>
          <w:szCs w:val="20"/>
          <w:lang w:val="sr-Cyrl-RS" w:eastAsia="ja-JP"/>
        </w:rPr>
        <w:t>а</w:t>
      </w:r>
      <w:r w:rsidRPr="00B605F7">
        <w:rPr>
          <w:rFonts w:eastAsia="MS PGothic" w:cstheme="minorHAnsi"/>
          <w:szCs w:val="20"/>
          <w:lang w:val="sr-Cyrl-RS" w:eastAsia="ja-JP"/>
        </w:rPr>
        <w:t xml:space="preserve"> (у јулу 2017. године) који, између осталог, дефинишу основе процене вредности непокретности, поступак вршења процене, претпоставке и чињенице од зн</w:t>
      </w:r>
      <w:r w:rsidR="00306468">
        <w:rPr>
          <w:rFonts w:eastAsia="MS PGothic" w:cstheme="minorHAnsi"/>
          <w:szCs w:val="20"/>
          <w:lang w:val="sr-Cyrl-RS" w:eastAsia="ja-JP"/>
        </w:rPr>
        <w:t>а</w:t>
      </w:r>
      <w:r w:rsidRPr="00B605F7">
        <w:rPr>
          <w:rFonts w:eastAsia="MS PGothic" w:cstheme="minorHAnsi"/>
          <w:szCs w:val="20"/>
          <w:lang w:val="sr-Cyrl-RS" w:eastAsia="ja-JP"/>
        </w:rPr>
        <w:t>ч</w:t>
      </w:r>
      <w:r w:rsidR="00306468">
        <w:rPr>
          <w:rFonts w:eastAsia="MS PGothic" w:cstheme="minorHAnsi"/>
          <w:szCs w:val="20"/>
          <w:lang w:val="sr-Cyrl-RS" w:eastAsia="ja-JP"/>
        </w:rPr>
        <w:t>аја</w:t>
      </w:r>
      <w:r w:rsidRPr="00B605F7">
        <w:rPr>
          <w:rFonts w:eastAsia="MS PGothic" w:cstheme="minorHAnsi"/>
          <w:szCs w:val="20"/>
          <w:lang w:val="sr-Cyrl-RS" w:eastAsia="ja-JP"/>
        </w:rPr>
        <w:t xml:space="preserve"> к</w:t>
      </w:r>
      <w:r w:rsidR="00306468">
        <w:rPr>
          <w:rFonts w:eastAsia="MS PGothic" w:cstheme="minorHAnsi"/>
          <w:szCs w:val="20"/>
          <w:lang w:val="sr-Cyrl-RS" w:eastAsia="ja-JP"/>
        </w:rPr>
        <w:t>оје</w:t>
      </w:r>
      <w:r w:rsidRPr="00B605F7">
        <w:rPr>
          <w:rFonts w:eastAsia="MS PGothic" w:cstheme="minorHAnsi"/>
          <w:szCs w:val="20"/>
          <w:lang w:val="sr-Cyrl-RS" w:eastAsia="ja-JP"/>
        </w:rPr>
        <w:t xml:space="preserve"> с</w:t>
      </w:r>
      <w:r w:rsidR="00306468">
        <w:rPr>
          <w:rFonts w:eastAsia="MS PGothic" w:cstheme="minorHAnsi"/>
          <w:szCs w:val="20"/>
          <w:lang w:val="sr-Cyrl-RS" w:eastAsia="ja-JP"/>
        </w:rPr>
        <w:t>е</w:t>
      </w:r>
      <w:r w:rsidRPr="00B605F7">
        <w:rPr>
          <w:rFonts w:eastAsia="MS PGothic" w:cstheme="minorHAnsi"/>
          <w:szCs w:val="20"/>
          <w:lang w:val="sr-Cyrl-RS" w:eastAsia="ja-JP"/>
        </w:rPr>
        <w:t xml:space="preserve"> м</w:t>
      </w:r>
      <w:r w:rsidR="00306468">
        <w:rPr>
          <w:rFonts w:eastAsia="MS PGothic" w:cstheme="minorHAnsi"/>
          <w:szCs w:val="20"/>
          <w:lang w:val="sr-Cyrl-RS" w:eastAsia="ja-JP"/>
        </w:rPr>
        <w:t>о</w:t>
      </w:r>
      <w:r w:rsidRPr="00B605F7">
        <w:rPr>
          <w:rFonts w:eastAsia="MS PGothic" w:cstheme="minorHAnsi"/>
          <w:szCs w:val="20"/>
          <w:lang w:val="sr-Cyrl-RS" w:eastAsia="ja-JP"/>
        </w:rPr>
        <w:t>р</w:t>
      </w:r>
      <w:r w:rsidR="00306468">
        <w:rPr>
          <w:rFonts w:eastAsia="MS PGothic" w:cstheme="minorHAnsi"/>
          <w:szCs w:val="20"/>
          <w:lang w:val="sr-Cyrl-RS" w:eastAsia="ja-JP"/>
        </w:rPr>
        <w:t>ај</w:t>
      </w:r>
      <w:r w:rsidRPr="00B605F7">
        <w:rPr>
          <w:rFonts w:eastAsia="MS PGothic" w:cstheme="minorHAnsi"/>
          <w:szCs w:val="20"/>
          <w:lang w:val="sr-Cyrl-RS" w:eastAsia="ja-JP"/>
        </w:rPr>
        <w:t>у уз</w:t>
      </w:r>
      <w:r w:rsidR="00306468">
        <w:rPr>
          <w:rFonts w:eastAsia="MS PGothic" w:cstheme="minorHAnsi"/>
          <w:szCs w:val="20"/>
          <w:lang w:val="sr-Cyrl-RS" w:eastAsia="ja-JP"/>
        </w:rPr>
        <w:t>е</w:t>
      </w:r>
      <w:r w:rsidRPr="00B605F7">
        <w:rPr>
          <w:rFonts w:eastAsia="MS PGothic" w:cstheme="minorHAnsi"/>
          <w:szCs w:val="20"/>
          <w:lang w:val="sr-Cyrl-RS" w:eastAsia="ja-JP"/>
        </w:rPr>
        <w:t xml:space="preserve">ти у </w:t>
      </w:r>
      <w:r w:rsidR="00306468">
        <w:rPr>
          <w:rFonts w:eastAsia="MS PGothic" w:cstheme="minorHAnsi"/>
          <w:szCs w:val="20"/>
          <w:lang w:val="sr-Cyrl-RS" w:eastAsia="ja-JP"/>
        </w:rPr>
        <w:t>о</w:t>
      </w:r>
      <w:r w:rsidRPr="00B605F7">
        <w:rPr>
          <w:rFonts w:eastAsia="MS PGothic" w:cstheme="minorHAnsi"/>
          <w:szCs w:val="20"/>
          <w:lang w:val="sr-Cyrl-RS" w:eastAsia="ja-JP"/>
        </w:rPr>
        <w:t>бзир прилик</w:t>
      </w:r>
      <w:r w:rsidR="00306468">
        <w:rPr>
          <w:rFonts w:eastAsia="MS PGothic" w:cstheme="minorHAnsi"/>
          <w:szCs w:val="20"/>
          <w:lang w:val="sr-Cyrl-RS" w:eastAsia="ja-JP"/>
        </w:rPr>
        <w:t>о</w:t>
      </w:r>
      <w:r w:rsidRPr="00B605F7">
        <w:rPr>
          <w:rFonts w:eastAsia="MS PGothic" w:cstheme="minorHAnsi"/>
          <w:szCs w:val="20"/>
          <w:lang w:val="sr-Cyrl-RS" w:eastAsia="ja-JP"/>
        </w:rPr>
        <w:t>м изр</w:t>
      </w:r>
      <w:r w:rsidR="00306468">
        <w:rPr>
          <w:rFonts w:eastAsia="MS PGothic" w:cstheme="minorHAnsi"/>
          <w:szCs w:val="20"/>
          <w:lang w:val="sr-Cyrl-RS" w:eastAsia="ja-JP"/>
        </w:rPr>
        <w:t>а</w:t>
      </w:r>
      <w:r w:rsidRPr="00B605F7">
        <w:rPr>
          <w:rFonts w:eastAsia="MS PGothic" w:cstheme="minorHAnsi"/>
          <w:szCs w:val="20"/>
          <w:lang w:val="sr-Cyrl-RS" w:eastAsia="ja-JP"/>
        </w:rPr>
        <w:t>д</w:t>
      </w:r>
      <w:r w:rsidR="00306468">
        <w:rPr>
          <w:rFonts w:eastAsia="MS PGothic" w:cstheme="minorHAnsi"/>
          <w:szCs w:val="20"/>
          <w:lang w:val="sr-Cyrl-RS" w:eastAsia="ja-JP"/>
        </w:rPr>
        <w:t>е</w:t>
      </w:r>
      <w:r w:rsidRPr="00B605F7">
        <w:rPr>
          <w:rFonts w:eastAsia="MS PGothic" w:cstheme="minorHAnsi"/>
          <w:szCs w:val="20"/>
          <w:lang w:val="sr-Cyrl-RS" w:eastAsia="ja-JP"/>
        </w:rPr>
        <w:t xml:space="preserve"> </w:t>
      </w:r>
      <w:r w:rsidRPr="00B605F7">
        <w:rPr>
          <w:rFonts w:eastAsia="MS PGothic" w:cstheme="minorHAnsi"/>
          <w:szCs w:val="20"/>
          <w:lang w:val="sr-Cyrl-RS" w:eastAsia="ja-JP"/>
        </w:rPr>
        <w:t>изв</w:t>
      </w:r>
      <w:r w:rsidR="00306468">
        <w:rPr>
          <w:rFonts w:eastAsia="MS PGothic" w:cstheme="minorHAnsi"/>
          <w:szCs w:val="20"/>
          <w:lang w:val="sr-Cyrl-RS" w:eastAsia="ja-JP"/>
        </w:rPr>
        <w:t>е</w:t>
      </w:r>
      <w:r w:rsidRPr="00B605F7">
        <w:rPr>
          <w:rFonts w:eastAsia="MS PGothic" w:cstheme="minorHAnsi"/>
          <w:szCs w:val="20"/>
          <w:lang w:val="sr-Cyrl-RS" w:eastAsia="ja-JP"/>
        </w:rPr>
        <w:t>шт</w:t>
      </w:r>
      <w:r w:rsidR="00306468">
        <w:rPr>
          <w:rFonts w:eastAsia="MS PGothic" w:cstheme="minorHAnsi"/>
          <w:szCs w:val="20"/>
          <w:lang w:val="sr-Cyrl-RS" w:eastAsia="ja-JP"/>
        </w:rPr>
        <w:t>аја</w:t>
      </w:r>
      <w:r w:rsidRPr="00B605F7">
        <w:rPr>
          <w:rFonts w:eastAsia="MS PGothic" w:cstheme="minorHAnsi"/>
          <w:szCs w:val="20"/>
          <w:lang w:val="sr-Cyrl-RS" w:eastAsia="ja-JP"/>
        </w:rPr>
        <w:t xml:space="preserve"> пр</w:t>
      </w:r>
      <w:r w:rsidR="00306468">
        <w:rPr>
          <w:rFonts w:eastAsia="MS PGothic" w:cstheme="minorHAnsi"/>
          <w:szCs w:val="20"/>
          <w:lang w:val="sr-Cyrl-RS" w:eastAsia="ja-JP"/>
        </w:rPr>
        <w:t>о</w:t>
      </w:r>
      <w:r w:rsidRPr="00B605F7">
        <w:rPr>
          <w:rFonts w:eastAsia="MS PGothic" w:cstheme="minorHAnsi"/>
          <w:szCs w:val="20"/>
          <w:lang w:val="sr-Cyrl-RS" w:eastAsia="ja-JP"/>
        </w:rPr>
        <w:t>ц</w:t>
      </w:r>
      <w:r w:rsidR="00306468">
        <w:rPr>
          <w:rFonts w:eastAsia="MS PGothic" w:cstheme="minorHAnsi"/>
          <w:szCs w:val="20"/>
          <w:lang w:val="sr-Cyrl-RS" w:eastAsia="ja-JP"/>
        </w:rPr>
        <w:t>е</w:t>
      </w:r>
      <w:r w:rsidRPr="00B605F7">
        <w:rPr>
          <w:rFonts w:eastAsia="MS PGothic" w:cstheme="minorHAnsi"/>
          <w:szCs w:val="20"/>
          <w:lang w:val="sr-Cyrl-RS" w:eastAsia="ja-JP"/>
        </w:rPr>
        <w:t>н</w:t>
      </w:r>
      <w:r w:rsidR="00306468">
        <w:rPr>
          <w:rFonts w:eastAsia="MS PGothic" w:cstheme="minorHAnsi"/>
          <w:szCs w:val="20"/>
          <w:lang w:val="sr-Cyrl-RS" w:eastAsia="ja-JP"/>
        </w:rPr>
        <w:t>е</w:t>
      </w:r>
      <w:r w:rsidRPr="00B605F7">
        <w:rPr>
          <w:rFonts w:eastAsia="MS PGothic" w:cstheme="minorHAnsi"/>
          <w:szCs w:val="20"/>
          <w:lang w:val="sr-Cyrl-RS" w:eastAsia="ja-JP"/>
        </w:rPr>
        <w:t>, минимални садржај изв</w:t>
      </w:r>
      <w:r w:rsidR="00306468">
        <w:rPr>
          <w:rFonts w:eastAsia="MS PGothic" w:cstheme="minorHAnsi"/>
          <w:szCs w:val="20"/>
          <w:lang w:val="sr-Cyrl-RS" w:eastAsia="ja-JP"/>
        </w:rPr>
        <w:t>е</w:t>
      </w:r>
      <w:r w:rsidRPr="00B605F7">
        <w:rPr>
          <w:rFonts w:eastAsia="MS PGothic" w:cstheme="minorHAnsi"/>
          <w:szCs w:val="20"/>
          <w:lang w:val="sr-Cyrl-RS" w:eastAsia="ja-JP"/>
        </w:rPr>
        <w:t>шт</w:t>
      </w:r>
      <w:r w:rsidR="00306468">
        <w:rPr>
          <w:rFonts w:eastAsia="MS PGothic" w:cstheme="minorHAnsi"/>
          <w:szCs w:val="20"/>
          <w:lang w:val="sr-Cyrl-RS" w:eastAsia="ja-JP"/>
        </w:rPr>
        <w:t>аја</w:t>
      </w:r>
      <w:r w:rsidRPr="00B605F7">
        <w:rPr>
          <w:rFonts w:eastAsia="MS PGothic" w:cstheme="minorHAnsi"/>
          <w:szCs w:val="20"/>
          <w:lang w:val="sr-Cyrl-RS" w:eastAsia="ja-JP"/>
        </w:rPr>
        <w:t xml:space="preserve"> o пр</w:t>
      </w:r>
      <w:r w:rsidR="00306468">
        <w:rPr>
          <w:rFonts w:eastAsia="MS PGothic" w:cstheme="minorHAnsi"/>
          <w:szCs w:val="20"/>
          <w:lang w:val="sr-Cyrl-RS" w:eastAsia="ja-JP"/>
        </w:rPr>
        <w:t>о</w:t>
      </w:r>
      <w:r w:rsidRPr="00B605F7">
        <w:rPr>
          <w:rFonts w:eastAsia="MS PGothic" w:cstheme="minorHAnsi"/>
          <w:szCs w:val="20"/>
          <w:lang w:val="sr-Cyrl-RS" w:eastAsia="ja-JP"/>
        </w:rPr>
        <w:t>ц</w:t>
      </w:r>
      <w:r w:rsidR="00306468">
        <w:rPr>
          <w:rFonts w:eastAsia="MS PGothic" w:cstheme="minorHAnsi"/>
          <w:szCs w:val="20"/>
          <w:lang w:val="sr-Cyrl-RS" w:eastAsia="ja-JP"/>
        </w:rPr>
        <w:t>е</w:t>
      </w:r>
      <w:r w:rsidRPr="00B605F7">
        <w:rPr>
          <w:rFonts w:eastAsia="MS PGothic" w:cstheme="minorHAnsi"/>
          <w:szCs w:val="20"/>
          <w:lang w:val="sr-Cyrl-RS" w:eastAsia="ja-JP"/>
        </w:rPr>
        <w:t>ни и правила пр</w:t>
      </w:r>
      <w:r w:rsidR="00306468">
        <w:rPr>
          <w:rFonts w:eastAsia="MS PGothic" w:cstheme="minorHAnsi"/>
          <w:szCs w:val="20"/>
          <w:lang w:val="sr-Cyrl-RS" w:eastAsia="ja-JP"/>
        </w:rPr>
        <w:t>о</w:t>
      </w:r>
      <w:r w:rsidRPr="00B605F7">
        <w:rPr>
          <w:rFonts w:eastAsia="MS PGothic" w:cstheme="minorHAnsi"/>
          <w:szCs w:val="20"/>
          <w:lang w:val="sr-Cyrl-RS" w:eastAsia="ja-JP"/>
        </w:rPr>
        <w:t>ф</w:t>
      </w:r>
      <w:r w:rsidR="00306468">
        <w:rPr>
          <w:rFonts w:eastAsia="MS PGothic" w:cstheme="minorHAnsi"/>
          <w:szCs w:val="20"/>
          <w:lang w:val="sr-Cyrl-RS" w:eastAsia="ja-JP"/>
        </w:rPr>
        <w:t>е</w:t>
      </w:r>
      <w:r w:rsidRPr="00B605F7">
        <w:rPr>
          <w:rFonts w:eastAsia="MS PGothic" w:cstheme="minorHAnsi"/>
          <w:szCs w:val="20"/>
          <w:lang w:val="sr-Cyrl-RS" w:eastAsia="ja-JP"/>
        </w:rPr>
        <w:t>си</w:t>
      </w:r>
      <w:r w:rsidR="00306468">
        <w:rPr>
          <w:rFonts w:eastAsia="MS PGothic" w:cstheme="minorHAnsi"/>
          <w:szCs w:val="20"/>
          <w:lang w:val="sr-Cyrl-RS" w:eastAsia="ja-JP"/>
        </w:rPr>
        <w:t>о</w:t>
      </w:r>
      <w:r w:rsidRPr="00B605F7">
        <w:rPr>
          <w:rFonts w:eastAsia="MS PGothic" w:cstheme="minorHAnsi"/>
          <w:szCs w:val="20"/>
          <w:lang w:val="sr-Cyrl-RS" w:eastAsia="ja-JP"/>
        </w:rPr>
        <w:t>н</w:t>
      </w:r>
      <w:r w:rsidR="00306468">
        <w:rPr>
          <w:rFonts w:eastAsia="MS PGothic" w:cstheme="minorHAnsi"/>
          <w:szCs w:val="20"/>
          <w:lang w:val="sr-Cyrl-RS" w:eastAsia="ja-JP"/>
        </w:rPr>
        <w:t>а</w:t>
      </w:r>
      <w:r w:rsidRPr="00B605F7">
        <w:rPr>
          <w:rFonts w:eastAsia="MS PGothic" w:cstheme="minorHAnsi"/>
          <w:szCs w:val="20"/>
          <w:lang w:val="sr-Cyrl-RS" w:eastAsia="ja-JP"/>
        </w:rPr>
        <w:t>лн</w:t>
      </w:r>
      <w:r w:rsidR="00306468">
        <w:rPr>
          <w:rFonts w:eastAsia="MS PGothic" w:cstheme="minorHAnsi"/>
          <w:szCs w:val="20"/>
          <w:lang w:val="sr-Cyrl-RS" w:eastAsia="ja-JP"/>
        </w:rPr>
        <w:t>о</w:t>
      </w:r>
      <w:r w:rsidRPr="00B605F7">
        <w:rPr>
          <w:rFonts w:eastAsia="MS PGothic" w:cstheme="minorHAnsi"/>
          <w:szCs w:val="20"/>
          <w:lang w:val="sr-Cyrl-RS" w:eastAsia="ja-JP"/>
        </w:rPr>
        <w:t xml:space="preserve">г понашања лиценцираног проценитеља; усвајање измена и допуна Закона о порезу на добит правних лица и Закона о порезу на доходак грађана што је омогућило релаксиранију пореску политику за одобравање и отпис банкарских потраживања (крај 2017. године); усвајање амандмана на Закон о стечају којима је скраћен стечајни поступак и побољшан положај осигураних поверилаца (децембра 2017. године); припрему студије о могућностима увођења банкрота приватних појединаца и предузетника у Републици Србији, усвојен је Закон о изменама Закона о парничном поступку и друго. </w:t>
      </w:r>
      <w:r w:rsidR="00D953A9" w:rsidRPr="008C62F8">
        <w:rPr>
          <w:rFonts w:eastAsia="MS PGothic" w:cstheme="minorHAnsi"/>
          <w:szCs w:val="20"/>
          <w:lang w:val="sr-Cyrl-RS" w:eastAsia="ja-JP"/>
        </w:rPr>
        <w:t xml:space="preserve">На основу Закона о проценитељима вредности непокретности и Одлуке о садржају, роковима и начину достављања извештаја о проценама вредности непокретности које су предмет хипотеке и кредитима обезбеђеним хипотеком, </w:t>
      </w:r>
      <w:r w:rsidR="00BA23FA" w:rsidRPr="008C62F8">
        <w:rPr>
          <w:rFonts w:eastAsia="MS PGothic" w:cstheme="minorHAnsi"/>
          <w:szCs w:val="20"/>
          <w:lang w:val="sr-Cyrl-RS" w:eastAsia="ja-JP"/>
        </w:rPr>
        <w:t>НБС</w:t>
      </w:r>
      <w:r w:rsidR="00D953A9" w:rsidRPr="008C62F8">
        <w:rPr>
          <w:rFonts w:eastAsia="MS PGothic" w:cstheme="minorHAnsi"/>
          <w:szCs w:val="20"/>
          <w:lang w:val="sr-Cyrl-RS" w:eastAsia="ja-JP"/>
        </w:rPr>
        <w:t xml:space="preserve"> од 2015. године води базу података о проценама вредности непокретности које су предмет хипотеке. У складу с поменутим законом и одлуком, банке и лиценцирани проценитељи могу остварити увид у одређене податке о проценама вредности непокретности које су предмет хипотеке.</w:t>
      </w:r>
      <w:r w:rsidR="00D953A9" w:rsidRPr="008C62F8">
        <w:rPr>
          <w:rFonts w:eastAsia="MS PGothic" w:cstheme="minorHAnsi"/>
          <w:szCs w:val="20"/>
          <w:lang w:val="sr-Latn-RS" w:eastAsia="ja-JP"/>
        </w:rPr>
        <w:t xml:space="preserve"> </w:t>
      </w:r>
      <w:r w:rsidRPr="008C62F8">
        <w:rPr>
          <w:rFonts w:eastAsia="MS PGothic" w:cstheme="minorHAnsi"/>
          <w:szCs w:val="20"/>
          <w:lang w:val="sr-Cyrl-RS" w:eastAsia="ja-JP"/>
        </w:rPr>
        <w:t xml:space="preserve">Крајем 2018. године НБС </w:t>
      </w:r>
      <w:r w:rsidR="00A52793" w:rsidRPr="008C62F8">
        <w:rPr>
          <w:rFonts w:eastAsia="MS PGothic" w:cstheme="minorHAnsi"/>
          <w:szCs w:val="20"/>
          <w:lang w:val="sr-Cyrl-RS" w:eastAsia="ja-JP"/>
        </w:rPr>
        <w:t xml:space="preserve">је </w:t>
      </w:r>
      <w:r w:rsidRPr="008C62F8">
        <w:rPr>
          <w:rFonts w:eastAsia="MS PGothic" w:cstheme="minorHAnsi"/>
          <w:szCs w:val="20"/>
          <w:lang w:val="sr-Cyrl-RS" w:eastAsia="ja-JP"/>
        </w:rPr>
        <w:t>усвојила</w:t>
      </w:r>
      <w:r w:rsidRPr="00B605F7">
        <w:rPr>
          <w:rFonts w:eastAsia="MS PGothic" w:cstheme="minorHAnsi"/>
          <w:szCs w:val="20"/>
          <w:lang w:val="sr-Cyrl-RS" w:eastAsia="ja-JP"/>
        </w:rPr>
        <w:t xml:space="preserve"> сет подзаконских аката р</w:t>
      </w:r>
      <w:r w:rsidR="00306468">
        <w:rPr>
          <w:rFonts w:eastAsia="MS PGothic" w:cstheme="minorHAnsi"/>
          <w:szCs w:val="20"/>
          <w:lang w:val="sr-Cyrl-RS" w:eastAsia="ja-JP"/>
        </w:rPr>
        <w:t>еа</w:t>
      </w:r>
      <w:r w:rsidRPr="00B605F7">
        <w:rPr>
          <w:rFonts w:eastAsia="MS PGothic" w:cstheme="minorHAnsi"/>
          <w:szCs w:val="20"/>
          <w:lang w:val="sr-Cyrl-RS" w:eastAsia="ja-JP"/>
        </w:rPr>
        <w:t>гу</w:t>
      </w:r>
      <w:r w:rsidR="00306468">
        <w:rPr>
          <w:rFonts w:eastAsia="MS PGothic" w:cstheme="minorHAnsi"/>
          <w:szCs w:val="20"/>
          <w:lang w:val="sr-Cyrl-RS" w:eastAsia="ja-JP"/>
        </w:rPr>
        <w:t>ј</w:t>
      </w:r>
      <w:r w:rsidRPr="00B605F7">
        <w:rPr>
          <w:rFonts w:eastAsia="MS PGothic" w:cstheme="minorHAnsi"/>
          <w:szCs w:val="20"/>
          <w:lang w:val="sr-Cyrl-RS" w:eastAsia="ja-JP"/>
        </w:rPr>
        <w:t>ући пр</w:t>
      </w:r>
      <w:r w:rsidR="003A25EF">
        <w:rPr>
          <w:rFonts w:eastAsia="MS PGothic" w:cstheme="minorHAnsi"/>
          <w:szCs w:val="20"/>
          <w:lang w:val="sr-Cyrl-RS" w:eastAsia="ja-JP"/>
        </w:rPr>
        <w:t>оа</w:t>
      </w:r>
      <w:r w:rsidRPr="00B605F7">
        <w:rPr>
          <w:rFonts w:eastAsia="MS PGothic" w:cstheme="minorHAnsi"/>
          <w:szCs w:val="20"/>
          <w:lang w:val="sr-Cyrl-RS" w:eastAsia="ja-JP"/>
        </w:rPr>
        <w:t>ктивн</w:t>
      </w:r>
      <w:r w:rsidR="003A25EF">
        <w:rPr>
          <w:rFonts w:eastAsia="MS PGothic" w:cstheme="minorHAnsi"/>
          <w:szCs w:val="20"/>
          <w:lang w:val="sr-Cyrl-RS" w:eastAsia="ja-JP"/>
        </w:rPr>
        <w:t>о</w:t>
      </w:r>
      <w:r w:rsidRPr="00B605F7">
        <w:rPr>
          <w:rFonts w:eastAsia="MS PGothic" w:cstheme="minorHAnsi"/>
          <w:szCs w:val="20"/>
          <w:lang w:val="sr-Cyrl-RS" w:eastAsia="ja-JP"/>
        </w:rPr>
        <w:t xml:space="preserve"> на све учесталију појаву ненаменског кредитирања становништва по неоправдано дугим роковима. Ови прописи имају за циљ да допринесу спречавању настанка проблематичних кредита у банкарском сектору и подстакну опрезно преузимање ризика од стране банака њиховим усмеравањем на одрживо кредитирање и избегавање прекомерне изложености одређеним врстама кредитних производа, не нарушавајући тренд раста кредитне активности и водећи рачуна о правима и интересима корисника услуга које пружају банке, а све ради очувања и јачања финансијске стабилности у Републици Србији.</w:t>
      </w:r>
    </w:p>
    <w:p w14:paraId="1048F69A"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Влада је 27. децембра 2018. године донела Програм з</w:t>
      </w:r>
      <w:r w:rsidR="003A25EF">
        <w:rPr>
          <w:rFonts w:eastAsia="MS PGothic" w:cstheme="minorHAnsi"/>
          <w:szCs w:val="20"/>
          <w:lang w:val="sr-Cyrl-RS" w:eastAsia="ja-JP"/>
        </w:rPr>
        <w:t>а</w:t>
      </w:r>
      <w:r w:rsidRPr="00B605F7">
        <w:rPr>
          <w:rFonts w:eastAsia="MS PGothic" w:cstheme="minorHAnsi"/>
          <w:szCs w:val="20"/>
          <w:lang w:val="sr-Cyrl-RS" w:eastAsia="ja-JP"/>
        </w:rPr>
        <w:t xml:space="preserve"> р</w:t>
      </w:r>
      <w:r w:rsidR="003A25EF">
        <w:rPr>
          <w:rFonts w:eastAsia="MS PGothic" w:cstheme="minorHAnsi"/>
          <w:szCs w:val="20"/>
          <w:lang w:val="sr-Cyrl-RS" w:eastAsia="ja-JP"/>
        </w:rPr>
        <w:t>е</w:t>
      </w:r>
      <w:r w:rsidRPr="00B605F7">
        <w:rPr>
          <w:rFonts w:eastAsia="MS PGothic" w:cstheme="minorHAnsi"/>
          <w:szCs w:val="20"/>
          <w:lang w:val="sr-Cyrl-RS" w:eastAsia="ja-JP"/>
        </w:rPr>
        <w:t>ш</w:t>
      </w:r>
      <w:r w:rsidR="003A25EF">
        <w:rPr>
          <w:rFonts w:eastAsia="MS PGothic" w:cstheme="minorHAnsi"/>
          <w:szCs w:val="20"/>
          <w:lang w:val="sr-Cyrl-RS" w:eastAsia="ja-JP"/>
        </w:rPr>
        <w:t>а</w:t>
      </w:r>
      <w:r w:rsidRPr="00B605F7">
        <w:rPr>
          <w:rFonts w:eastAsia="MS PGothic" w:cstheme="minorHAnsi"/>
          <w:szCs w:val="20"/>
          <w:lang w:val="sr-Cyrl-RS" w:eastAsia="ja-JP"/>
        </w:rPr>
        <w:t>в</w:t>
      </w:r>
      <w:r w:rsidR="003A25EF">
        <w:rPr>
          <w:rFonts w:eastAsia="MS PGothic" w:cstheme="minorHAnsi"/>
          <w:szCs w:val="20"/>
          <w:lang w:val="sr-Cyrl-RS" w:eastAsia="ja-JP"/>
        </w:rPr>
        <w:t>а</w:t>
      </w:r>
      <w:r w:rsidRPr="00B605F7">
        <w:rPr>
          <w:rFonts w:eastAsia="MS PGothic" w:cstheme="minorHAnsi"/>
          <w:szCs w:val="20"/>
          <w:lang w:val="sr-Cyrl-RS" w:eastAsia="ja-JP"/>
        </w:rPr>
        <w:t>њ</w:t>
      </w:r>
      <w:r w:rsidR="003A25EF">
        <w:rPr>
          <w:rFonts w:eastAsia="MS PGothic" w:cstheme="minorHAnsi"/>
          <w:szCs w:val="20"/>
          <w:lang w:val="sr-Cyrl-RS" w:eastAsia="ja-JP"/>
        </w:rPr>
        <w:t>е</w:t>
      </w:r>
      <w:r w:rsidRPr="00B605F7">
        <w:rPr>
          <w:rFonts w:eastAsia="MS PGothic" w:cstheme="minorHAnsi"/>
          <w:szCs w:val="20"/>
          <w:lang w:val="sr-Cyrl-RS" w:eastAsia="ja-JP"/>
        </w:rPr>
        <w:t xml:space="preserve"> пр</w:t>
      </w:r>
      <w:r w:rsidR="003A25EF">
        <w:rPr>
          <w:rFonts w:eastAsia="MS PGothic" w:cstheme="minorHAnsi"/>
          <w:szCs w:val="20"/>
          <w:lang w:val="sr-Cyrl-RS" w:eastAsia="ja-JP"/>
        </w:rPr>
        <w:t>о</w:t>
      </w:r>
      <w:r w:rsidRPr="00B605F7">
        <w:rPr>
          <w:rFonts w:eastAsia="MS PGothic" w:cstheme="minorHAnsi"/>
          <w:szCs w:val="20"/>
          <w:lang w:val="sr-Cyrl-RS" w:eastAsia="ja-JP"/>
        </w:rPr>
        <w:t>бл</w:t>
      </w:r>
      <w:r w:rsidR="003A25EF">
        <w:rPr>
          <w:rFonts w:eastAsia="MS PGothic" w:cstheme="minorHAnsi"/>
          <w:szCs w:val="20"/>
          <w:lang w:val="sr-Cyrl-RS" w:eastAsia="ja-JP"/>
        </w:rPr>
        <w:t>е</w:t>
      </w:r>
      <w:r w:rsidRPr="00B605F7">
        <w:rPr>
          <w:rFonts w:eastAsia="MS PGothic" w:cstheme="minorHAnsi"/>
          <w:szCs w:val="20"/>
          <w:lang w:val="sr-Cyrl-RS" w:eastAsia="ja-JP"/>
        </w:rPr>
        <w:t>м</w:t>
      </w:r>
      <w:r w:rsidR="003A25EF">
        <w:rPr>
          <w:rFonts w:eastAsia="MS PGothic" w:cstheme="minorHAnsi"/>
          <w:szCs w:val="20"/>
          <w:lang w:val="sr-Cyrl-RS" w:eastAsia="ja-JP"/>
        </w:rPr>
        <w:t>а</w:t>
      </w:r>
      <w:r w:rsidRPr="00B605F7">
        <w:rPr>
          <w:rFonts w:eastAsia="MS PGothic" w:cstheme="minorHAnsi"/>
          <w:szCs w:val="20"/>
          <w:lang w:val="sr-Cyrl-RS" w:eastAsia="ja-JP"/>
        </w:rPr>
        <w:t>тичних кр</w:t>
      </w:r>
      <w:r w:rsidR="003A25EF">
        <w:rPr>
          <w:rFonts w:eastAsia="MS PGothic" w:cstheme="minorHAnsi"/>
          <w:szCs w:val="20"/>
          <w:lang w:val="sr-Cyrl-RS" w:eastAsia="ja-JP"/>
        </w:rPr>
        <w:t>е</w:t>
      </w:r>
      <w:r w:rsidRPr="00B605F7">
        <w:rPr>
          <w:rFonts w:eastAsia="MS PGothic" w:cstheme="minorHAnsi"/>
          <w:szCs w:val="20"/>
          <w:lang w:val="sr-Cyrl-RS" w:eastAsia="ja-JP"/>
        </w:rPr>
        <w:t>дит</w:t>
      </w:r>
      <w:r w:rsidR="003A25EF">
        <w:rPr>
          <w:rFonts w:eastAsia="MS PGothic" w:cstheme="minorHAnsi"/>
          <w:szCs w:val="20"/>
          <w:lang w:val="sr-Cyrl-RS" w:eastAsia="ja-JP"/>
        </w:rPr>
        <w:t>а</w:t>
      </w:r>
      <w:r w:rsidRPr="00B605F7">
        <w:rPr>
          <w:rFonts w:eastAsia="MS PGothic" w:cstheme="minorHAnsi"/>
          <w:szCs w:val="20"/>
          <w:lang w:val="sr-Cyrl-RS" w:eastAsia="ja-JP"/>
        </w:rPr>
        <w:t xml:space="preserve"> за период 2018–2020. године (у даљем тексту: Програм) заједно са Акционим планом за спровођење тог програма чиме је усп</w:t>
      </w:r>
      <w:r w:rsidR="003A25EF">
        <w:rPr>
          <w:rFonts w:eastAsia="MS PGothic" w:cstheme="minorHAnsi"/>
          <w:szCs w:val="20"/>
          <w:lang w:val="sr-Cyrl-RS" w:eastAsia="ja-JP"/>
        </w:rPr>
        <w:t>е</w:t>
      </w:r>
      <w:r w:rsidRPr="00B605F7">
        <w:rPr>
          <w:rFonts w:eastAsia="MS PGothic" w:cstheme="minorHAnsi"/>
          <w:szCs w:val="20"/>
          <w:lang w:val="sr-Cyrl-RS" w:eastAsia="ja-JP"/>
        </w:rPr>
        <w:t>шн</w:t>
      </w:r>
      <w:r w:rsidR="003A25EF">
        <w:rPr>
          <w:rFonts w:eastAsia="MS PGothic" w:cstheme="minorHAnsi"/>
          <w:szCs w:val="20"/>
          <w:lang w:val="sr-Cyrl-RS" w:eastAsia="ja-JP"/>
        </w:rPr>
        <w:t>о</w:t>
      </w:r>
      <w:r w:rsidRPr="00B605F7">
        <w:rPr>
          <w:rFonts w:eastAsia="MS PGothic" w:cstheme="minorHAnsi"/>
          <w:szCs w:val="20"/>
          <w:lang w:val="sr-Cyrl-RS" w:eastAsia="ja-JP"/>
        </w:rPr>
        <w:t xml:space="preserve"> испуњен и р</w:t>
      </w:r>
      <w:r w:rsidR="003A25EF">
        <w:rPr>
          <w:rFonts w:eastAsia="MS PGothic" w:cstheme="minorHAnsi"/>
          <w:szCs w:val="20"/>
          <w:lang w:val="sr-Cyrl-RS" w:eastAsia="ja-JP"/>
        </w:rPr>
        <w:t>е</w:t>
      </w:r>
      <w:r w:rsidRPr="00B605F7">
        <w:rPr>
          <w:rFonts w:eastAsia="MS PGothic" w:cstheme="minorHAnsi"/>
          <w:szCs w:val="20"/>
          <w:lang w:val="sr-Cyrl-RS" w:eastAsia="ja-JP"/>
        </w:rPr>
        <w:t>ф</w:t>
      </w:r>
      <w:r w:rsidR="003A25EF">
        <w:rPr>
          <w:rFonts w:eastAsia="MS PGothic" w:cstheme="minorHAnsi"/>
          <w:szCs w:val="20"/>
          <w:lang w:val="sr-Cyrl-RS" w:eastAsia="ja-JP"/>
        </w:rPr>
        <w:t>о</w:t>
      </w:r>
      <w:r w:rsidRPr="00B605F7">
        <w:rPr>
          <w:rFonts w:eastAsia="MS PGothic" w:cstheme="minorHAnsi"/>
          <w:szCs w:val="20"/>
          <w:lang w:val="sr-Cyrl-RS" w:eastAsia="ja-JP"/>
        </w:rPr>
        <w:t>рмски циљ унут</w:t>
      </w:r>
      <w:r w:rsidR="003A25EF">
        <w:rPr>
          <w:rFonts w:eastAsia="MS PGothic" w:cstheme="minorHAnsi"/>
          <w:szCs w:val="20"/>
          <w:lang w:val="sr-Cyrl-RS" w:eastAsia="ja-JP"/>
        </w:rPr>
        <w:t>а</w:t>
      </w:r>
      <w:r w:rsidRPr="00B605F7">
        <w:rPr>
          <w:rFonts w:eastAsia="MS PGothic" w:cstheme="minorHAnsi"/>
          <w:szCs w:val="20"/>
          <w:lang w:val="sr-Cyrl-RS" w:eastAsia="ja-JP"/>
        </w:rPr>
        <w:t>р пр</w:t>
      </w:r>
      <w:r w:rsidR="003A25EF">
        <w:rPr>
          <w:rFonts w:eastAsia="MS PGothic" w:cstheme="minorHAnsi"/>
          <w:szCs w:val="20"/>
          <w:lang w:val="sr-Cyrl-RS" w:eastAsia="ja-JP"/>
        </w:rPr>
        <w:t>о</w:t>
      </w:r>
      <w:r w:rsidRPr="00B605F7">
        <w:rPr>
          <w:rFonts w:eastAsia="MS PGothic" w:cstheme="minorHAnsi"/>
          <w:szCs w:val="20"/>
          <w:lang w:val="sr-Cyrl-RS" w:eastAsia="ja-JP"/>
        </w:rPr>
        <w:t>гр</w:t>
      </w:r>
      <w:r w:rsidR="003A25EF">
        <w:rPr>
          <w:rFonts w:eastAsia="MS PGothic" w:cstheme="minorHAnsi"/>
          <w:szCs w:val="20"/>
          <w:lang w:val="sr-Cyrl-RS" w:eastAsia="ja-JP"/>
        </w:rPr>
        <w:t>а</w:t>
      </w:r>
      <w:r w:rsidRPr="00B605F7">
        <w:rPr>
          <w:rFonts w:eastAsia="MS PGothic" w:cstheme="minorHAnsi"/>
          <w:szCs w:val="20"/>
          <w:lang w:val="sr-Cyrl-RS" w:eastAsia="ja-JP"/>
        </w:rPr>
        <w:t>м</w:t>
      </w:r>
      <w:r w:rsidR="003A25EF">
        <w:rPr>
          <w:rFonts w:eastAsia="MS PGothic" w:cstheme="minorHAnsi"/>
          <w:szCs w:val="20"/>
          <w:lang w:val="sr-Cyrl-RS" w:eastAsia="ja-JP"/>
        </w:rPr>
        <w:t>а</w:t>
      </w:r>
      <w:r w:rsidRPr="00B605F7">
        <w:rPr>
          <w:rFonts w:eastAsia="MS PGothic" w:cstheme="minorHAnsi"/>
          <w:szCs w:val="20"/>
          <w:lang w:val="sr-Cyrl-RS" w:eastAsia="ja-JP"/>
        </w:rPr>
        <w:t xml:space="preserve"> с</w:t>
      </w:r>
      <w:r w:rsidR="00306468">
        <w:rPr>
          <w:rFonts w:eastAsia="MS PGothic" w:cstheme="minorHAnsi"/>
          <w:szCs w:val="20"/>
          <w:lang w:val="sr-Cyrl-RS" w:eastAsia="ja-JP"/>
        </w:rPr>
        <w:t>а</w:t>
      </w:r>
      <w:r w:rsidRPr="00B605F7">
        <w:rPr>
          <w:rFonts w:eastAsia="MS PGothic" w:cstheme="minorHAnsi"/>
          <w:szCs w:val="20"/>
          <w:lang w:val="sr-Cyrl-RS" w:eastAsia="ja-JP"/>
        </w:rPr>
        <w:t>р</w:t>
      </w:r>
      <w:r w:rsidR="00306468">
        <w:rPr>
          <w:rFonts w:eastAsia="MS PGothic" w:cstheme="minorHAnsi"/>
          <w:szCs w:val="20"/>
          <w:lang w:val="sr-Cyrl-RS" w:eastAsia="ja-JP"/>
        </w:rPr>
        <w:t>а</w:t>
      </w:r>
      <w:r w:rsidRPr="00B605F7">
        <w:rPr>
          <w:rFonts w:eastAsia="MS PGothic" w:cstheme="minorHAnsi"/>
          <w:szCs w:val="20"/>
          <w:lang w:val="sr-Cyrl-RS" w:eastAsia="ja-JP"/>
        </w:rPr>
        <w:t>дњ</w:t>
      </w:r>
      <w:r w:rsidR="00306468">
        <w:rPr>
          <w:rFonts w:eastAsia="MS PGothic" w:cstheme="minorHAnsi"/>
          <w:szCs w:val="20"/>
          <w:lang w:val="sr-Cyrl-RS" w:eastAsia="ja-JP"/>
        </w:rPr>
        <w:t>е</w:t>
      </w:r>
      <w:r w:rsidRPr="00B605F7">
        <w:rPr>
          <w:rFonts w:eastAsia="MS PGothic" w:cstheme="minorHAnsi"/>
          <w:szCs w:val="20"/>
          <w:lang w:val="sr-Cyrl-RS" w:eastAsia="ja-JP"/>
        </w:rPr>
        <w:t xml:space="preserve"> с</w:t>
      </w:r>
      <w:r w:rsidR="00306468">
        <w:rPr>
          <w:rFonts w:eastAsia="MS PGothic" w:cstheme="minorHAnsi"/>
          <w:szCs w:val="20"/>
          <w:lang w:val="sr-Cyrl-RS" w:eastAsia="ja-JP"/>
        </w:rPr>
        <w:t>а</w:t>
      </w:r>
      <w:r w:rsidRPr="00B605F7">
        <w:rPr>
          <w:rFonts w:eastAsia="MS PGothic" w:cstheme="minorHAnsi"/>
          <w:szCs w:val="20"/>
          <w:lang w:val="sr-Cyrl-RS" w:eastAsia="ja-JP"/>
        </w:rPr>
        <w:t xml:space="preserve"> ММФ и з</w:t>
      </w:r>
      <w:r w:rsidR="00306468">
        <w:rPr>
          <w:rFonts w:eastAsia="MS PGothic" w:cstheme="minorHAnsi"/>
          <w:szCs w:val="20"/>
          <w:lang w:val="sr-Cyrl-RS" w:eastAsia="ja-JP"/>
        </w:rPr>
        <w:t>а</w:t>
      </w:r>
      <w:r w:rsidRPr="00B605F7">
        <w:rPr>
          <w:rFonts w:eastAsia="MS PGothic" w:cstheme="minorHAnsi"/>
          <w:szCs w:val="20"/>
          <w:lang w:val="sr-Cyrl-RS" w:eastAsia="ja-JP"/>
        </w:rPr>
        <w:t>црт</w:t>
      </w:r>
      <w:r w:rsidR="00306468">
        <w:rPr>
          <w:rFonts w:eastAsia="MS PGothic" w:cstheme="minorHAnsi"/>
          <w:szCs w:val="20"/>
          <w:lang w:val="sr-Cyrl-RS" w:eastAsia="ja-JP"/>
        </w:rPr>
        <w:t>а</w:t>
      </w:r>
      <w:r w:rsidRPr="00B605F7">
        <w:rPr>
          <w:rFonts w:eastAsia="MS PGothic" w:cstheme="minorHAnsi"/>
          <w:szCs w:val="20"/>
          <w:lang w:val="sr-Cyrl-RS" w:eastAsia="ja-JP"/>
        </w:rPr>
        <w:t>н пут з</w:t>
      </w:r>
      <w:r w:rsidR="00306468">
        <w:rPr>
          <w:rFonts w:eastAsia="MS PGothic" w:cstheme="minorHAnsi"/>
          <w:szCs w:val="20"/>
          <w:lang w:val="sr-Cyrl-RS" w:eastAsia="ja-JP"/>
        </w:rPr>
        <w:t>а</w:t>
      </w:r>
      <w:r w:rsidRPr="00B605F7">
        <w:rPr>
          <w:rFonts w:eastAsia="MS PGothic" w:cstheme="minorHAnsi"/>
          <w:szCs w:val="20"/>
          <w:lang w:val="sr-Cyrl-RS" w:eastAsia="ja-JP"/>
        </w:rPr>
        <w:t xml:space="preserve"> д</w:t>
      </w:r>
      <w:r w:rsidR="00306468">
        <w:rPr>
          <w:rFonts w:eastAsia="MS PGothic" w:cstheme="minorHAnsi"/>
          <w:szCs w:val="20"/>
          <w:lang w:val="sr-Cyrl-RS" w:eastAsia="ja-JP"/>
        </w:rPr>
        <w:t>а</w:t>
      </w:r>
      <w:r w:rsidRPr="00B605F7">
        <w:rPr>
          <w:rFonts w:eastAsia="MS PGothic" w:cstheme="minorHAnsi"/>
          <w:szCs w:val="20"/>
          <w:lang w:val="sr-Cyrl-RS" w:eastAsia="ja-JP"/>
        </w:rPr>
        <w:t>љи усп</w:t>
      </w:r>
      <w:r w:rsidR="00306468">
        <w:rPr>
          <w:rFonts w:eastAsia="MS PGothic" w:cstheme="minorHAnsi"/>
          <w:szCs w:val="20"/>
          <w:lang w:val="sr-Cyrl-RS" w:eastAsia="ja-JP"/>
        </w:rPr>
        <w:t>е</w:t>
      </w:r>
      <w:r w:rsidRPr="00B605F7">
        <w:rPr>
          <w:rFonts w:eastAsia="MS PGothic" w:cstheme="minorHAnsi"/>
          <w:szCs w:val="20"/>
          <w:lang w:val="sr-Cyrl-RS" w:eastAsia="ja-JP"/>
        </w:rPr>
        <w:t>ш</w:t>
      </w:r>
      <w:r w:rsidR="00306468">
        <w:rPr>
          <w:rFonts w:eastAsia="MS PGothic" w:cstheme="minorHAnsi"/>
          <w:szCs w:val="20"/>
          <w:lang w:val="sr-Cyrl-RS" w:eastAsia="ja-JP"/>
        </w:rPr>
        <w:t>а</w:t>
      </w:r>
      <w:r w:rsidRPr="00B605F7">
        <w:rPr>
          <w:rFonts w:eastAsia="MS PGothic" w:cstheme="minorHAnsi"/>
          <w:szCs w:val="20"/>
          <w:lang w:val="sr-Cyrl-RS" w:eastAsia="ja-JP"/>
        </w:rPr>
        <w:t xml:space="preserve">н </w:t>
      </w:r>
      <w:r w:rsidRPr="00B605F7">
        <w:rPr>
          <w:rFonts w:eastAsia="MS PGothic" w:cstheme="minorHAnsi"/>
          <w:szCs w:val="20"/>
          <w:lang w:val="sr-Cyrl-RS" w:eastAsia="ja-JP"/>
        </w:rPr>
        <w:lastRenderedPageBreak/>
        <w:t>р</w:t>
      </w:r>
      <w:r w:rsidR="00306468">
        <w:rPr>
          <w:rFonts w:eastAsia="MS PGothic" w:cstheme="minorHAnsi"/>
          <w:szCs w:val="20"/>
          <w:lang w:val="sr-Cyrl-RS" w:eastAsia="ja-JP"/>
        </w:rPr>
        <w:t>а</w:t>
      </w:r>
      <w:r w:rsidRPr="00B605F7">
        <w:rPr>
          <w:rFonts w:eastAsia="MS PGothic" w:cstheme="minorHAnsi"/>
          <w:szCs w:val="20"/>
          <w:lang w:val="sr-Cyrl-RS" w:eastAsia="ja-JP"/>
        </w:rPr>
        <w:t>д н</w:t>
      </w:r>
      <w:r w:rsidR="00306468">
        <w:rPr>
          <w:rFonts w:eastAsia="MS PGothic" w:cstheme="minorHAnsi"/>
          <w:szCs w:val="20"/>
          <w:lang w:val="sr-Cyrl-RS" w:eastAsia="ja-JP"/>
        </w:rPr>
        <w:t>а реша</w:t>
      </w:r>
      <w:r w:rsidRPr="00B605F7">
        <w:rPr>
          <w:rFonts w:eastAsia="MS PGothic" w:cstheme="minorHAnsi"/>
          <w:szCs w:val="20"/>
          <w:lang w:val="sr-Cyrl-RS" w:eastAsia="ja-JP"/>
        </w:rPr>
        <w:t>в</w:t>
      </w:r>
      <w:r w:rsidR="00306468">
        <w:rPr>
          <w:rFonts w:eastAsia="MS PGothic" w:cstheme="minorHAnsi"/>
          <w:szCs w:val="20"/>
          <w:lang w:val="sr-Cyrl-RS" w:eastAsia="ja-JP"/>
        </w:rPr>
        <w:t>а</w:t>
      </w:r>
      <w:r w:rsidRPr="00B605F7">
        <w:rPr>
          <w:rFonts w:eastAsia="MS PGothic" w:cstheme="minorHAnsi"/>
          <w:szCs w:val="20"/>
          <w:lang w:val="sr-Cyrl-RS" w:eastAsia="ja-JP"/>
        </w:rPr>
        <w:t>њу пит</w:t>
      </w:r>
      <w:r w:rsidR="00306468">
        <w:rPr>
          <w:rFonts w:eastAsia="MS PGothic" w:cstheme="minorHAnsi"/>
          <w:szCs w:val="20"/>
          <w:lang w:val="sr-Cyrl-RS" w:eastAsia="ja-JP"/>
        </w:rPr>
        <w:t>а</w:t>
      </w:r>
      <w:r w:rsidRPr="00B605F7">
        <w:rPr>
          <w:rFonts w:eastAsia="MS PGothic" w:cstheme="minorHAnsi"/>
          <w:szCs w:val="20"/>
          <w:lang w:val="sr-Cyrl-RS" w:eastAsia="ja-JP"/>
        </w:rPr>
        <w:t>њ</w:t>
      </w:r>
      <w:r w:rsidR="00306468">
        <w:rPr>
          <w:rFonts w:eastAsia="MS PGothic" w:cstheme="minorHAnsi"/>
          <w:szCs w:val="20"/>
          <w:lang w:val="sr-Cyrl-RS" w:eastAsia="ja-JP"/>
        </w:rPr>
        <w:t>а</w:t>
      </w:r>
      <w:r w:rsidRPr="00B605F7">
        <w:rPr>
          <w:rFonts w:eastAsia="MS PGothic" w:cstheme="minorHAnsi"/>
          <w:szCs w:val="20"/>
          <w:lang w:val="sr-Cyrl-RS" w:eastAsia="ja-JP"/>
        </w:rPr>
        <w:t xml:space="preserve"> пр</w:t>
      </w:r>
      <w:r w:rsidR="00306468">
        <w:rPr>
          <w:rFonts w:eastAsia="MS PGothic" w:cstheme="minorHAnsi"/>
          <w:szCs w:val="20"/>
          <w:lang w:val="sr-Cyrl-RS" w:eastAsia="ja-JP"/>
        </w:rPr>
        <w:t>о</w:t>
      </w:r>
      <w:r w:rsidRPr="00B605F7">
        <w:rPr>
          <w:rFonts w:eastAsia="MS PGothic" w:cstheme="minorHAnsi"/>
          <w:szCs w:val="20"/>
          <w:lang w:val="sr-Cyrl-RS" w:eastAsia="ja-JP"/>
        </w:rPr>
        <w:t>бл</w:t>
      </w:r>
      <w:r w:rsidR="00306468">
        <w:rPr>
          <w:rFonts w:eastAsia="MS PGothic" w:cstheme="minorHAnsi"/>
          <w:szCs w:val="20"/>
          <w:lang w:val="sr-Cyrl-RS" w:eastAsia="ja-JP"/>
        </w:rPr>
        <w:t>е</w:t>
      </w:r>
      <w:r w:rsidRPr="00B605F7">
        <w:rPr>
          <w:rFonts w:eastAsia="MS PGothic" w:cstheme="minorHAnsi"/>
          <w:szCs w:val="20"/>
          <w:lang w:val="sr-Cyrl-RS" w:eastAsia="ja-JP"/>
        </w:rPr>
        <w:t>м</w:t>
      </w:r>
      <w:r w:rsidR="00306468">
        <w:rPr>
          <w:rFonts w:eastAsia="MS PGothic" w:cstheme="minorHAnsi"/>
          <w:szCs w:val="20"/>
          <w:lang w:val="sr-Cyrl-RS" w:eastAsia="ja-JP"/>
        </w:rPr>
        <w:t>а</w:t>
      </w:r>
      <w:r w:rsidRPr="00B605F7">
        <w:rPr>
          <w:rFonts w:eastAsia="MS PGothic" w:cstheme="minorHAnsi"/>
          <w:szCs w:val="20"/>
          <w:lang w:val="sr-Cyrl-RS" w:eastAsia="ja-JP"/>
        </w:rPr>
        <w:t>тичних п</w:t>
      </w:r>
      <w:r w:rsidR="00306468">
        <w:rPr>
          <w:rFonts w:eastAsia="MS PGothic" w:cstheme="minorHAnsi"/>
          <w:szCs w:val="20"/>
          <w:lang w:val="sr-Cyrl-RS" w:eastAsia="ja-JP"/>
        </w:rPr>
        <w:t>о</w:t>
      </w:r>
      <w:r w:rsidRPr="00B605F7">
        <w:rPr>
          <w:rFonts w:eastAsia="MS PGothic" w:cstheme="minorHAnsi"/>
          <w:szCs w:val="20"/>
          <w:lang w:val="sr-Cyrl-RS" w:eastAsia="ja-JP"/>
        </w:rPr>
        <w:t>тр</w:t>
      </w:r>
      <w:r w:rsidR="00306468">
        <w:rPr>
          <w:rFonts w:eastAsia="MS PGothic" w:cstheme="minorHAnsi"/>
          <w:szCs w:val="20"/>
          <w:lang w:val="sr-Cyrl-RS" w:eastAsia="ja-JP"/>
        </w:rPr>
        <w:t>а</w:t>
      </w:r>
      <w:r w:rsidRPr="00B605F7">
        <w:rPr>
          <w:rFonts w:eastAsia="MS PGothic" w:cstheme="minorHAnsi"/>
          <w:szCs w:val="20"/>
          <w:lang w:val="sr-Cyrl-RS" w:eastAsia="ja-JP"/>
        </w:rPr>
        <w:t>жив</w:t>
      </w:r>
      <w:r w:rsidR="00306468">
        <w:rPr>
          <w:rFonts w:eastAsia="MS PGothic" w:cstheme="minorHAnsi"/>
          <w:szCs w:val="20"/>
          <w:lang w:val="sr-Cyrl-RS" w:eastAsia="ja-JP"/>
        </w:rPr>
        <w:t>а</w:t>
      </w:r>
      <w:r w:rsidRPr="00B605F7">
        <w:rPr>
          <w:rFonts w:eastAsia="MS PGothic" w:cstheme="minorHAnsi"/>
          <w:szCs w:val="20"/>
          <w:lang w:val="sr-Cyrl-RS" w:eastAsia="ja-JP"/>
        </w:rPr>
        <w:t>њ</w:t>
      </w:r>
      <w:r w:rsidR="00306468">
        <w:rPr>
          <w:rFonts w:eastAsia="MS PGothic" w:cstheme="minorHAnsi"/>
          <w:szCs w:val="20"/>
          <w:lang w:val="sr-Cyrl-RS" w:eastAsia="ja-JP"/>
        </w:rPr>
        <w:t>а</w:t>
      </w:r>
      <w:r w:rsidRPr="00B605F7">
        <w:rPr>
          <w:rFonts w:eastAsia="MS PGothic" w:cstheme="minorHAnsi"/>
          <w:szCs w:val="20"/>
          <w:lang w:val="sr-Cyrl-RS" w:eastAsia="ja-JP"/>
        </w:rPr>
        <w:t>.</w:t>
      </w:r>
    </w:p>
    <w:p w14:paraId="5A293933"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Главни фокус поменутог документа јавне политике представља решавање питања проблематичних пласмана банака у стечају и пласмана у име и за рачун Републике Србије, којима управља АОД. У складу са тим, усвојени су стратешки и годишњи оперативни планови за АОД, Резолуција портфеља проблематичних пласмана, и развијени су унутрашњи капацитети за њихово решавање. У јуну 2019. године, АОД успешно је окончала </w:t>
      </w:r>
      <w:r w:rsidR="00103068">
        <w:rPr>
          <w:rFonts w:eastAsia="MS PGothic" w:cstheme="minorHAnsi"/>
          <w:szCs w:val="20"/>
          <w:lang w:val="sr-Cyrl-RS" w:eastAsia="ja-JP"/>
        </w:rPr>
        <w:t xml:space="preserve">продају првог, </w:t>
      </w:r>
      <w:r w:rsidRPr="00B605F7">
        <w:rPr>
          <w:rFonts w:eastAsia="MS PGothic" w:cstheme="minorHAnsi"/>
          <w:szCs w:val="20"/>
          <w:lang w:val="sr-Cyrl-RS" w:eastAsia="ja-JP"/>
        </w:rPr>
        <w:t>„пилот портфеља</w:t>
      </w:r>
      <w:r w:rsidR="00C6085C" w:rsidRPr="00C6085C">
        <w:rPr>
          <w:rFonts w:eastAsia="MS PGothic" w:cstheme="minorHAnsi"/>
          <w:szCs w:val="20"/>
          <w:lang w:val="sr-Cyrl-CS" w:eastAsia="ja-JP"/>
        </w:rPr>
        <w:t>”</w:t>
      </w:r>
      <w:r w:rsidRPr="00B605F7">
        <w:rPr>
          <w:rFonts w:eastAsia="MS PGothic" w:cstheme="minorHAnsi"/>
          <w:szCs w:val="20"/>
          <w:lang w:val="sr-Cyrl-RS" w:eastAsia="ja-JP"/>
        </w:rPr>
        <w:t>, номиналне вредности од око 242 милиона евра, док је дана 30. септембра 2019. године обја</w:t>
      </w:r>
      <w:r w:rsidR="00103068">
        <w:rPr>
          <w:rFonts w:eastAsia="MS PGothic" w:cstheme="minorHAnsi"/>
          <w:szCs w:val="20"/>
          <w:lang w:val="sr-Cyrl-RS" w:eastAsia="ja-JP"/>
        </w:rPr>
        <w:t xml:space="preserve">вила оглас за уступање другог, </w:t>
      </w:r>
      <w:r w:rsidRPr="00B605F7">
        <w:rPr>
          <w:rFonts w:eastAsia="MS PGothic" w:cstheme="minorHAnsi"/>
          <w:szCs w:val="20"/>
          <w:lang w:val="sr-Cyrl-RS" w:eastAsia="ja-JP"/>
        </w:rPr>
        <w:t>„великог портфеља</w:t>
      </w:r>
      <w:r w:rsidR="0000208A" w:rsidRPr="0000208A">
        <w:rPr>
          <w:rFonts w:eastAsia="MS PGothic" w:cstheme="minorHAnsi"/>
          <w:szCs w:val="20"/>
          <w:lang w:val="sr-Cyrl-RS" w:eastAsia="ja-JP"/>
        </w:rPr>
        <w:t>”</w:t>
      </w:r>
      <w:r w:rsidRPr="00B605F7">
        <w:rPr>
          <w:rFonts w:eastAsia="MS PGothic" w:cstheme="minorHAnsi"/>
          <w:szCs w:val="20"/>
          <w:lang w:val="sr-Cyrl-RS" w:eastAsia="ja-JP"/>
        </w:rPr>
        <w:t>, номиналне вредности од 1,82 милијарде евра. Због ограничавајућих фактора изазваних пандемијом COVID-19 на способност инвеститора да спроведу поступак анализе, отварање обавезујућих понуда извршено је 10. септембра 2020. године, а укупно је примљено пет обавезујућих понуда.</w:t>
      </w:r>
    </w:p>
    <w:p w14:paraId="7A844FC3"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Након вишемесечних преговора са најбољим понуђачима, у складу са Закључком Владе 05 Број 401-1646/2021 од 25. фебруара 2021. године, Закључком Покрајинске владе 127 Број 422-6/2021 од 3. марта 2021. године и одлукама Одбора поверилаца свих финансијских институција у стечају, чија потраживања су предмет уступања, изабрана је најбоља понуда у поступку уступања портфеља потраживања уз накнаду, методом јавног прикупљања понуда тендером (шифра огласа: ЈПП-1/19) и поступак уступања „великог</w:t>
      </w:r>
      <w:r w:rsidR="0000208A" w:rsidRPr="0000208A">
        <w:rPr>
          <w:rFonts w:eastAsia="MS PGothic" w:cstheme="minorHAnsi"/>
          <w:szCs w:val="20"/>
          <w:lang w:val="sr-Cyrl-RS" w:eastAsia="ja-JP"/>
        </w:rPr>
        <w:t>”</w:t>
      </w:r>
      <w:r w:rsidRPr="00B605F7">
        <w:rPr>
          <w:rFonts w:eastAsia="MS PGothic" w:cstheme="minorHAnsi"/>
          <w:szCs w:val="20"/>
          <w:lang w:val="sr-Cyrl-RS" w:eastAsia="ja-JP"/>
        </w:rPr>
        <w:t xml:space="preserve"> портфеља је успешно окончан дана 19. априла 2021. године, потписивањем Оквирних уговора о уступању портфеља потраживања и исплатом накнаде за уступање.</w:t>
      </w:r>
    </w:p>
    <w:p w14:paraId="40F4DDCE"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Имплементација других мера за решавање проблематичних кредита, како из Стратегије за решавање проблематичних кредита, тако и из горепоменутог Програма, наставља да даје резултате. </w:t>
      </w:r>
      <w:r w:rsidRPr="00B605F7">
        <w:rPr>
          <w:lang w:val="sr-Cyrl-RS"/>
        </w:rPr>
        <w:t>Смањење проблематичних кредита у периоду август 2015. – септембар 2020. године износи 33</w:t>
      </w:r>
      <w:r w:rsidRPr="00B605F7">
        <w:rPr>
          <w:lang w:val="sr-Latn-RS"/>
        </w:rPr>
        <w:t>3</w:t>
      </w:r>
      <w:r w:rsidRPr="00B605F7">
        <w:rPr>
          <w:lang w:val="sr-Cyrl-RS"/>
        </w:rPr>
        <w:t xml:space="preserve">,0 млрд динара, док се резултат Стратегије за решавање проблематичних кредита </w:t>
      </w:r>
      <w:r w:rsidRPr="00B605F7">
        <w:rPr>
          <w:lang w:val="sr-Cyrl-RS"/>
        </w:rPr>
        <w:t>огледа кроз историјски најнижи удео проблематичних кредита на крају септембра 2020. од 3,4%. У поређењу са тим показатељем пре примене Стратегије (22,25%) бележи се импресивно смањење за 18,</w:t>
      </w:r>
      <w:r w:rsidRPr="00B605F7">
        <w:rPr>
          <w:lang w:val="sr-Latn-RS"/>
        </w:rPr>
        <w:t>82</w:t>
      </w:r>
      <w:r w:rsidRPr="00B605F7">
        <w:rPr>
          <w:lang w:val="sr-Cyrl-RS"/>
        </w:rPr>
        <w:t xml:space="preserve"> п</w:t>
      </w:r>
      <w:r w:rsidRPr="00B605F7">
        <w:rPr>
          <w:rFonts w:eastAsia="MS PGothic" w:cstheme="minorHAnsi"/>
          <w:szCs w:val="20"/>
          <w:lang w:val="sr-Cyrl-RS" w:eastAsia="ja-JP"/>
        </w:rPr>
        <w:t>.п. То је конкретна потврда да су мере добро дефинисане и да су дале одличне ефекте.</w:t>
      </w:r>
    </w:p>
    <w:p w14:paraId="0CEE0C51"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НБС је деловала и изван оквира Стратегије, попут доношења Одлуке о рачуноводственом отпису билансне активе банке, што је употпунило регулаторне активности. И покривеност проблематичних кредита припадајућим исправкама вредности у складу са међународним рачуноводственим стандардима, која је на нивоу од 62%, недвосмислено, уз све друге показатеље здравља финансијског система, потврђује стабилност нашег банкарског сектора.</w:t>
      </w:r>
    </w:p>
    <w:p w14:paraId="235B4928"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Стварањем стабилних услова пословања, наша економија је ушла у инвестициони циклус 2015. године, и од тада инвестиције по обиму представљају добар део раста економије. Профитабилност привреде расте у условима ниске и стабилне инфлације и релативно</w:t>
      </w:r>
      <w:r w:rsidRPr="00B605F7">
        <w:rPr>
          <w:rFonts w:eastAsia="Calibri" w:cstheme="minorHAnsi"/>
          <w:color w:val="auto"/>
          <w:szCs w:val="20"/>
          <w:lang w:val="sr-Cyrl-RS" w:eastAsia="ja-JP"/>
        </w:rPr>
        <w:t xml:space="preserve"> </w:t>
      </w:r>
      <w:r w:rsidRPr="00B605F7">
        <w:rPr>
          <w:rFonts w:eastAsia="MS PGothic" w:cstheme="minorHAnsi"/>
          <w:szCs w:val="20"/>
          <w:lang w:val="sr-Cyrl-RS" w:eastAsia="ja-JP"/>
        </w:rPr>
        <w:t>стабилног курса. Све су то били кључни фактори за одрживо решавање питања проблематичних кредита. То се јасно види и из чињенице да је у гранама које су и носиоци нашег раста, забележен и највећи пад проблематичних кредита – што је евидентно у прерађивачкој индустрији и грађевинарству.</w:t>
      </w:r>
    </w:p>
    <w:p w14:paraId="0012532F"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Осигурање депозита је механизам који доприноси очувању финансијске стабилности и обезбеђује заштиту депонената. Систем осигурања депозита обезбеђује да се сваком заштићеном депоненту</w:t>
      </w:r>
      <w:r w:rsidRPr="00B605F7">
        <w:rPr>
          <w:rFonts w:eastAsia="MS PGothic" w:cstheme="minorHAnsi"/>
          <w:sz w:val="12"/>
          <w:szCs w:val="12"/>
          <w:vertAlign w:val="superscript"/>
          <w:lang w:val="sr-Cyrl-RS" w:eastAsia="ja-JP"/>
        </w:rPr>
        <w:footnoteReference w:id="11"/>
      </w:r>
      <w:r w:rsidRPr="00B605F7">
        <w:rPr>
          <w:rFonts w:eastAsia="MS PGothic" w:cstheme="minorHAnsi"/>
          <w:sz w:val="12"/>
          <w:szCs w:val="12"/>
          <w:lang w:val="sr-Cyrl-RS" w:eastAsia="ja-JP"/>
        </w:rPr>
        <w:t xml:space="preserve"> </w:t>
      </w:r>
      <w:r w:rsidRPr="00B605F7">
        <w:rPr>
          <w:rFonts w:eastAsia="MS PGothic" w:cstheme="minorHAnsi"/>
          <w:szCs w:val="20"/>
          <w:lang w:val="sr-Cyrl-RS" w:eastAsia="ja-JP"/>
        </w:rPr>
        <w:t>исплати целокупан износ улога у свакој банци до осигураног износа од 50.000 евра у случају стечаја или ликвидације банке. Осигурање депозита регулисано је Законом о осигурању депозита.</w:t>
      </w:r>
    </w:p>
    <w:p w14:paraId="5A0DE8C5"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У октобру 2019. године, усвојен је Закон о изменама и допунама Закона о осигурању депозита из 2019. године, којим се настојало да се систем осигурања депозита додатно усклади са најбољом међународном праксом и стандардима, као и правним тековинама ЕУ и то у погледу: метода обрачуна премије (увођење могућности </w:t>
      </w:r>
      <w:r w:rsidRPr="00B605F7">
        <w:rPr>
          <w:rFonts w:eastAsia="MS PGothic" w:cstheme="minorHAnsi"/>
          <w:szCs w:val="20"/>
          <w:lang w:val="sr-Cyrl-RS" w:eastAsia="ja-JP"/>
        </w:rPr>
        <w:lastRenderedPageBreak/>
        <w:t>обрачуна премије на основу нивоа ризика у пословању банака), основице за обрачун премије, висине ванредне премије, заштите депонената спојених или припојених банака, циљног износа фонда за осигурање депозита и др, све са циљем доприноса финансијској стабилности кроз подстицај смањењу ризика у пословању банака, јачање поверења јавности у финансијски систем и повећање ефикасности система осигурања депозита.</w:t>
      </w:r>
    </w:p>
    <w:p w14:paraId="62A7BE55"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Уважавајући одредбе Закона о изменама и допунама Закона о осигурању депозита, премија осигурања депозита се почев од наплате премије за први квартал 2020. године обрачунава на измењену основицу, односно на основу просечног стања укупних осигураних износа до 50.000 евра (осигурањем покривени износ депозита) у банци у претходном тромесечју, уместо на основу просечног стања укупних осигураних депозита. Овом изменом, см</w:t>
      </w:r>
      <w:r w:rsidR="00C757BE">
        <w:rPr>
          <w:rFonts w:eastAsia="MS PGothic" w:cstheme="minorHAnsi"/>
          <w:szCs w:val="20"/>
          <w:lang w:val="sr-Cyrl-RS" w:eastAsia="ja-JP"/>
        </w:rPr>
        <w:t>а</w:t>
      </w:r>
      <w:r w:rsidRPr="00B605F7">
        <w:rPr>
          <w:rFonts w:eastAsia="MS PGothic" w:cstheme="minorHAnsi"/>
          <w:szCs w:val="20"/>
          <w:lang w:val="sr-Cyrl-RS" w:eastAsia="ja-JP"/>
        </w:rPr>
        <w:t>њ</w:t>
      </w:r>
      <w:r w:rsidR="00C757BE">
        <w:rPr>
          <w:rFonts w:eastAsia="MS PGothic" w:cstheme="minorHAnsi"/>
          <w:szCs w:val="20"/>
          <w:lang w:val="sr-Cyrl-RS" w:eastAsia="ja-JP"/>
        </w:rPr>
        <w:t>е</w:t>
      </w:r>
      <w:r w:rsidRPr="00B605F7">
        <w:rPr>
          <w:rFonts w:eastAsia="MS PGothic" w:cstheme="minorHAnsi"/>
          <w:szCs w:val="20"/>
          <w:lang w:val="sr-Cyrl-RS" w:eastAsia="ja-JP"/>
        </w:rPr>
        <w:t>не су обавезе банака по основу плаћања премије осигурања депозита у просеку за око 30%, чиме се посредно омогућила већа инвестициона активност банака.</w:t>
      </w:r>
    </w:p>
    <w:p w14:paraId="583DB884"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Како је законом уведена и могућност обрачуна премије на основу нивоа ризика у пословању банака, прописана је обавеза Агенцији да донесе Методологију за обрачун премије осигурања депозита на основу нивоа ризика у пословању банака у року од годину дана од дана ступања на снагу овог закона. Управни одбор Агенције усвојио је текст Методологије 15. октобра 2020. године уз претходну сагласност </w:t>
      </w:r>
      <w:r w:rsidR="00BA23FA" w:rsidRPr="00BA23FA">
        <w:rPr>
          <w:rFonts w:eastAsia="MS PGothic" w:cstheme="minorHAnsi"/>
          <w:szCs w:val="20"/>
          <w:lang w:val="sr-Cyrl-RS" w:eastAsia="ja-JP"/>
        </w:rPr>
        <w:t>НБС</w:t>
      </w:r>
      <w:r w:rsidRPr="00B605F7">
        <w:rPr>
          <w:rFonts w:eastAsia="MS PGothic" w:cstheme="minorHAnsi"/>
          <w:szCs w:val="20"/>
          <w:lang w:val="sr-Cyrl-RS" w:eastAsia="ja-JP"/>
        </w:rPr>
        <w:t>, чиме је испуњена законска обавеза у прописаном року, а посебном одлуком Управног одбора Агенције ће се одлучити о почетку примене Методологије.</w:t>
      </w:r>
    </w:p>
    <w:p w14:paraId="52DC8089"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У систему осигурања депозита Република Србија је ултимативни гарант исплате осигураних депозита. У сврху обезбеђивања средстава за осигурање депозита АОД наплаћује премију осигурања депозита од банака за рачун Фонда за осигурање депозита, управља имовином фонда и исплаћује депозите до осигураног износа у случају стечаја или ликвидације банке. Додатно, средства фонда се могу користити и за финансирање поступка реструктурирања банака у обиму и под условима утврђеним законом којим се уређују банке. У случају недостајућих средстава у фонду за </w:t>
      </w:r>
      <w:r w:rsidRPr="00B605F7">
        <w:rPr>
          <w:rFonts w:eastAsia="MS PGothic" w:cstheme="minorHAnsi"/>
          <w:szCs w:val="20"/>
          <w:lang w:val="sr-Cyrl-RS" w:eastAsia="ja-JP"/>
        </w:rPr>
        <w:t>осигурање депозита, Република Србија обезбеђује исплату било средствима из буџета, било давањем гаранције за задуживање АОД.</w:t>
      </w:r>
    </w:p>
    <w:p w14:paraId="703BE6C7"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Влада Републике Србије је дана 24. марта 2020. године донела Уредбу о улагању за време ванредног стања девизних средстава којима управља Агенција за осигурање депозита, којом је прописано да за време ванредног стања насталог услед болести COVID-19</w:t>
      </w:r>
      <w:r w:rsidR="00103068">
        <w:rPr>
          <w:rFonts w:eastAsia="MS PGothic" w:cstheme="minorHAnsi"/>
          <w:szCs w:val="20"/>
          <w:lang w:val="sr-Cyrl-RS" w:eastAsia="ja-JP"/>
        </w:rPr>
        <w:t xml:space="preserve"> изазване вирусом SARS-CoV-2 </w:t>
      </w:r>
      <w:r w:rsidRPr="00B605F7">
        <w:rPr>
          <w:rFonts w:eastAsia="MS PGothic" w:cstheme="minorHAnsi"/>
          <w:szCs w:val="20"/>
          <w:lang w:val="sr-Cyrl-RS" w:eastAsia="ja-JP"/>
        </w:rPr>
        <w:t>Агенција може улагати више од четвртине девизних средстава Фонда у девизне дужничке хартије од вредности које издаје Република Србија. У складу с Уредбом, Агенција је дужна да у року од годину дана од дана престанка ванредног стања (до 6. маја 2021. године) износ девизних средстава Фонда уложених у девизне дужничке хартије од вредности које издаје Република Србија, у</w:t>
      </w:r>
      <w:r w:rsidR="00C757BE">
        <w:rPr>
          <w:rFonts w:eastAsia="MS PGothic" w:cstheme="minorHAnsi"/>
          <w:szCs w:val="20"/>
          <w:lang w:val="sr-Cyrl-RS" w:eastAsia="ja-JP"/>
        </w:rPr>
        <w:t xml:space="preserve"> </w:t>
      </w:r>
      <w:r w:rsidRPr="00B605F7">
        <w:rPr>
          <w:rFonts w:eastAsia="MS PGothic" w:cstheme="minorHAnsi"/>
          <w:szCs w:val="20"/>
          <w:lang w:val="sr-Cyrl-RS" w:eastAsia="ja-JP"/>
        </w:rPr>
        <w:t>складу на ниво законског лимита од 1/4 укупних девизних средстава Фонда.</w:t>
      </w:r>
    </w:p>
    <w:p w14:paraId="4511466C"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Гаранција исплате осигураних депозита од стране државе, било директно средствима из буџета, или индиректно издавањем гаранција за задуживање АОД, извор је фискалних ризика и могућих фискалних трошкова. Међутим, захваљујући постигнутој стабилности банкарског сектора, од 2015. године није било потребе за коришћењем средстава фонда за осигурање депозита, нити државе по основу исплата осигураних износа депозита.</w:t>
      </w:r>
    </w:p>
    <w:p w14:paraId="42C766E4"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Умањење фискалних ризика по овом основу зависи од стабилности и одрживости банкарског система. Надзор над банкарским системом, обазривост у пласирању средстава и унапређење квалитета имовине банака су основни стубови стабилног банкарског система.</w:t>
      </w:r>
    </w:p>
    <w:p w14:paraId="76C30181"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Остварени резултати банкарског сектора Републике Србије на крају 2018. и 2019. године приказују стабилну профитабилност банака. Банкарски сектор Републике Србије је у 2019. години пословао профитабилно, са нето добитком пре опорезивања у износу од 67,7 милијарди динара, што је за 10,6% мање од резултата оствареног на крају 2018. године када је нето добитак пре опорезивања износио 75,7 милијарди динара.</w:t>
      </w:r>
    </w:p>
    <w:p w14:paraId="321DB969"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lastRenderedPageBreak/>
        <w:t xml:space="preserve">Банкарски сектор Републике Србије адекватно је капитализован како са становишта оствареног нивоа показатеља адекватности капитала тако и са становишта структуре регулаторног капитала. </w:t>
      </w:r>
      <w:r w:rsidR="00C20E24" w:rsidRPr="003D6D6A">
        <w:rPr>
          <w:rFonts w:eastAsia="MS PGothic" w:cstheme="minorHAnsi"/>
          <w:szCs w:val="20"/>
          <w:lang w:val="sr-Cyrl-RS" w:eastAsia="ja-JP"/>
        </w:rPr>
        <w:t>На крају 2020</w:t>
      </w:r>
      <w:r w:rsidRPr="003D6D6A">
        <w:rPr>
          <w:rFonts w:eastAsia="MS PGothic" w:cstheme="minorHAnsi"/>
          <w:szCs w:val="20"/>
          <w:lang w:val="sr-Cyrl-RS" w:eastAsia="ja-JP"/>
        </w:rPr>
        <w:t xml:space="preserve">. године, просечна вредност показатеља адекватности капитала на нивоу банкарског сектора Републике Србије </w:t>
      </w:r>
      <w:r w:rsidR="003D6D6A" w:rsidRPr="003D6D6A">
        <w:rPr>
          <w:rFonts w:eastAsia="MS PGothic" w:cstheme="minorHAnsi"/>
          <w:szCs w:val="20"/>
          <w:lang w:val="sr-Cyrl-RS" w:eastAsia="ja-JP"/>
        </w:rPr>
        <w:t>износила је</w:t>
      </w:r>
      <w:r w:rsidRPr="003D6D6A">
        <w:rPr>
          <w:rFonts w:eastAsia="MS PGothic" w:cstheme="minorHAnsi"/>
          <w:szCs w:val="20"/>
          <w:lang w:val="sr-Cyrl-RS" w:eastAsia="ja-JP"/>
        </w:rPr>
        <w:t xml:space="preserve"> </w:t>
      </w:r>
      <w:r w:rsidR="00C20E24" w:rsidRPr="003D6D6A">
        <w:rPr>
          <w:rFonts w:eastAsia="MS PGothic" w:cstheme="minorHAnsi"/>
          <w:szCs w:val="20"/>
          <w:lang w:val="sr-Cyrl-RS" w:eastAsia="ja-JP"/>
        </w:rPr>
        <w:t>22,42</w:t>
      </w:r>
      <w:r w:rsidRPr="003D6D6A">
        <w:rPr>
          <w:rFonts w:eastAsia="MS PGothic" w:cstheme="minorHAnsi"/>
          <w:szCs w:val="20"/>
          <w:lang w:val="sr-Cyrl-RS" w:eastAsia="ja-JP"/>
        </w:rPr>
        <w:t>% (</w:t>
      </w:r>
      <w:r w:rsidR="00C20E24" w:rsidRPr="003D6D6A">
        <w:rPr>
          <w:rFonts w:eastAsia="MS PGothic" w:cstheme="minorHAnsi"/>
          <w:szCs w:val="20"/>
          <w:lang w:val="sr-Cyrl-RS" w:eastAsia="ja-JP"/>
        </w:rPr>
        <w:t>22,3% у марту 2021. године</w:t>
      </w:r>
      <w:r w:rsidRPr="003D6D6A">
        <w:rPr>
          <w:rFonts w:eastAsia="MS PGothic" w:cstheme="minorHAnsi"/>
          <w:szCs w:val="20"/>
          <w:lang w:val="sr-Cyrl-RS" w:eastAsia="ja-JP"/>
        </w:rPr>
        <w:t>), што је значајно изнад прописаног регулаторног минимума од 8% и више</w:t>
      </w:r>
      <w:r w:rsidRPr="00B605F7">
        <w:rPr>
          <w:rFonts w:eastAsia="MS PGothic" w:cstheme="minorHAnsi"/>
          <w:szCs w:val="20"/>
          <w:lang w:val="sr-Cyrl-RS" w:eastAsia="ja-JP"/>
        </w:rPr>
        <w:t xml:space="preserve"> него довољно за покриће свих ризика којима је сектор изложен, што потврђују и макропруденцијални стрес тестови које НБС редовно спроводи.</w:t>
      </w:r>
    </w:p>
    <w:p w14:paraId="395EBB40"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Имајући у виду ситуацију насталу проглашењем ванредног стања у Републици Србији, како би се омогућило ублажавање економских и финансијских последица насталих услед пандемије болести COVID-19 изазване вирусом SARS-CoV-2 предузете су мере подршке привреди које су имале за циљ повећање ликвидности привредних субјеката. Једна од мера јесте била и доношење Уредбе о утврђивању гарантне шеме као мера подршке привреди за ублажавање последица пандемије болести COVID-19 изазване вирусом SARS-CоV-2.Овом уредбом је конституисано утврђивање националне гарантне шеме. Повећање ликвидности привредних субјеката кроз механизам гарантовања Републике Србије за кредите које банке одобравају привредним субјектима за финансирање ликвидности и обртних средстава, а које се омогућава закључењем Уговора о гаранцији Републике Србије за кредитирање привреде с циљем ублажавања негативних последица пандемије болести COVID-19 изазване вирусом SARS-CoV-2, јесте мера која у себи сублимира изузетно важан и нужан механизам ефеката за сва лица са седиштем у Републици Србији укључујући и пољопривредна газдинства, која су регистрована у АПР Републике Србије и класификована као предузетник, или микро, мало и средње привредно друштво у складу са законом којим се уређује рачуноводство, а чија је ликвидност предуслов функционисања привреде Републике Србије.</w:t>
      </w:r>
    </w:p>
    <w:p w14:paraId="02425262"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Б</w:t>
      </w:r>
      <w:r w:rsidR="00285EAF">
        <w:rPr>
          <w:rFonts w:eastAsia="MS PGothic" w:cstheme="minorHAnsi"/>
          <w:szCs w:val="20"/>
          <w:lang w:val="sr-Cyrl-RS" w:eastAsia="ja-JP"/>
        </w:rPr>
        <w:t>а</w:t>
      </w:r>
      <w:r w:rsidRPr="00B605F7">
        <w:rPr>
          <w:rFonts w:eastAsia="MS PGothic" w:cstheme="minorHAnsi"/>
          <w:szCs w:val="20"/>
          <w:lang w:val="sr-Cyrl-RS" w:eastAsia="ja-JP"/>
        </w:rPr>
        <w:t>нк</w:t>
      </w:r>
      <w:r w:rsidR="00285EAF">
        <w:rPr>
          <w:rFonts w:eastAsia="MS PGothic" w:cstheme="minorHAnsi"/>
          <w:szCs w:val="20"/>
          <w:lang w:val="sr-Cyrl-RS" w:eastAsia="ja-JP"/>
        </w:rPr>
        <w:t>е</w:t>
      </w:r>
      <w:r w:rsidRPr="00B605F7">
        <w:rPr>
          <w:rFonts w:eastAsia="MS PGothic" w:cstheme="minorHAnsi"/>
          <w:szCs w:val="20"/>
          <w:lang w:val="sr-Cyrl-RS" w:eastAsia="ja-JP"/>
        </w:rPr>
        <w:t xml:space="preserve"> м</w:t>
      </w:r>
      <w:r w:rsidR="00285EAF">
        <w:rPr>
          <w:rFonts w:eastAsia="MS PGothic" w:cstheme="minorHAnsi"/>
          <w:szCs w:val="20"/>
          <w:lang w:val="sr-Cyrl-RS" w:eastAsia="ja-JP"/>
        </w:rPr>
        <w:t>о</w:t>
      </w:r>
      <w:r w:rsidRPr="00B605F7">
        <w:rPr>
          <w:rFonts w:eastAsia="MS PGothic" w:cstheme="minorHAnsi"/>
          <w:szCs w:val="20"/>
          <w:lang w:val="sr-Cyrl-RS" w:eastAsia="ja-JP"/>
        </w:rPr>
        <w:t>гу д</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з</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р</w:t>
      </w:r>
      <w:r w:rsidR="00285EAF">
        <w:rPr>
          <w:rFonts w:eastAsia="MS PGothic" w:cstheme="minorHAnsi"/>
          <w:szCs w:val="20"/>
          <w:lang w:val="sr-Cyrl-RS" w:eastAsia="ja-JP"/>
        </w:rPr>
        <w:t>еа</w:t>
      </w:r>
      <w:r w:rsidRPr="00B605F7">
        <w:rPr>
          <w:rFonts w:eastAsia="MS PGothic" w:cstheme="minorHAnsi"/>
          <w:szCs w:val="20"/>
          <w:lang w:val="sr-Cyrl-RS" w:eastAsia="ja-JP"/>
        </w:rPr>
        <w:t>лиз</w:t>
      </w:r>
      <w:r w:rsidR="00285EAF">
        <w:rPr>
          <w:rFonts w:eastAsia="MS PGothic" w:cstheme="minorHAnsi"/>
          <w:szCs w:val="20"/>
          <w:lang w:val="sr-Cyrl-RS" w:eastAsia="ja-JP"/>
        </w:rPr>
        <w:t>а</w:t>
      </w:r>
      <w:r w:rsidRPr="00B605F7">
        <w:rPr>
          <w:rFonts w:eastAsia="MS PGothic" w:cstheme="minorHAnsi"/>
          <w:szCs w:val="20"/>
          <w:lang w:val="sr-Cyrl-RS" w:eastAsia="ja-JP"/>
        </w:rPr>
        <w:t>ци</w:t>
      </w:r>
      <w:r w:rsidR="00285EAF">
        <w:rPr>
          <w:rFonts w:eastAsia="MS PGothic" w:cstheme="minorHAnsi"/>
          <w:szCs w:val="20"/>
          <w:lang w:val="sr-Cyrl-RS" w:eastAsia="ja-JP"/>
        </w:rPr>
        <w:t>ј</w:t>
      </w:r>
      <w:r w:rsidRPr="00B605F7">
        <w:rPr>
          <w:rFonts w:eastAsia="MS PGothic" w:cstheme="minorHAnsi"/>
          <w:szCs w:val="20"/>
          <w:lang w:val="sr-Cyrl-RS" w:eastAsia="ja-JP"/>
        </w:rPr>
        <w:t>у кр</w:t>
      </w:r>
      <w:r w:rsidR="00285EAF">
        <w:rPr>
          <w:rFonts w:eastAsia="MS PGothic" w:cstheme="minorHAnsi"/>
          <w:szCs w:val="20"/>
          <w:lang w:val="sr-Cyrl-RS" w:eastAsia="ja-JP"/>
        </w:rPr>
        <w:t>е</w:t>
      </w:r>
      <w:r w:rsidRPr="00B605F7">
        <w:rPr>
          <w:rFonts w:eastAsia="MS PGothic" w:cstheme="minorHAnsi"/>
          <w:szCs w:val="20"/>
          <w:lang w:val="sr-Cyrl-RS" w:eastAsia="ja-JP"/>
        </w:rPr>
        <w:t>дит</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пл</w:t>
      </w:r>
      <w:r w:rsidR="00285EAF">
        <w:rPr>
          <w:rFonts w:eastAsia="MS PGothic" w:cstheme="minorHAnsi"/>
          <w:szCs w:val="20"/>
          <w:lang w:val="sr-Cyrl-RS" w:eastAsia="ja-JP"/>
        </w:rPr>
        <w:t>а</w:t>
      </w:r>
      <w:r w:rsidRPr="00B605F7">
        <w:rPr>
          <w:rFonts w:eastAsia="MS PGothic" w:cstheme="minorHAnsi"/>
          <w:szCs w:val="20"/>
          <w:lang w:val="sr-Cyrl-RS" w:eastAsia="ja-JP"/>
        </w:rPr>
        <w:t>сир</w:t>
      </w:r>
      <w:r w:rsidR="00285EAF">
        <w:rPr>
          <w:rFonts w:eastAsia="MS PGothic" w:cstheme="minorHAnsi"/>
          <w:szCs w:val="20"/>
          <w:lang w:val="sr-Cyrl-RS" w:eastAsia="ja-JP"/>
        </w:rPr>
        <w:t>ај</w:t>
      </w:r>
      <w:r w:rsidRPr="00B605F7">
        <w:rPr>
          <w:rFonts w:eastAsia="MS PGothic" w:cstheme="minorHAnsi"/>
          <w:szCs w:val="20"/>
          <w:lang w:val="sr-Cyrl-RS" w:eastAsia="ja-JP"/>
        </w:rPr>
        <w:t>у изн</w:t>
      </w:r>
      <w:r w:rsidR="00285EAF">
        <w:rPr>
          <w:rFonts w:eastAsia="MS PGothic" w:cstheme="minorHAnsi"/>
          <w:szCs w:val="20"/>
          <w:lang w:val="sr-Cyrl-RS" w:eastAsia="ja-JP"/>
        </w:rPr>
        <w:t>о</w:t>
      </w:r>
      <w:r w:rsidRPr="00B605F7">
        <w:rPr>
          <w:rFonts w:eastAsia="MS PGothic" w:cstheme="minorHAnsi"/>
          <w:szCs w:val="20"/>
          <w:lang w:val="sr-Cyrl-RS" w:eastAsia="ja-JP"/>
        </w:rPr>
        <w:t>с д</w:t>
      </w:r>
      <w:r w:rsidR="00285EAF">
        <w:rPr>
          <w:rFonts w:eastAsia="MS PGothic" w:cstheme="minorHAnsi"/>
          <w:szCs w:val="20"/>
          <w:lang w:val="sr-Cyrl-RS" w:eastAsia="ja-JP"/>
        </w:rPr>
        <w:t>о</w:t>
      </w:r>
      <w:r w:rsidRPr="00B605F7">
        <w:rPr>
          <w:rFonts w:eastAsia="MS PGothic" w:cstheme="minorHAnsi"/>
          <w:szCs w:val="20"/>
          <w:lang w:val="sr-Cyrl-RS" w:eastAsia="ja-JP"/>
        </w:rPr>
        <w:t xml:space="preserve"> две милијарде </w:t>
      </w:r>
      <w:r w:rsidR="00285EAF">
        <w:rPr>
          <w:rFonts w:eastAsia="MS PGothic" w:cstheme="minorHAnsi"/>
          <w:szCs w:val="20"/>
          <w:lang w:val="sr-Cyrl-RS" w:eastAsia="ja-JP"/>
        </w:rPr>
        <w:t>е</w:t>
      </w:r>
      <w:r w:rsidRPr="00B605F7">
        <w:rPr>
          <w:rFonts w:eastAsia="MS PGothic" w:cstheme="minorHAnsi"/>
          <w:szCs w:val="20"/>
          <w:lang w:val="sr-Cyrl-RS" w:eastAsia="ja-JP"/>
        </w:rPr>
        <w:t>вр</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при чему је износ од једне милијарде евра, односно износ иницијалног </w:t>
      </w:r>
      <w:r w:rsidRPr="00B605F7">
        <w:rPr>
          <w:rFonts w:eastAsia="MS PGothic" w:cstheme="minorHAnsi"/>
          <w:szCs w:val="20"/>
          <w:lang w:val="sr-Cyrl-RS" w:eastAsia="ja-JP"/>
        </w:rPr>
        <w:t>максималног осигураног портфолија по банкама утврђен сходно тржишном учешћу банке према извештају НБС на дан 29. фебруар 2020. године.</w:t>
      </w:r>
    </w:p>
    <w:p w14:paraId="455F1BB2"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С обзиром на чињеницу да је преко пословних банака, до краја новембра 2020. године, привреди пласирано око 1,5 милијарди евра, од укупно расположиве 2 (две) милијарде евра, а да је Уредбом било прописано да уговор о кредиту мора бити закључен најкасније до 31. децембра 2020. године, као и да уг</w:t>
      </w:r>
      <w:r w:rsidR="00285EAF">
        <w:rPr>
          <w:rFonts w:eastAsia="MS PGothic" w:cstheme="minorHAnsi"/>
          <w:szCs w:val="20"/>
          <w:lang w:val="sr-Cyrl-RS" w:eastAsia="ja-JP"/>
        </w:rPr>
        <w:t>о</w:t>
      </w:r>
      <w:r w:rsidRPr="00B605F7">
        <w:rPr>
          <w:rFonts w:eastAsia="MS PGothic" w:cstheme="minorHAnsi"/>
          <w:szCs w:val="20"/>
          <w:lang w:val="sr-Cyrl-RS" w:eastAsia="ja-JP"/>
        </w:rPr>
        <w:t>в</w:t>
      </w:r>
      <w:r w:rsidR="00285EAF">
        <w:rPr>
          <w:rFonts w:eastAsia="MS PGothic" w:cstheme="minorHAnsi"/>
          <w:szCs w:val="20"/>
          <w:lang w:val="sr-Cyrl-RS" w:eastAsia="ja-JP"/>
        </w:rPr>
        <w:t>о</w:t>
      </w:r>
      <w:r w:rsidRPr="00B605F7">
        <w:rPr>
          <w:rFonts w:eastAsia="MS PGothic" w:cstheme="minorHAnsi"/>
          <w:szCs w:val="20"/>
          <w:lang w:val="sr-Cyrl-RS" w:eastAsia="ja-JP"/>
        </w:rPr>
        <w:t>р o кр</w:t>
      </w:r>
      <w:r w:rsidR="00285EAF">
        <w:rPr>
          <w:rFonts w:eastAsia="MS PGothic" w:cstheme="minorHAnsi"/>
          <w:szCs w:val="20"/>
          <w:lang w:val="sr-Cyrl-RS" w:eastAsia="ja-JP"/>
        </w:rPr>
        <w:t>е</w:t>
      </w:r>
      <w:r w:rsidRPr="00B605F7">
        <w:rPr>
          <w:rFonts w:eastAsia="MS PGothic" w:cstheme="minorHAnsi"/>
          <w:szCs w:val="20"/>
          <w:lang w:val="sr-Cyrl-RS" w:eastAsia="ja-JP"/>
        </w:rPr>
        <w:t>диту м</w:t>
      </w:r>
      <w:r w:rsidR="00285EAF">
        <w:rPr>
          <w:rFonts w:eastAsia="MS PGothic" w:cstheme="minorHAnsi"/>
          <w:szCs w:val="20"/>
          <w:lang w:val="sr-Cyrl-RS" w:eastAsia="ja-JP"/>
        </w:rPr>
        <w:t>о</w:t>
      </w:r>
      <w:r w:rsidRPr="00B605F7">
        <w:rPr>
          <w:rFonts w:eastAsia="MS PGothic" w:cstheme="minorHAnsi"/>
          <w:szCs w:val="20"/>
          <w:lang w:val="sr-Cyrl-RS" w:eastAsia="ja-JP"/>
        </w:rPr>
        <w:t>р</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бити пушт</w:t>
      </w:r>
      <w:r w:rsidR="00285EAF">
        <w:rPr>
          <w:rFonts w:eastAsia="MS PGothic" w:cstheme="minorHAnsi"/>
          <w:szCs w:val="20"/>
          <w:lang w:val="sr-Cyrl-RS" w:eastAsia="ja-JP"/>
        </w:rPr>
        <w:t>е</w:t>
      </w:r>
      <w:r w:rsidRPr="00B605F7">
        <w:rPr>
          <w:rFonts w:eastAsia="MS PGothic" w:cstheme="minorHAnsi"/>
          <w:szCs w:val="20"/>
          <w:lang w:val="sr-Cyrl-RS" w:eastAsia="ja-JP"/>
        </w:rPr>
        <w:t>н у т</w:t>
      </w:r>
      <w:r w:rsidR="00285EAF">
        <w:rPr>
          <w:rFonts w:eastAsia="MS PGothic" w:cstheme="minorHAnsi"/>
          <w:szCs w:val="20"/>
          <w:lang w:val="sr-Cyrl-RS" w:eastAsia="ja-JP"/>
        </w:rPr>
        <w:t>е</w:t>
      </w:r>
      <w:r w:rsidRPr="00B605F7">
        <w:rPr>
          <w:rFonts w:eastAsia="MS PGothic" w:cstheme="minorHAnsi"/>
          <w:szCs w:val="20"/>
          <w:lang w:val="sr-Cyrl-RS" w:eastAsia="ja-JP"/>
        </w:rPr>
        <w:t>ч</w:t>
      </w:r>
      <w:r w:rsidR="00285EAF">
        <w:rPr>
          <w:rFonts w:eastAsia="MS PGothic" w:cstheme="minorHAnsi"/>
          <w:szCs w:val="20"/>
          <w:lang w:val="sr-Cyrl-RS" w:eastAsia="ja-JP"/>
        </w:rPr>
        <w:t>ај</w:t>
      </w:r>
      <w:r w:rsidRPr="00B605F7">
        <w:rPr>
          <w:rFonts w:eastAsia="MS PGothic" w:cstheme="minorHAnsi"/>
          <w:szCs w:val="20"/>
          <w:lang w:val="sr-Cyrl-RS" w:eastAsia="ja-JP"/>
        </w:rPr>
        <w:t xml:space="preserve"> н</w:t>
      </w:r>
      <w:r w:rsidR="00285EAF">
        <w:rPr>
          <w:rFonts w:eastAsia="MS PGothic" w:cstheme="minorHAnsi"/>
          <w:szCs w:val="20"/>
          <w:lang w:val="sr-Cyrl-RS" w:eastAsia="ja-JP"/>
        </w:rPr>
        <w:t>ај</w:t>
      </w:r>
      <w:r w:rsidRPr="00B605F7">
        <w:rPr>
          <w:rFonts w:eastAsia="MS PGothic" w:cstheme="minorHAnsi"/>
          <w:szCs w:val="20"/>
          <w:lang w:val="sr-Cyrl-RS" w:eastAsia="ja-JP"/>
        </w:rPr>
        <w:t>к</w:t>
      </w:r>
      <w:r w:rsidR="00285EAF">
        <w:rPr>
          <w:rFonts w:eastAsia="MS PGothic" w:cstheme="minorHAnsi"/>
          <w:szCs w:val="20"/>
          <w:lang w:val="sr-Cyrl-RS" w:eastAsia="ja-JP"/>
        </w:rPr>
        <w:t>а</w:t>
      </w:r>
      <w:r w:rsidRPr="00B605F7">
        <w:rPr>
          <w:rFonts w:eastAsia="MS PGothic" w:cstheme="minorHAnsi"/>
          <w:szCs w:val="20"/>
          <w:lang w:val="sr-Cyrl-RS" w:eastAsia="ja-JP"/>
        </w:rPr>
        <w:t>сни</w:t>
      </w:r>
      <w:r w:rsidR="00285EAF">
        <w:rPr>
          <w:rFonts w:eastAsia="MS PGothic" w:cstheme="minorHAnsi"/>
          <w:szCs w:val="20"/>
          <w:lang w:val="sr-Cyrl-RS" w:eastAsia="ja-JP"/>
        </w:rPr>
        <w:t>је</w:t>
      </w:r>
      <w:r w:rsidRPr="00B605F7">
        <w:rPr>
          <w:rFonts w:eastAsia="MS PGothic" w:cstheme="minorHAnsi"/>
          <w:szCs w:val="20"/>
          <w:lang w:val="sr-Cyrl-RS" w:eastAsia="ja-JP"/>
        </w:rPr>
        <w:t xml:space="preserve"> д</w:t>
      </w:r>
      <w:r w:rsidR="00285EAF">
        <w:rPr>
          <w:rFonts w:eastAsia="MS PGothic" w:cstheme="minorHAnsi"/>
          <w:szCs w:val="20"/>
          <w:lang w:val="sr-Cyrl-RS" w:eastAsia="ja-JP"/>
        </w:rPr>
        <w:t>о 31. ја</w:t>
      </w:r>
      <w:r w:rsidRPr="00B605F7">
        <w:rPr>
          <w:rFonts w:eastAsia="MS PGothic" w:cstheme="minorHAnsi"/>
          <w:szCs w:val="20"/>
          <w:lang w:val="sr-Cyrl-RS" w:eastAsia="ja-JP"/>
        </w:rPr>
        <w:t>ну</w:t>
      </w:r>
      <w:r w:rsidR="00285EAF">
        <w:rPr>
          <w:rFonts w:eastAsia="MS PGothic" w:cstheme="minorHAnsi"/>
          <w:szCs w:val="20"/>
          <w:lang w:val="sr-Cyrl-RS" w:eastAsia="ja-JP"/>
        </w:rPr>
        <w:t>а</w:t>
      </w:r>
      <w:r w:rsidRPr="00B605F7">
        <w:rPr>
          <w:rFonts w:eastAsia="MS PGothic" w:cstheme="minorHAnsi"/>
          <w:szCs w:val="20"/>
          <w:lang w:val="sr-Cyrl-RS" w:eastAsia="ja-JP"/>
        </w:rPr>
        <w:t>р</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2021. г</w:t>
      </w:r>
      <w:r w:rsidR="00285EAF">
        <w:rPr>
          <w:rFonts w:eastAsia="MS PGothic" w:cstheme="minorHAnsi"/>
          <w:szCs w:val="20"/>
          <w:lang w:val="sr-Cyrl-RS" w:eastAsia="ja-JP"/>
        </w:rPr>
        <w:t>о</w:t>
      </w:r>
      <w:r w:rsidRPr="00B605F7">
        <w:rPr>
          <w:rFonts w:eastAsia="MS PGothic" w:cstheme="minorHAnsi"/>
          <w:szCs w:val="20"/>
          <w:lang w:val="sr-Cyrl-RS" w:eastAsia="ja-JP"/>
        </w:rPr>
        <w:t>дин</w:t>
      </w:r>
      <w:r w:rsidR="00285EAF">
        <w:rPr>
          <w:rFonts w:eastAsia="MS PGothic" w:cstheme="minorHAnsi"/>
          <w:szCs w:val="20"/>
          <w:lang w:val="sr-Cyrl-RS" w:eastAsia="ja-JP"/>
        </w:rPr>
        <w:t>е</w:t>
      </w:r>
      <w:r w:rsidRPr="00B605F7">
        <w:rPr>
          <w:rFonts w:eastAsia="MS PGothic" w:cstheme="minorHAnsi"/>
          <w:szCs w:val="20"/>
          <w:lang w:val="sr-Cyrl-RS" w:eastAsia="ja-JP"/>
        </w:rPr>
        <w:t>, јавила се потреба за продужењем рока до када уговор о кредиту мора бити закључен, односно до када уг</w:t>
      </w:r>
      <w:r w:rsidR="00285EAF">
        <w:rPr>
          <w:rFonts w:eastAsia="MS PGothic" w:cstheme="minorHAnsi"/>
          <w:szCs w:val="20"/>
          <w:lang w:val="sr-Cyrl-RS" w:eastAsia="ja-JP"/>
        </w:rPr>
        <w:t>о</w:t>
      </w:r>
      <w:r w:rsidRPr="00B605F7">
        <w:rPr>
          <w:rFonts w:eastAsia="MS PGothic" w:cstheme="minorHAnsi"/>
          <w:szCs w:val="20"/>
          <w:lang w:val="sr-Cyrl-RS" w:eastAsia="ja-JP"/>
        </w:rPr>
        <w:t>в</w:t>
      </w:r>
      <w:r w:rsidR="00285EAF">
        <w:rPr>
          <w:rFonts w:eastAsia="MS PGothic" w:cstheme="minorHAnsi"/>
          <w:szCs w:val="20"/>
          <w:lang w:val="sr-Cyrl-RS" w:eastAsia="ja-JP"/>
        </w:rPr>
        <w:t>о</w:t>
      </w:r>
      <w:r w:rsidRPr="00B605F7">
        <w:rPr>
          <w:rFonts w:eastAsia="MS PGothic" w:cstheme="minorHAnsi"/>
          <w:szCs w:val="20"/>
          <w:lang w:val="sr-Cyrl-RS" w:eastAsia="ja-JP"/>
        </w:rPr>
        <w:t>р o кр</w:t>
      </w:r>
      <w:r w:rsidR="00285EAF">
        <w:rPr>
          <w:rFonts w:eastAsia="MS PGothic" w:cstheme="minorHAnsi"/>
          <w:szCs w:val="20"/>
          <w:lang w:val="sr-Cyrl-RS" w:eastAsia="ja-JP"/>
        </w:rPr>
        <w:t>е</w:t>
      </w:r>
      <w:r w:rsidRPr="00B605F7">
        <w:rPr>
          <w:rFonts w:eastAsia="MS PGothic" w:cstheme="minorHAnsi"/>
          <w:szCs w:val="20"/>
          <w:lang w:val="sr-Cyrl-RS" w:eastAsia="ja-JP"/>
        </w:rPr>
        <w:t>диту м</w:t>
      </w:r>
      <w:r w:rsidR="00285EAF">
        <w:rPr>
          <w:rFonts w:eastAsia="MS PGothic" w:cstheme="minorHAnsi"/>
          <w:szCs w:val="20"/>
          <w:lang w:val="sr-Cyrl-RS" w:eastAsia="ja-JP"/>
        </w:rPr>
        <w:t>о</w:t>
      </w:r>
      <w:r w:rsidRPr="00B605F7">
        <w:rPr>
          <w:rFonts w:eastAsia="MS PGothic" w:cstheme="minorHAnsi"/>
          <w:szCs w:val="20"/>
          <w:lang w:val="sr-Cyrl-RS" w:eastAsia="ja-JP"/>
        </w:rPr>
        <w:t>р</w:t>
      </w:r>
      <w:r w:rsidR="00285EAF">
        <w:rPr>
          <w:rFonts w:eastAsia="MS PGothic" w:cstheme="minorHAnsi"/>
          <w:szCs w:val="20"/>
          <w:lang w:val="sr-Cyrl-RS" w:eastAsia="ja-JP"/>
        </w:rPr>
        <w:t>а</w:t>
      </w:r>
      <w:r w:rsidRPr="00B605F7">
        <w:rPr>
          <w:rFonts w:eastAsia="MS PGothic" w:cstheme="minorHAnsi"/>
          <w:szCs w:val="20"/>
          <w:lang w:val="sr-Cyrl-RS" w:eastAsia="ja-JP"/>
        </w:rPr>
        <w:t xml:space="preserve"> бити пушт</w:t>
      </w:r>
      <w:r w:rsidR="00285EAF">
        <w:rPr>
          <w:rFonts w:eastAsia="MS PGothic" w:cstheme="minorHAnsi"/>
          <w:szCs w:val="20"/>
          <w:lang w:val="sr-Cyrl-RS" w:eastAsia="ja-JP"/>
        </w:rPr>
        <w:t>е</w:t>
      </w:r>
      <w:r w:rsidRPr="00B605F7">
        <w:rPr>
          <w:rFonts w:eastAsia="MS PGothic" w:cstheme="minorHAnsi"/>
          <w:szCs w:val="20"/>
          <w:lang w:val="sr-Cyrl-RS" w:eastAsia="ja-JP"/>
        </w:rPr>
        <w:t>н у т</w:t>
      </w:r>
      <w:r w:rsidR="00285EAF">
        <w:rPr>
          <w:rFonts w:eastAsia="MS PGothic" w:cstheme="minorHAnsi"/>
          <w:szCs w:val="20"/>
          <w:lang w:val="sr-Cyrl-RS" w:eastAsia="ja-JP"/>
        </w:rPr>
        <w:t>е</w:t>
      </w:r>
      <w:r w:rsidRPr="00B605F7">
        <w:rPr>
          <w:rFonts w:eastAsia="MS PGothic" w:cstheme="minorHAnsi"/>
          <w:szCs w:val="20"/>
          <w:lang w:val="sr-Cyrl-RS" w:eastAsia="ja-JP"/>
        </w:rPr>
        <w:t>ч</w:t>
      </w:r>
      <w:r w:rsidR="00285EAF">
        <w:rPr>
          <w:rFonts w:eastAsia="MS PGothic" w:cstheme="minorHAnsi"/>
          <w:szCs w:val="20"/>
          <w:lang w:val="sr-Cyrl-RS" w:eastAsia="ja-JP"/>
        </w:rPr>
        <w:t>ај</w:t>
      </w:r>
      <w:r w:rsidRPr="00B605F7">
        <w:rPr>
          <w:rFonts w:eastAsia="MS PGothic" w:cstheme="minorHAnsi"/>
          <w:szCs w:val="20"/>
          <w:lang w:val="sr-Cyrl-RS" w:eastAsia="ja-JP"/>
        </w:rPr>
        <w:t>.</w:t>
      </w:r>
    </w:p>
    <w:p w14:paraId="6CB647F1"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 складу са тим, Народној скупштини Републике Србије предложено је доношење Закона о утврђивању гарантне шеме као мере подршке привреди за ублажавање последица пандемије болести COVID-19 изазване вирусом SARS-CoV-2, који је донет на седници одржаној дана 17. децембра 2020. године и исти је објављен у Службеном</w:t>
      </w:r>
      <w:r w:rsidRPr="00B605F7">
        <w:rPr>
          <w:rFonts w:ascii="Times New Roman" w:eastAsia="Times New Roman" w:hAnsi="Times New Roman" w:cs="Times New Roman"/>
          <w:bCs/>
          <w:sz w:val="21"/>
          <w:szCs w:val="21"/>
          <w:lang w:val="sr-Cyrl-RS"/>
        </w:rPr>
        <w:t xml:space="preserve"> </w:t>
      </w:r>
      <w:r w:rsidRPr="00B605F7">
        <w:rPr>
          <w:rFonts w:eastAsia="MS PGothic" w:cstheme="minorHAnsi"/>
          <w:szCs w:val="20"/>
          <w:lang w:val="sr-Cyrl-RS" w:eastAsia="ja-JP"/>
        </w:rPr>
        <w:t>гласнику Републике Србије број 153/20 од 21. децембра 2020. године.</w:t>
      </w:r>
    </w:p>
    <w:p w14:paraId="27F2D5F3"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Уговор о гаранцији Републике Србије за кредитирање привреде с циљем ублажавања негативних последица пандемије болести COVID-19 изазване вирусом SARS-CoV-2 са Републиком Србијом и НБС до сада је потписало 25 банака и Влада је одобрила 47 захтева за повећање максималног осигураног портфолија у износу од 1.074</w:t>
      </w:r>
      <w:r w:rsidRPr="00B605F7">
        <w:rPr>
          <w:rFonts w:eastAsia="MS PGothic" w:cstheme="minorHAnsi"/>
          <w:szCs w:val="20"/>
          <w:lang w:eastAsia="ja-JP"/>
        </w:rPr>
        <w:t>.759.260</w:t>
      </w:r>
      <w:r w:rsidRPr="00B605F7">
        <w:rPr>
          <w:rFonts w:eastAsia="MS PGothic" w:cstheme="minorHAnsi"/>
          <w:szCs w:val="20"/>
          <w:lang w:val="sr-Cyrl-RS" w:eastAsia="ja-JP"/>
        </w:rPr>
        <w:t xml:space="preserve"> евра, као и 4 захтева за смањење максималног осигураног портфолија у износу од 74.759.260 евра.</w:t>
      </w:r>
    </w:p>
    <w:p w14:paraId="2A06863F"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Имајући у виду да је Република Србија до краја априла 2021. године пласирала предвиђених 2 милијарде евра, донета је одлука да се, у циљу одржавања ликвидности, одобри додатних 500 милиона евра помоћи, чиме ће укупан износ средстава пласираних путем гарантне шеме достићи износ од 2.5 милијарде евра</w:t>
      </w:r>
      <w:r w:rsidR="00F8478D">
        <w:rPr>
          <w:rFonts w:eastAsia="MS PGothic" w:cstheme="minorHAnsi"/>
          <w:szCs w:val="20"/>
          <w:lang w:val="sr-Cyrl-RS" w:eastAsia="ja-JP"/>
        </w:rPr>
        <w:t>.</w:t>
      </w:r>
      <w:r w:rsidRPr="00B605F7">
        <w:rPr>
          <w:rFonts w:eastAsia="MS PGothic" w:cstheme="minorHAnsi"/>
          <w:szCs w:val="20"/>
          <w:lang w:val="sr-Cyrl-RS" w:eastAsia="ja-JP"/>
        </w:rPr>
        <w:t xml:space="preserve"> С тим у вези, донет је Закон о изменама Закона о</w:t>
      </w:r>
      <w:r w:rsidRPr="00B605F7">
        <w:t xml:space="preserve"> </w:t>
      </w:r>
      <w:r w:rsidRPr="00B605F7">
        <w:rPr>
          <w:rFonts w:eastAsia="MS PGothic" w:cstheme="minorHAnsi"/>
          <w:szCs w:val="20"/>
          <w:lang w:val="sr-Cyrl-RS" w:eastAsia="ja-JP"/>
        </w:rPr>
        <w:t>утврђивању гарантне шеме као мера подршке привреди за ублажавање последица пандемије болести COVID-19 изазване вирусом SARS-CoV-2 („Слу</w:t>
      </w:r>
      <w:r w:rsidR="00D336DB">
        <w:rPr>
          <w:rFonts w:eastAsia="MS PGothic" w:cstheme="minorHAnsi"/>
          <w:szCs w:val="20"/>
          <w:lang w:val="sr-Cyrl-RS" w:eastAsia="ja-JP"/>
        </w:rPr>
        <w:t>жбени гласник РС</w:t>
      </w:r>
      <w:r w:rsidR="0000208A" w:rsidRPr="0000208A">
        <w:rPr>
          <w:rFonts w:eastAsia="MS PGothic" w:cstheme="minorHAnsi"/>
          <w:szCs w:val="20"/>
          <w:lang w:val="sr-Cyrl-RS" w:eastAsia="ja-JP"/>
        </w:rPr>
        <w:t>”</w:t>
      </w:r>
      <w:r w:rsidR="00D336DB">
        <w:rPr>
          <w:rFonts w:eastAsia="MS PGothic" w:cstheme="minorHAnsi"/>
          <w:szCs w:val="20"/>
          <w:lang w:val="sr-Cyrl-RS" w:eastAsia="ja-JP"/>
        </w:rPr>
        <w:t>, број 40/21).</w:t>
      </w:r>
    </w:p>
    <w:p w14:paraId="5758F6DA"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lastRenderedPageBreak/>
        <w:t>Истовремено, Република Србија је препознала потребу за додатну помоћ најугроженијим предузећима која имају пад пословних прихода већи од 20% у 2020</w:t>
      </w:r>
      <w:r w:rsidR="00F8478D">
        <w:rPr>
          <w:rFonts w:eastAsia="MS PGothic" w:cstheme="minorHAnsi"/>
          <w:szCs w:val="20"/>
          <w:lang w:val="sr-Cyrl-RS" w:eastAsia="ja-JP"/>
        </w:rPr>
        <w:t>.</w:t>
      </w:r>
      <w:r w:rsidRPr="00B605F7">
        <w:rPr>
          <w:rFonts w:eastAsia="MS PGothic" w:cstheme="minorHAnsi"/>
          <w:szCs w:val="20"/>
          <w:lang w:val="sr-Cyrl-RS" w:eastAsia="ja-JP"/>
        </w:rPr>
        <w:t xml:space="preserve"> години, у односу на исти период у 2019. години, те је 22. априла 2021. године донет Закон о утврђивању друге гарантне шеме као мере додатне подршке привреди услед продуженог негативног утицаја пандемије болести COVID-19 изазване вирусом SARS-CoV-2 („Службени гласник РС”, број 40/21) чиме је одобрено додатних 500 милиона евра помоћи.</w:t>
      </w:r>
      <w:r w:rsidR="00C757BE">
        <w:rPr>
          <w:rFonts w:eastAsia="MS PGothic" w:cstheme="minorHAnsi"/>
          <w:szCs w:val="20"/>
          <w:lang w:val="sr-Cyrl-RS" w:eastAsia="ja-JP"/>
        </w:rPr>
        <w:t xml:space="preserve"> </w:t>
      </w:r>
      <w:r w:rsidRPr="00B605F7">
        <w:rPr>
          <w:rFonts w:eastAsia="MS PGothic" w:cstheme="minorHAnsi"/>
          <w:szCs w:val="20"/>
          <w:lang w:val="sr-Cyrl-RS" w:eastAsia="ja-JP"/>
        </w:rPr>
        <w:t>У складу са изнетим, пр</w:t>
      </w:r>
      <w:r w:rsidR="00434DCA">
        <w:rPr>
          <w:rFonts w:eastAsia="MS PGothic" w:cstheme="minorHAnsi"/>
          <w:szCs w:val="20"/>
          <w:lang w:val="sr-Cyrl-RS" w:eastAsia="ja-JP"/>
        </w:rPr>
        <w:t>оје</w:t>
      </w:r>
      <w:r w:rsidRPr="00B605F7">
        <w:rPr>
          <w:rFonts w:eastAsia="MS PGothic" w:cstheme="minorHAnsi"/>
          <w:szCs w:val="20"/>
          <w:lang w:val="sr-Cyrl-RS" w:eastAsia="ja-JP"/>
        </w:rPr>
        <w:t>кци</w:t>
      </w:r>
      <w:r w:rsidR="00434DCA">
        <w:rPr>
          <w:rFonts w:eastAsia="MS PGothic" w:cstheme="minorHAnsi"/>
          <w:szCs w:val="20"/>
          <w:lang w:val="sr-Cyrl-RS" w:eastAsia="ja-JP"/>
        </w:rPr>
        <w:t>је</w:t>
      </w:r>
      <w:r w:rsidRPr="00B605F7">
        <w:rPr>
          <w:rFonts w:eastAsia="MS PGothic" w:cstheme="minorHAnsi"/>
          <w:szCs w:val="20"/>
          <w:lang w:val="sr-Cyrl-RS" w:eastAsia="ja-JP"/>
        </w:rPr>
        <w:t xml:space="preserve"> фиск</w:t>
      </w:r>
      <w:r w:rsidR="00434DCA">
        <w:rPr>
          <w:rFonts w:eastAsia="MS PGothic" w:cstheme="minorHAnsi"/>
          <w:szCs w:val="20"/>
          <w:lang w:val="sr-Cyrl-RS" w:eastAsia="ja-JP"/>
        </w:rPr>
        <w:t>а</w:t>
      </w:r>
      <w:r w:rsidRPr="00B605F7">
        <w:rPr>
          <w:rFonts w:eastAsia="MS PGothic" w:cstheme="minorHAnsi"/>
          <w:szCs w:val="20"/>
          <w:lang w:val="sr-Cyrl-RS" w:eastAsia="ja-JP"/>
        </w:rPr>
        <w:t xml:space="preserve">лних бруто </w:t>
      </w:r>
      <w:r w:rsidR="00434DCA">
        <w:rPr>
          <w:rFonts w:eastAsia="MS PGothic" w:cstheme="minorHAnsi"/>
          <w:szCs w:val="20"/>
          <w:lang w:val="sr-Cyrl-RS" w:eastAsia="ja-JP"/>
        </w:rPr>
        <w:t>о</w:t>
      </w:r>
      <w:r w:rsidRPr="00B605F7">
        <w:rPr>
          <w:rFonts w:eastAsia="MS PGothic" w:cstheme="minorHAnsi"/>
          <w:szCs w:val="20"/>
          <w:lang w:val="sr-Cyrl-RS" w:eastAsia="ja-JP"/>
        </w:rPr>
        <w:t>длив</w:t>
      </w:r>
      <w:r w:rsidR="00434DCA">
        <w:rPr>
          <w:rFonts w:eastAsia="MS PGothic" w:cstheme="minorHAnsi"/>
          <w:szCs w:val="20"/>
          <w:lang w:val="sr-Cyrl-RS" w:eastAsia="ja-JP"/>
        </w:rPr>
        <w:t>а</w:t>
      </w:r>
      <w:r w:rsidRPr="00B605F7">
        <w:rPr>
          <w:rFonts w:eastAsia="MS PGothic" w:cstheme="minorHAnsi"/>
          <w:szCs w:val="20"/>
          <w:lang w:val="sr-Cyrl-RS" w:eastAsia="ja-JP"/>
        </w:rPr>
        <w:t xml:space="preserve"> буџ</w:t>
      </w:r>
      <w:r w:rsidR="00434DCA">
        <w:rPr>
          <w:rFonts w:eastAsia="MS PGothic" w:cstheme="minorHAnsi"/>
          <w:szCs w:val="20"/>
          <w:lang w:val="sr-Cyrl-RS" w:eastAsia="ja-JP"/>
        </w:rPr>
        <w:t>е</w:t>
      </w:r>
      <w:r w:rsidRPr="00B605F7">
        <w:rPr>
          <w:rFonts w:eastAsia="MS PGothic" w:cstheme="minorHAnsi"/>
          <w:szCs w:val="20"/>
          <w:lang w:val="sr-Cyrl-RS" w:eastAsia="ja-JP"/>
        </w:rPr>
        <w:t>т</w:t>
      </w:r>
      <w:r w:rsidR="00434DCA">
        <w:rPr>
          <w:rFonts w:eastAsia="MS PGothic" w:cstheme="minorHAnsi"/>
          <w:szCs w:val="20"/>
          <w:lang w:val="sr-Cyrl-RS" w:eastAsia="ja-JP"/>
        </w:rPr>
        <w:t>а</w:t>
      </w:r>
      <w:r w:rsidRPr="00B605F7">
        <w:rPr>
          <w:rFonts w:eastAsia="MS PGothic" w:cstheme="minorHAnsi"/>
          <w:szCs w:val="20"/>
          <w:lang w:val="sr-Cyrl-RS" w:eastAsia="ja-JP"/>
        </w:rPr>
        <w:t xml:space="preserve"> Републике Србије п</w:t>
      </w:r>
      <w:r w:rsidR="00434DCA">
        <w:rPr>
          <w:rFonts w:eastAsia="MS PGothic" w:cstheme="minorHAnsi"/>
          <w:szCs w:val="20"/>
          <w:lang w:val="sr-Cyrl-RS" w:eastAsia="ja-JP"/>
        </w:rPr>
        <w:t>о</w:t>
      </w:r>
      <w:r w:rsidRPr="00B605F7">
        <w:rPr>
          <w:rFonts w:eastAsia="MS PGothic" w:cstheme="minorHAnsi"/>
          <w:szCs w:val="20"/>
          <w:lang w:val="sr-Cyrl-RS" w:eastAsia="ja-JP"/>
        </w:rPr>
        <w:t xml:space="preserve"> </w:t>
      </w:r>
      <w:r w:rsidR="00434DCA">
        <w:rPr>
          <w:rFonts w:eastAsia="MS PGothic" w:cstheme="minorHAnsi"/>
          <w:szCs w:val="20"/>
          <w:lang w:val="sr-Cyrl-RS" w:eastAsia="ja-JP"/>
        </w:rPr>
        <w:t>о</w:t>
      </w:r>
      <w:r w:rsidRPr="00B605F7">
        <w:rPr>
          <w:rFonts w:eastAsia="MS PGothic" w:cstheme="minorHAnsi"/>
          <w:szCs w:val="20"/>
          <w:lang w:val="sr-Cyrl-RS" w:eastAsia="ja-JP"/>
        </w:rPr>
        <w:t>сн</w:t>
      </w:r>
      <w:r w:rsidR="00434DCA">
        <w:rPr>
          <w:rFonts w:eastAsia="MS PGothic" w:cstheme="minorHAnsi"/>
          <w:szCs w:val="20"/>
          <w:lang w:val="sr-Cyrl-RS" w:eastAsia="ja-JP"/>
        </w:rPr>
        <w:t>о</w:t>
      </w:r>
      <w:r w:rsidRPr="00B605F7">
        <w:rPr>
          <w:rFonts w:eastAsia="MS PGothic" w:cstheme="minorHAnsi"/>
          <w:szCs w:val="20"/>
          <w:lang w:val="sr-Cyrl-RS" w:eastAsia="ja-JP"/>
        </w:rPr>
        <w:t>ву предметне националне Г</w:t>
      </w:r>
      <w:r w:rsidR="00434DCA">
        <w:rPr>
          <w:rFonts w:eastAsia="MS PGothic" w:cstheme="minorHAnsi"/>
          <w:szCs w:val="20"/>
          <w:lang w:val="sr-Cyrl-RS" w:eastAsia="ja-JP"/>
        </w:rPr>
        <w:t>а</w:t>
      </w:r>
      <w:r w:rsidRPr="00B605F7">
        <w:rPr>
          <w:rFonts w:eastAsia="MS PGothic" w:cstheme="minorHAnsi"/>
          <w:szCs w:val="20"/>
          <w:lang w:val="sr-Cyrl-RS" w:eastAsia="ja-JP"/>
        </w:rPr>
        <w:t>р</w:t>
      </w:r>
      <w:r w:rsidR="00434DCA">
        <w:rPr>
          <w:rFonts w:eastAsia="MS PGothic" w:cstheme="minorHAnsi"/>
          <w:szCs w:val="20"/>
          <w:lang w:val="sr-Cyrl-RS" w:eastAsia="ja-JP"/>
        </w:rPr>
        <w:t>а</w:t>
      </w:r>
      <w:r w:rsidRPr="00B605F7">
        <w:rPr>
          <w:rFonts w:eastAsia="MS PGothic" w:cstheme="minorHAnsi"/>
          <w:szCs w:val="20"/>
          <w:lang w:val="sr-Cyrl-RS" w:eastAsia="ja-JP"/>
        </w:rPr>
        <w:t>нтн</w:t>
      </w:r>
      <w:r w:rsidR="00434DCA">
        <w:rPr>
          <w:rFonts w:eastAsia="MS PGothic" w:cstheme="minorHAnsi"/>
          <w:szCs w:val="20"/>
          <w:lang w:val="sr-Cyrl-RS" w:eastAsia="ja-JP"/>
        </w:rPr>
        <w:t>е</w:t>
      </w:r>
      <w:r w:rsidRPr="00B605F7">
        <w:rPr>
          <w:rFonts w:eastAsia="MS PGothic" w:cstheme="minorHAnsi"/>
          <w:szCs w:val="20"/>
          <w:lang w:val="sr-Cyrl-RS" w:eastAsia="ja-JP"/>
        </w:rPr>
        <w:t xml:space="preserve"> ш</w:t>
      </w:r>
      <w:r w:rsidR="00434DCA">
        <w:rPr>
          <w:rFonts w:eastAsia="MS PGothic" w:cstheme="minorHAnsi"/>
          <w:szCs w:val="20"/>
          <w:lang w:val="sr-Cyrl-RS" w:eastAsia="ja-JP"/>
        </w:rPr>
        <w:t>е</w:t>
      </w:r>
      <w:r w:rsidRPr="00B605F7">
        <w:rPr>
          <w:rFonts w:eastAsia="MS PGothic" w:cstheme="minorHAnsi"/>
          <w:szCs w:val="20"/>
          <w:lang w:val="sr-Cyrl-RS" w:eastAsia="ja-JP"/>
        </w:rPr>
        <w:t>м</w:t>
      </w:r>
      <w:r w:rsidR="00434DCA">
        <w:rPr>
          <w:rFonts w:eastAsia="MS PGothic" w:cstheme="minorHAnsi"/>
          <w:szCs w:val="20"/>
          <w:lang w:val="sr-Cyrl-RS" w:eastAsia="ja-JP"/>
        </w:rPr>
        <w:t>е</w:t>
      </w:r>
      <w:r w:rsidRPr="00B605F7">
        <w:rPr>
          <w:rFonts w:eastAsia="MS PGothic" w:cstheme="minorHAnsi"/>
          <w:szCs w:val="20"/>
          <w:lang w:val="sr-Cyrl-RS" w:eastAsia="ja-JP"/>
        </w:rPr>
        <w:t xml:space="preserve"> износе </w:t>
      </w:r>
      <w:r w:rsidRPr="00B605F7">
        <w:rPr>
          <w:rFonts w:eastAsia="MS PGothic" w:cstheme="minorHAnsi"/>
          <w:szCs w:val="20"/>
          <w:lang w:val="sr-Latn-RS" w:eastAsia="ja-JP"/>
        </w:rPr>
        <w:t>23</w:t>
      </w:r>
      <w:r w:rsidRPr="00B605F7">
        <w:rPr>
          <w:rFonts w:eastAsia="MS PGothic" w:cstheme="minorHAnsi"/>
          <w:szCs w:val="20"/>
          <w:lang w:val="sr-Cyrl-RS" w:eastAsia="ja-JP"/>
        </w:rPr>
        <w:t xml:space="preserve"> милиона евра за 2021. годину, </w:t>
      </w:r>
      <w:r w:rsidRPr="00B605F7">
        <w:rPr>
          <w:rFonts w:eastAsia="MS PGothic" w:cstheme="minorHAnsi"/>
          <w:szCs w:val="20"/>
          <w:lang w:val="sr-Latn-RS" w:eastAsia="ja-JP"/>
        </w:rPr>
        <w:t>89</w:t>
      </w:r>
      <w:r w:rsidRPr="00B605F7">
        <w:rPr>
          <w:rFonts w:eastAsia="MS PGothic" w:cstheme="minorHAnsi"/>
          <w:szCs w:val="20"/>
          <w:lang w:val="sr-Cyrl-RS" w:eastAsia="ja-JP"/>
        </w:rPr>
        <w:t xml:space="preserve"> милиона евра за 2022. годину и </w:t>
      </w:r>
      <w:r w:rsidRPr="00B605F7">
        <w:rPr>
          <w:rFonts w:eastAsia="MS PGothic" w:cstheme="minorHAnsi"/>
          <w:szCs w:val="20"/>
          <w:lang w:val="sr-Latn-RS" w:eastAsia="ja-JP"/>
        </w:rPr>
        <w:t>21</w:t>
      </w:r>
      <w:r w:rsidRPr="00B605F7">
        <w:rPr>
          <w:rFonts w:eastAsia="MS PGothic" w:cstheme="minorHAnsi"/>
          <w:szCs w:val="20"/>
          <w:lang w:val="sr-Cyrl-RS" w:eastAsia="ja-JP"/>
        </w:rPr>
        <w:t xml:space="preserve"> милиона евра за 2023. годину. Такође, извршена је и пројекција прилива по основу наплате проблематичних потраживања по основу предметне Гарантне шеме Републике Србије која износе 14 милиона евра за 2022. годину</w:t>
      </w:r>
      <w:r w:rsidRPr="00B605F7">
        <w:rPr>
          <w:rFonts w:eastAsia="MS PGothic" w:cstheme="minorHAnsi"/>
          <w:szCs w:val="20"/>
          <w:lang w:val="sr-Latn-RS" w:eastAsia="ja-JP"/>
        </w:rPr>
        <w:t>,</w:t>
      </w:r>
      <w:r w:rsidRPr="00B605F7">
        <w:rPr>
          <w:rFonts w:eastAsia="MS PGothic" w:cstheme="minorHAnsi"/>
          <w:szCs w:val="20"/>
          <w:lang w:val="sr-Cyrl-RS" w:eastAsia="ja-JP"/>
        </w:rPr>
        <w:t xml:space="preserve"> </w:t>
      </w:r>
      <w:r w:rsidRPr="00B605F7">
        <w:rPr>
          <w:rFonts w:eastAsia="MS PGothic" w:cstheme="minorHAnsi"/>
          <w:szCs w:val="20"/>
          <w:lang w:val="sr-Latn-RS" w:eastAsia="ja-JP"/>
        </w:rPr>
        <w:t>16</w:t>
      </w:r>
      <w:r w:rsidRPr="00B605F7">
        <w:rPr>
          <w:rFonts w:eastAsia="MS PGothic" w:cstheme="minorHAnsi"/>
          <w:szCs w:val="20"/>
          <w:lang w:val="sr-Cyrl-RS" w:eastAsia="ja-JP"/>
        </w:rPr>
        <w:t xml:space="preserve"> милиона евра за 2023. годину</w:t>
      </w:r>
      <w:r w:rsidRPr="00B605F7">
        <w:rPr>
          <w:rFonts w:eastAsia="MS PGothic" w:cstheme="minorHAnsi"/>
          <w:szCs w:val="20"/>
          <w:lang w:val="sr-Latn-RS" w:eastAsia="ja-JP"/>
        </w:rPr>
        <w:t xml:space="preserve"> </w:t>
      </w:r>
      <w:r w:rsidRPr="00B605F7">
        <w:rPr>
          <w:rFonts w:eastAsia="MS PGothic" w:cstheme="minorHAnsi"/>
          <w:szCs w:val="20"/>
          <w:lang w:val="sr-Cyrl-RS" w:eastAsia="ja-JP"/>
        </w:rPr>
        <w:t>и 3 милиона евра за 2024. годину.</w:t>
      </w:r>
    </w:p>
    <w:p w14:paraId="0B02EC7B"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Што се тиче других финансијских институција, Република Србиј</w:t>
      </w:r>
      <w:r w:rsidR="00103068">
        <w:rPr>
          <w:rFonts w:eastAsia="MS PGothic" w:cstheme="minorHAnsi"/>
          <w:szCs w:val="20"/>
          <w:lang w:val="sr-Cyrl-RS" w:eastAsia="ja-JP"/>
        </w:rPr>
        <w:t xml:space="preserve">а има директан удео у капиталу </w:t>
      </w:r>
      <w:r w:rsidRPr="00B605F7">
        <w:rPr>
          <w:rFonts w:eastAsia="MS PGothic" w:cstheme="minorHAnsi"/>
          <w:szCs w:val="20"/>
          <w:lang w:val="sr-Cyrl-RS" w:eastAsia="ja-JP"/>
        </w:rPr>
        <w:t>Компаније Дунав осигурање а.д.о. Београд (у даљем тексту: Дунав осигурање), као и у Националној корпорацији за осигурање стамбених кредита (у даљем тексту: Корпорација).</w:t>
      </w:r>
    </w:p>
    <w:p w14:paraId="0A36D1A6"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 xml:space="preserve">Република Србија, тренутно, има удео од 45,29% у капиталу Дунав осигурања. Међутим, крајем априла 2021. године је усвојен Закон о измени и допунама Закона о осигурању („Службени гласник РС”, број 44/21) који је основ за промену власничких права на друштвеном капиталу у друштвима за осигурање. Како учешће друштвеног капитала у укупном капиталу Дунав осигурања тренутно износи 51,85%, након промене власничких права у складу са наведеним законом, директно учешће Републике Србије у капиталу Дунав осигурања би требало да износи око 76,70%. </w:t>
      </w:r>
      <w:r w:rsidRPr="00A1490B">
        <w:rPr>
          <w:rFonts w:eastAsia="MS PGothic" w:cstheme="minorHAnsi"/>
          <w:szCs w:val="20"/>
          <w:lang w:val="sr-Cyrl-RS" w:eastAsia="ja-JP"/>
        </w:rPr>
        <w:t xml:space="preserve">Такође, како Дунав Ре а.д.о. Београд у укупном капиталу има учешће друштвеног капитала од 4,58%, након промене власничких права у складу са наведеним законом Република Србија би требало да стекне директно учешће од око </w:t>
      </w:r>
      <w:r w:rsidR="00620D57" w:rsidRPr="00A1490B">
        <w:rPr>
          <w:rFonts w:eastAsia="MS PGothic" w:cstheme="minorHAnsi"/>
          <w:szCs w:val="20"/>
          <w:lang w:val="sr-Latn-RS" w:eastAsia="ja-JP"/>
        </w:rPr>
        <w:t>5,32</w:t>
      </w:r>
      <w:r w:rsidRPr="00A1490B">
        <w:rPr>
          <w:rFonts w:eastAsia="MS PGothic" w:cstheme="minorHAnsi"/>
          <w:szCs w:val="20"/>
          <w:lang w:val="sr-Cyrl-RS" w:eastAsia="ja-JP"/>
        </w:rPr>
        <w:t xml:space="preserve">% у Дунав Ре. Све ове промене би требало да се </w:t>
      </w:r>
      <w:r w:rsidR="00D336DB" w:rsidRPr="00A1490B">
        <w:rPr>
          <w:rFonts w:eastAsia="MS PGothic" w:cstheme="minorHAnsi"/>
          <w:szCs w:val="20"/>
          <w:lang w:val="sr-Cyrl-RS" w:eastAsia="ja-JP"/>
        </w:rPr>
        <w:t>спроведу до краја 2021. године.</w:t>
      </w:r>
    </w:p>
    <w:p w14:paraId="74159229"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Иначе, до краја 2014. године учешће друштвеног капитала у укупном капиталу Дунав осигурања је износило 94,61% што је имало неповољан утицај на пословање Дунав осигурања (пре свега кроз компликовану управљачку структуру), на шта су указивали и ревизорски извештаји за 2013. и 2012. годину у којима је изражено мишљење ревизора са резервом. Имајући у виду значај Дунав осигурања на тржишту осигурања (највећа осигуравајућа компанија), Република Србија је у децембру 2014. године извршила докапитализацију Дунав осигурања са 4,8 милијарди динара. Последњих година пословање Дунав осигурања је стабилно, уз константно побољшање већине показатеља. Приметан је тренд раста добити из године у годину (и редовна исплата дивиденд</w:t>
      </w:r>
      <w:r w:rsidR="00103068">
        <w:rPr>
          <w:rFonts w:eastAsia="MS PGothic" w:cstheme="minorHAnsi"/>
          <w:szCs w:val="20"/>
          <w:lang w:val="sr-Cyrl-RS" w:eastAsia="ja-JP"/>
        </w:rPr>
        <w:t xml:space="preserve">и). Дунав осигурање није имало </w:t>
      </w:r>
      <w:r w:rsidRPr="00B605F7">
        <w:rPr>
          <w:rFonts w:eastAsia="MS PGothic" w:cstheme="minorHAnsi"/>
          <w:szCs w:val="20"/>
          <w:lang w:val="sr-Cyrl-RS" w:eastAsia="ja-JP"/>
        </w:rPr>
        <w:t>негативних последица у пословању (гледајући кроз најзначајније показатеље) због болести COVID-19 изазване вирусом SARS-CoV</w:t>
      </w:r>
      <w:r w:rsidR="001F5364">
        <w:rPr>
          <w:rFonts w:eastAsia="MS PGothic" w:cstheme="minorHAnsi"/>
          <w:szCs w:val="20"/>
          <w:lang w:eastAsia="ja-JP"/>
        </w:rPr>
        <w:t>-2</w:t>
      </w:r>
      <w:r w:rsidRPr="00B605F7">
        <w:rPr>
          <w:rFonts w:eastAsia="MS PGothic" w:cstheme="minorHAnsi"/>
          <w:szCs w:val="20"/>
          <w:lang w:val="sr-Cyrl-RS" w:eastAsia="ja-JP"/>
        </w:rPr>
        <w:t>. Као највећи изазов у предстојећем периоду истиче се усклађивање (организационо, управљачки, капитално итд</w:t>
      </w:r>
      <w:r w:rsidR="00C757BE">
        <w:rPr>
          <w:rFonts w:eastAsia="MS PGothic" w:cstheme="minorHAnsi"/>
          <w:szCs w:val="20"/>
          <w:lang w:val="sr-Cyrl-RS" w:eastAsia="ja-JP"/>
        </w:rPr>
        <w:t>.</w:t>
      </w:r>
      <w:r w:rsidRPr="00B605F7">
        <w:rPr>
          <w:rFonts w:eastAsia="MS PGothic" w:cstheme="minorHAnsi"/>
          <w:szCs w:val="20"/>
          <w:lang w:val="sr-Cyrl-RS" w:eastAsia="ja-JP"/>
        </w:rPr>
        <w:t>) са новим регулаторним стандардом Солвентност 2 које очекује све учеснике на тржишту осигурања у Републици Србији.</w:t>
      </w:r>
    </w:p>
    <w:p w14:paraId="7A952C52"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Законом о Националној корпорацији за осигурање стамбених кредита („Службени гласник РС”, број 55/04) основана је Корпорација, као правно лице специјализовано за осигурање потраживања по основу стамбених кредита које одобравају банке и друге финансијске организације, која су обезбеђена хипотеком, као и за обављање других послова у вези са тим осигурањем. Оснивач Корпорације је Република Србија која има директно учешће од 100% у капиталу Корпорације (законом је остављена могућност да се Корпорација организује као акционарско друштво, с тим да вредност државног капитала у укупном капиталу Корпорације не може да буде мање од 51%</w:t>
      </w:r>
      <w:r w:rsidR="00F8478D">
        <w:rPr>
          <w:rFonts w:eastAsia="MS PGothic" w:cstheme="minorHAnsi"/>
          <w:szCs w:val="20"/>
          <w:lang w:val="sr-Cyrl-RS" w:eastAsia="ja-JP"/>
        </w:rPr>
        <w:t>)</w:t>
      </w:r>
      <w:r w:rsidRPr="00B605F7">
        <w:rPr>
          <w:rFonts w:eastAsia="MS PGothic" w:cstheme="minorHAnsi"/>
          <w:szCs w:val="20"/>
          <w:lang w:val="sr-Cyrl-RS" w:eastAsia="ja-JP"/>
        </w:rPr>
        <w:t xml:space="preserve">. Законом је, такође, утврђено да укупан номинални износ обавеза Корпорације које произилазе из обављања делатности Корпорације може бити највише до 16 пута већи од износа капитала Корпорације, али и да Влада може да, на образложен захтев Корпорације, да сагласност за повећање обима обавеза Корпорације које произилазе из обављања делатности Корпорације </w:t>
      </w:r>
      <w:r w:rsidRPr="00B605F7">
        <w:rPr>
          <w:rFonts w:eastAsia="MS PGothic" w:cstheme="minorHAnsi"/>
          <w:szCs w:val="20"/>
          <w:lang w:val="sr-Cyrl-RS" w:eastAsia="ja-JP"/>
        </w:rPr>
        <w:lastRenderedPageBreak/>
        <w:t>и за преко 16 пута од капитала Корпорације, за одређени временски период.</w:t>
      </w:r>
    </w:p>
    <w:p w14:paraId="47D248B0"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Од самог оснивања, Корпорација је имала значајан утицај у креирању тржишних услова и стандарда кредитирања, што је било нужно да би се хипотекарно тржиште уопште развило. То је довело до смањења ризика и обезбеђења интереса, како кредитора, тако и зајмотражилаца, кроз снижавање каматних стопа, што је довело да раста тражње за стамбеним непокретностима (са позитивним ефектом на грађевинску индустрију) и тиме допринело повећању броја станова купљених на кредит.</w:t>
      </w:r>
    </w:p>
    <w:p w14:paraId="693B6E5D"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У протеклом периоду, није вршена докапитализација Корпорације из средстава буџета Републике Србије, већ је повећање капитала вршено из остварене добити Корпорације. Међутим, како повећање капитала није пратило раст осигураних кредита, Влада је, у складу са законом, сваке године давала сагласност за повећање обима обавеза Корпорације које произилазе из обављања делатности Корпорације и за преко 16 пута од капитала Корпорације. Ово повећање се из године у годину смањује (нпр. за 2015. годину обим обавеза Корпорације које произилазе из обављања делатности Корпорације је могао да буде до 30 пута већи од капитала Корпорације, док за 2021. годину може да износи до 21 пут</w:t>
      </w:r>
      <w:r w:rsidR="00D336DB">
        <w:rPr>
          <w:rFonts w:eastAsia="MS PGothic" w:cstheme="minorHAnsi"/>
          <w:szCs w:val="20"/>
          <w:lang w:val="sr-Cyrl-RS" w:eastAsia="ja-JP"/>
        </w:rPr>
        <w:t xml:space="preserve"> више од капитала Корпорације).</w:t>
      </w:r>
    </w:p>
    <w:p w14:paraId="2805CB3D" w14:textId="77777777" w:rsidR="001E3E7D" w:rsidRPr="00B605F7" w:rsidRDefault="001E3E7D" w:rsidP="00C6079A">
      <w:pPr>
        <w:rPr>
          <w:rFonts w:eastAsia="MS PGothic" w:cstheme="minorHAnsi"/>
          <w:szCs w:val="20"/>
          <w:lang w:val="sr-Cyrl-RS" w:eastAsia="ja-JP"/>
        </w:rPr>
      </w:pPr>
      <w:r w:rsidRPr="00B605F7">
        <w:rPr>
          <w:rFonts w:eastAsia="MS PGothic" w:cstheme="minorHAnsi"/>
          <w:szCs w:val="20"/>
          <w:lang w:val="sr-Cyrl-RS" w:eastAsia="ja-JP"/>
        </w:rPr>
        <w:t>Као потенцијални ризик се појављује велики број тужби клијената против банака у вези са плаћањем премије осигурања Корпорацији. Иако Корпорација није тужена страна, нити Република Србија гарантује за обавезе Корпорације (Корпорација гарантује за своје обавезе до висине свог капитала), потенцијално негативан исход ових спорова може да утиче на евентуалну потребу одређених издатака из буџета.</w:t>
      </w:r>
    </w:p>
    <w:p w14:paraId="0152BAC1" w14:textId="77777777" w:rsidR="00C6079A" w:rsidRDefault="001E3E7D" w:rsidP="00C6079A">
      <w:pPr>
        <w:rPr>
          <w:rFonts w:cstheme="minorHAnsi"/>
          <w:b/>
          <w:bCs/>
          <w:color w:val="2F5496" w:themeColor="accent1" w:themeShade="BF"/>
          <w:sz w:val="22"/>
          <w:szCs w:val="20"/>
          <w:lang w:val="sr-Cyrl-RS"/>
        </w:rPr>
      </w:pPr>
      <w:r w:rsidRPr="003907FA">
        <w:rPr>
          <w:rFonts w:cstheme="minorHAnsi"/>
          <w:b/>
          <w:bCs/>
          <w:color w:val="2F5496" w:themeColor="accent1" w:themeShade="BF"/>
          <w:sz w:val="22"/>
          <w:szCs w:val="20"/>
          <w:lang w:val="sr-Cyrl-RS"/>
        </w:rPr>
        <w:t>Остали фискални ризици</w:t>
      </w:r>
    </w:p>
    <w:p w14:paraId="5DD33E8D"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 xml:space="preserve">Поред наведених фискалних ризика постоје и друге околности које, уколико се реализују, могу довести до фискалних трошкова. За поједине ризике не постоје систематизовани подаци, али имајући у виду да су се поједини остварили у ближој прошлости може се сагледати величина њиховог утицаја на јавне финансије. Само њихово </w:t>
      </w:r>
      <w:r w:rsidRPr="00347E91">
        <w:rPr>
          <w:rFonts w:eastAsia="MS PGothic" w:cstheme="minorHAnsi"/>
          <w:szCs w:val="20"/>
          <w:lang w:val="sr-Cyrl-CS" w:eastAsia="ja-JP"/>
        </w:rPr>
        <w:t>идентификовање помаже сагледавању могућих утицаја на фискалну позицију земље у наредном периоду.</w:t>
      </w:r>
    </w:p>
    <w:p w14:paraId="0C138929"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Пословање јединица локалне самоуправе може имати фискалне импликације на буџет опште државе. Посебним фискалним правилима за локалне самоуправе постављено је тзв. „златно правило</w:t>
      </w:r>
      <w:r w:rsidR="00C6085C" w:rsidRPr="00C6085C">
        <w:rPr>
          <w:rFonts w:eastAsia="MS PGothic" w:cstheme="minorHAnsi"/>
          <w:szCs w:val="20"/>
          <w:lang w:val="sr-Cyrl-CS" w:eastAsia="ja-JP"/>
        </w:rPr>
        <w:t>”</w:t>
      </w:r>
      <w:r w:rsidRPr="00347E91">
        <w:rPr>
          <w:rFonts w:eastAsia="MS PGothic" w:cstheme="minorHAnsi"/>
          <w:szCs w:val="20"/>
          <w:lang w:val="sr-Cyrl-CS" w:eastAsia="ja-JP"/>
        </w:rPr>
        <w:t xml:space="preserve"> тј. дефицит је могућ само за реализацију капиталних инвестиција. Постоје и правила о висини задужености јединица локалне самоуправе, која би доследном применом одржала стабилност јавних финансија на локалном нивоу. У пракси се дешавало да нереалним планирањем како прихода, тако и расхода дође до нагомилавања доспелих а неизмирених обавеза које угрожавају функционисање појединих градова и општина.</w:t>
      </w:r>
    </w:p>
    <w:p w14:paraId="648191FB"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Како би се избегла реализација фискалних ризика по овом основу Министарство финансија ће у наредном периоду значајно унапредити систем контроле јавних финансија локалних самоуправа у циљу поштовања постављених правила од планирања до реализације буџета на локалном нивоу.</w:t>
      </w:r>
    </w:p>
    <w:p w14:paraId="59CA2AD7"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 xml:space="preserve">Постоје значајни фискални ризици по основу судских одлука, домаћих и међународних судова, казни и накнада штете од стране државних органа, нарочито због покретања извршних поступака услед неизвршавања обавеза по правоснажним пресудама у предвиђеном року од стране државних органа. У циљу смањења трошкова у тзв. </w:t>
      </w:r>
      <w:r w:rsidR="0000208A" w:rsidRPr="0000208A">
        <w:rPr>
          <w:rFonts w:eastAsia="MS PGothic" w:cstheme="minorHAnsi"/>
          <w:szCs w:val="20"/>
          <w:lang w:val="sr-Cyrl-CS" w:eastAsia="ja-JP"/>
        </w:rPr>
        <w:t>„</w:t>
      </w:r>
      <w:r w:rsidRPr="00347E91">
        <w:rPr>
          <w:rFonts w:eastAsia="MS PGothic" w:cstheme="minorHAnsi"/>
          <w:szCs w:val="20"/>
          <w:lang w:val="sr-Cyrl-CS" w:eastAsia="ja-JP"/>
        </w:rPr>
        <w:t>буџетским</w:t>
      </w:r>
      <w:r w:rsidR="0000208A" w:rsidRPr="0000208A">
        <w:rPr>
          <w:rFonts w:eastAsia="MS PGothic" w:cstheme="minorHAnsi"/>
          <w:szCs w:val="20"/>
          <w:lang w:val="sr-Cyrl-RS" w:eastAsia="ja-JP"/>
        </w:rPr>
        <w:t>”</w:t>
      </w:r>
      <w:r w:rsidRPr="00347E91">
        <w:rPr>
          <w:rFonts w:eastAsia="MS PGothic" w:cstheme="minorHAnsi"/>
          <w:szCs w:val="20"/>
          <w:lang w:val="sr-Cyrl-CS" w:eastAsia="ja-JP"/>
        </w:rPr>
        <w:t xml:space="preserve"> предметима, у којима се као извршни дужник појављује Република Србија, аутономна покрајина или јединица локалне самоуправе, односно директни и индиректни буџетски корисници, измењен је чл. 300 Закона о извршењу и обезбеђењу, који је ступио на снагу 1.1.2020. године. </w:t>
      </w:r>
      <w:r w:rsidRPr="00347E91">
        <w:rPr>
          <w:rFonts w:eastAsia="MS PGothic" w:cstheme="minorHAnsi"/>
          <w:szCs w:val="20"/>
          <w:lang w:val="sr-Cyrl-RS" w:eastAsia="ja-JP"/>
        </w:rPr>
        <w:t>П</w:t>
      </w:r>
      <w:r w:rsidRPr="00347E91">
        <w:rPr>
          <w:rFonts w:eastAsia="MS PGothic" w:cstheme="minorHAnsi"/>
          <w:szCs w:val="20"/>
          <w:lang w:val="sr-Cyrl-CS" w:eastAsia="ja-JP"/>
        </w:rPr>
        <w:t>редвиђена је могућност добровољног намирења обавезе, извршење обавезе у року и од стране надлежног државног органа због чијег рада је и настало потраживање на терет државе, а све у циљу повећања од</w:t>
      </w:r>
      <w:r w:rsidR="00C757BE">
        <w:rPr>
          <w:rFonts w:eastAsia="MS PGothic" w:cstheme="minorHAnsi"/>
          <w:szCs w:val="20"/>
          <w:lang w:val="sr-Cyrl-CS" w:eastAsia="ja-JP"/>
        </w:rPr>
        <w:t>г</w:t>
      </w:r>
      <w:r w:rsidRPr="00347E91">
        <w:rPr>
          <w:rFonts w:eastAsia="MS PGothic" w:cstheme="minorHAnsi"/>
          <w:szCs w:val="20"/>
          <w:lang w:val="sr-Cyrl-CS" w:eastAsia="ja-JP"/>
        </w:rPr>
        <w:t>оворности, економичности и ефикасности у раду државних органа, јер би се тако избегло додатно и непотребно плаћање јавних извршитеља, који увелико поскупљују судске спорове.</w:t>
      </w:r>
    </w:p>
    <w:p w14:paraId="3BDA6015"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lastRenderedPageBreak/>
        <w:t>Република Србија је по основу судских одлука у периоду 2009–2018. године из буџета платила 80,5 млрд динара . У 2019. години по основу судских одлука плаћено је 17,6 млрд динара из буџета Републике Србије. У току 2020. године по основу судских одлука плаћено је 22,9 млрд динара. Одлука Европског суда за људска права обавезала је Републику Србију да исплати јавни дуг по основу неисплаћене девизне штедње коју су држављани бивших република СФРЈ и држављани Републике Србије положили код банака са седиштем на територији Републике Србије и њиховим филијалама на територијама бивших република СФРЈ. Такође, потенцијалне обавезе могу проистећи и из одлука Уставног суда по основу поднетих уставних жалби и одлука Европског суда за људска права по поднетим представкама радника некадашњих друштвених предузећа (неисплаћене зараде, доприноси за обавезно социјално осигурање, затезне камате, трошкови поступка, потраживања по основу комерцијалних трансакција).</w:t>
      </w:r>
    </w:p>
    <w:p w14:paraId="43A4E7A3"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Стално присутан ризик од елементарних непогода и природних катастрофа обавезује улагање у програме превенције како би се умањили потенцијални фискални трошкови за отклањање штета насталих по том основу. Под превенц</w:t>
      </w:r>
      <w:r w:rsidR="00103068">
        <w:rPr>
          <w:rFonts w:eastAsia="MS PGothic" w:cstheme="minorHAnsi"/>
          <w:szCs w:val="20"/>
          <w:lang w:val="sr-Cyrl-CS" w:eastAsia="ja-JP"/>
        </w:rPr>
        <w:t xml:space="preserve">ијом се мисли на укључивање </w:t>
      </w:r>
      <w:r w:rsidRPr="00347E91">
        <w:rPr>
          <w:rFonts w:eastAsia="MS PGothic" w:cstheme="minorHAnsi"/>
          <w:szCs w:val="20"/>
          <w:lang w:val="sr-Cyrl-CS" w:eastAsia="ja-JP"/>
        </w:rPr>
        <w:t xml:space="preserve">ширег спектра финансијских инструмената (као што су резервни </w:t>
      </w:r>
      <w:r w:rsidRPr="00347E91">
        <w:rPr>
          <w:rFonts w:eastAsia="MS PGothic" w:cstheme="minorHAnsi"/>
          <w:szCs w:val="20"/>
          <w:lang w:val="sr-Cyrl-CS" w:eastAsia="ja-JP"/>
        </w:rPr>
        <w:t xml:space="preserve">фондови, потенцијалне кредитне линије, а нарочито осигурање) који треба </w:t>
      </w:r>
      <w:r w:rsidR="00103068">
        <w:rPr>
          <w:rFonts w:eastAsia="MS PGothic" w:cstheme="minorHAnsi"/>
          <w:szCs w:val="20"/>
          <w:lang w:val="sr-Cyrl-CS" w:eastAsia="ja-JP"/>
        </w:rPr>
        <w:t xml:space="preserve">да буду на располагању држави. </w:t>
      </w:r>
      <w:r w:rsidRPr="00347E91">
        <w:rPr>
          <w:rFonts w:eastAsia="MS PGothic" w:cstheme="minorHAnsi"/>
          <w:szCs w:val="20"/>
          <w:lang w:val="sr-Cyrl-CS" w:eastAsia="ja-JP"/>
        </w:rPr>
        <w:t>Република Србија се у 2014. суочила са катастрофалним последицама поплава, чија је укупна штета (са губицима) процењена на више од 1,7 млрд евра. Влада је у децембру 2014. усвојила Национални програм за управљање ризицима од елементарних непогода, који ће бити реализован у сарадњи са Светском банком, Уједињеним нацијама и ЕУ. У оквиру Националног програма, новембра 2018. године је донет још један кровни закон који се бави проблематиком елементарних непогода и катастрофа, Закон о смањењу ризика од катастрофа и управљању ванредним ситуацијама. Република Србија је у 2019. години платила из буџета 4,22 млрд динара за накнаде штете за повреде или штете настале услед елементарних непогода или других природних узрока. У току 2020. године за ову намену издвојено је 2,8 млрд динара.</w:t>
      </w:r>
    </w:p>
    <w:p w14:paraId="2857222C" w14:textId="77777777" w:rsidR="001E3E7D" w:rsidRPr="00347E91" w:rsidRDefault="001E3E7D" w:rsidP="00C6079A">
      <w:pPr>
        <w:rPr>
          <w:rFonts w:eastAsia="MS PGothic" w:cstheme="minorHAnsi"/>
          <w:szCs w:val="20"/>
          <w:lang w:val="sr-Cyrl-CS" w:eastAsia="ja-JP"/>
        </w:rPr>
      </w:pPr>
      <w:r w:rsidRPr="00347E91">
        <w:rPr>
          <w:rFonts w:eastAsia="MS PGothic" w:cstheme="minorHAnsi"/>
          <w:szCs w:val="20"/>
          <w:lang w:val="sr-Cyrl-CS" w:eastAsia="ja-JP"/>
        </w:rPr>
        <w:t>У циљу даљег унапређења Сектора за праћење фискалних ризика, конкретно Групе за праћење осталих фискалних ризика, у току су разговори са Светском банком у вези са припремом методологије за праћење фискалних ризика изазваних елементарним непогодама, а од другог квартала 2021. отпочињу консултације у вези са припремом методологије која се односи на праћење ризика изазваних судским споровима.</w:t>
      </w:r>
    </w:p>
    <w:p w14:paraId="31C6B02D" w14:textId="77777777" w:rsidR="001E3E7D" w:rsidRPr="00EA3D8C" w:rsidRDefault="001E3E7D" w:rsidP="00C6079A">
      <w:pPr>
        <w:rPr>
          <w:rFonts w:eastAsia="MS PGothic" w:cstheme="minorHAnsi"/>
          <w:szCs w:val="20"/>
          <w:lang w:val="sr-Cyrl-RS" w:eastAsia="ja-JP"/>
        </w:rPr>
        <w:sectPr w:rsidR="001E3E7D" w:rsidRPr="00EA3D8C" w:rsidSect="008265F0">
          <w:type w:val="continuous"/>
          <w:pgSz w:w="12240" w:h="15840" w:code="1"/>
          <w:pgMar w:top="1440" w:right="1440" w:bottom="1440" w:left="1440" w:header="720" w:footer="720" w:gutter="0"/>
          <w:cols w:num="2" w:space="720"/>
          <w:docGrid w:linePitch="360"/>
          <w15:footnoteColumns w:val="1"/>
        </w:sectPr>
      </w:pPr>
    </w:p>
    <w:p w14:paraId="2E617F0C" w14:textId="77777777" w:rsidR="001E3E7D" w:rsidRPr="00EA3D8C" w:rsidRDefault="001E3E7D" w:rsidP="00C6079A">
      <w:pPr>
        <w:pStyle w:val="Heading2"/>
        <w:spacing w:before="0" w:after="160"/>
        <w:jc w:val="center"/>
        <w:rPr>
          <w:rFonts w:asciiTheme="minorHAnsi" w:eastAsia="Times New Roman" w:hAnsiTheme="minorHAnsi" w:cstheme="minorHAnsi"/>
          <w:b/>
          <w:sz w:val="24"/>
          <w:lang w:val="sr-Cyrl-RS"/>
        </w:rPr>
        <w:sectPr w:rsidR="001E3E7D" w:rsidRPr="00EA3D8C" w:rsidSect="00AE40EB">
          <w:headerReference w:type="even" r:id="rId136"/>
          <w:footerReference w:type="even" r:id="rId137"/>
          <w:footerReference w:type="default" r:id="rId138"/>
          <w:headerReference w:type="first" r:id="rId139"/>
          <w:type w:val="continuous"/>
          <w:pgSz w:w="12240" w:h="15840" w:code="1"/>
          <w:pgMar w:top="1440" w:right="1440" w:bottom="1440" w:left="1440" w:header="720" w:footer="720" w:gutter="0"/>
          <w:cols w:num="2" w:space="720"/>
          <w:docGrid w:linePitch="360"/>
          <w15:footnoteColumns w:val="1"/>
        </w:sectPr>
      </w:pPr>
    </w:p>
    <w:p w14:paraId="6D53BAE2" w14:textId="77777777" w:rsidR="0011662D" w:rsidRDefault="0011662D">
      <w:pPr>
        <w:jc w:val="left"/>
        <w:rPr>
          <w:rFonts w:eastAsia="Times New Roman" w:cstheme="minorHAnsi"/>
          <w:b/>
          <w:color w:val="2F5496" w:themeColor="accent1" w:themeShade="BF"/>
          <w:sz w:val="24"/>
          <w:szCs w:val="26"/>
          <w:lang w:val="sr-Cyrl-RS"/>
        </w:rPr>
      </w:pPr>
      <w:bookmarkStart w:id="36" w:name="_Toc56667080"/>
      <w:r>
        <w:rPr>
          <w:rFonts w:eastAsia="Times New Roman" w:cstheme="minorHAnsi"/>
          <w:b/>
          <w:sz w:val="24"/>
          <w:lang w:val="sr-Cyrl-RS"/>
        </w:rPr>
        <w:br w:type="page"/>
      </w:r>
    </w:p>
    <w:p w14:paraId="403573E7" w14:textId="77777777" w:rsidR="001E3E7D" w:rsidRPr="00EA3D8C" w:rsidRDefault="001E3E7D" w:rsidP="0062573C">
      <w:pPr>
        <w:pStyle w:val="Heading2"/>
        <w:spacing w:before="480" w:after="240"/>
        <w:jc w:val="center"/>
        <w:rPr>
          <w:rFonts w:asciiTheme="minorHAnsi" w:eastAsia="MS PGothic" w:hAnsiTheme="minorHAnsi" w:cstheme="minorHAnsi"/>
          <w:b/>
          <w:sz w:val="24"/>
          <w:lang w:val="sr-Cyrl-RS" w:eastAsia="ja-JP"/>
        </w:rPr>
        <w:sectPr w:rsidR="001E3E7D" w:rsidRPr="00EA3D8C" w:rsidSect="00AE40EB">
          <w:type w:val="continuous"/>
          <w:pgSz w:w="12240" w:h="15840" w:code="1"/>
          <w:pgMar w:top="1440" w:right="1440" w:bottom="1440" w:left="1440" w:header="720" w:footer="720" w:gutter="0"/>
          <w:cols w:space="720"/>
          <w:docGrid w:linePitch="360"/>
        </w:sectPr>
      </w:pPr>
      <w:bookmarkStart w:id="37" w:name="_Toc73364972"/>
      <w:r w:rsidRPr="00EA3D8C">
        <w:rPr>
          <w:rFonts w:asciiTheme="minorHAnsi" w:eastAsia="Times New Roman" w:hAnsiTheme="minorHAnsi" w:cstheme="minorHAnsi"/>
          <w:b/>
          <w:sz w:val="24"/>
          <w:lang w:val="sr-Cyrl-RS"/>
        </w:rPr>
        <w:lastRenderedPageBreak/>
        <w:t xml:space="preserve">6. </w:t>
      </w:r>
      <w:r w:rsidRPr="00EA3D8C">
        <w:rPr>
          <w:rFonts w:asciiTheme="minorHAnsi" w:eastAsia="MS PGothic" w:hAnsiTheme="minorHAnsi" w:cstheme="minorHAnsi"/>
          <w:b/>
          <w:sz w:val="24"/>
          <w:lang w:val="sr-Cyrl-RS" w:eastAsia="ja-JP"/>
        </w:rPr>
        <w:t>Циклично прилагођени и структурни фискални биланс</w:t>
      </w:r>
      <w:bookmarkEnd w:id="32"/>
      <w:bookmarkEnd w:id="33"/>
      <w:bookmarkEnd w:id="34"/>
      <w:bookmarkEnd w:id="36"/>
      <w:bookmarkEnd w:id="37"/>
    </w:p>
    <w:p w14:paraId="5DAC2BE0" w14:textId="77777777" w:rsidR="001E3E7D" w:rsidRPr="00D1094C" w:rsidRDefault="001E3E7D" w:rsidP="008265F0">
      <w:pPr>
        <w:rPr>
          <w:rFonts w:ascii="Calibri" w:eastAsia="MS PGothic" w:hAnsi="Calibri" w:cs="Calibri"/>
          <w:szCs w:val="20"/>
          <w:lang w:val="sr-Cyrl-RS" w:eastAsia="ja-JP"/>
        </w:rPr>
      </w:pPr>
      <w:bookmarkStart w:id="38" w:name="_Toc499650054"/>
      <w:bookmarkStart w:id="39" w:name="_Toc530635110"/>
      <w:bookmarkStart w:id="40" w:name="_Toc11155996"/>
      <w:r w:rsidRPr="00D1094C">
        <w:rPr>
          <w:rFonts w:eastAsia="MS PGothic" w:cstheme="minorHAnsi"/>
          <w:szCs w:val="20"/>
          <w:lang w:val="sr-Cyrl-RS" w:eastAsia="ja-JP"/>
        </w:rPr>
        <w:t>Циклично прилагођени фискални биланс је фискални биланс из кога је искључен изоловани утицај привредног циклуса, а</w:t>
      </w:r>
      <w:r w:rsidRPr="00D1094C">
        <w:rPr>
          <w:rFonts w:ascii="Calibri" w:eastAsia="MS PGothic" w:hAnsi="Calibri" w:cs="Calibri"/>
          <w:szCs w:val="20"/>
          <w:lang w:val="sr-Cyrl-RS" w:eastAsia="ja-JP"/>
        </w:rPr>
        <w:t xml:space="preserve"> идентитет од кога се полази је следећи</w:t>
      </w:r>
      <w:r w:rsidRPr="00D1094C">
        <w:rPr>
          <w:rFonts w:ascii="Calibri" w:eastAsia="MS PGothic" w:hAnsi="Calibri" w:cs="Calibri"/>
          <w:szCs w:val="20"/>
          <w:vertAlign w:val="superscript"/>
          <w:lang w:val="sr-Cyrl-RS" w:eastAsia="ja-JP"/>
        </w:rPr>
        <w:footnoteReference w:id="12"/>
      </w:r>
      <w:r w:rsidRPr="00D1094C">
        <w:rPr>
          <w:rFonts w:ascii="Calibri" w:eastAsia="MS PGothic" w:hAnsi="Calibri" w:cs="Calibri"/>
          <w:szCs w:val="20"/>
          <w:lang w:val="sr-Cyrl-RS" w:eastAsia="ja-JP"/>
        </w:rPr>
        <w:t>:</w:t>
      </w:r>
    </w:p>
    <w:p w14:paraId="311C0ABD" w14:textId="77777777" w:rsidR="001E3E7D" w:rsidRPr="00D1094C" w:rsidRDefault="001E3E7D" w:rsidP="008265F0">
      <w:pPr>
        <w:jc w:val="center"/>
        <w:rPr>
          <w:rFonts w:ascii="Calibri" w:eastAsia="MS PGothic" w:hAnsi="Calibri" w:cs="Calibri"/>
          <w:szCs w:val="20"/>
          <w:lang w:val="sr-Cyrl-RS" w:eastAsia="ja-JP"/>
        </w:rPr>
      </w:pPr>
      <w:r w:rsidRPr="00D1094C">
        <w:rPr>
          <w:rFonts w:ascii="Calibri" w:eastAsia="MS PGothic" w:hAnsi="Calibri" w:cs="Calibri"/>
          <w:szCs w:val="20"/>
          <w:lang w:val="sr-Cyrl-RS" w:eastAsia="ja-JP"/>
        </w:rPr>
        <w:t>FB = CB + CAB</w:t>
      </w:r>
    </w:p>
    <w:p w14:paraId="1BD4D0C0" w14:textId="77777777" w:rsidR="001E3E7D" w:rsidRPr="00D1094C" w:rsidRDefault="001E3E7D" w:rsidP="008265F0">
      <w:pPr>
        <w:rPr>
          <w:rFonts w:eastAsia="MS PGothic" w:cstheme="minorHAnsi"/>
          <w:szCs w:val="20"/>
          <w:lang w:val="sr-Cyrl-RS" w:eastAsia="ja-JP"/>
        </w:rPr>
      </w:pPr>
      <w:r w:rsidRPr="00D1094C">
        <w:rPr>
          <w:rFonts w:ascii="Calibri" w:eastAsia="MS PGothic" w:hAnsi="Calibri" w:cs="Calibri"/>
          <w:szCs w:val="20"/>
          <w:lang w:val="sr-Cyrl-RS" w:eastAsia="ja-JP"/>
        </w:rPr>
        <w:t>Део фискалног биланса (FB)</w:t>
      </w:r>
      <w:r w:rsidRPr="00D1094C">
        <w:rPr>
          <w:rFonts w:ascii="Calibri" w:eastAsia="MS PGothic" w:hAnsi="Calibri" w:cs="Calibri"/>
          <w:i/>
          <w:szCs w:val="20"/>
          <w:lang w:val="sr-Cyrl-RS" w:eastAsia="ja-JP"/>
        </w:rPr>
        <w:t xml:space="preserve"> </w:t>
      </w:r>
      <w:r w:rsidRPr="00D1094C">
        <w:rPr>
          <w:rFonts w:ascii="Calibri" w:eastAsia="MS PGothic" w:hAnsi="Calibri" w:cs="Calibri"/>
          <w:szCs w:val="20"/>
          <w:lang w:val="sr-Cyrl-RS" w:eastAsia="ja-JP"/>
        </w:rPr>
        <w:t>који није под утицајем цикличних флуктуација назива се циклично прилагођени фискални биланс (CAB</w:t>
      </w:r>
      <w:r w:rsidRPr="00D1094C">
        <w:rPr>
          <w:rFonts w:ascii="Calibri" w:eastAsia="MS PGothic" w:hAnsi="Calibri" w:cs="Calibri"/>
          <w:i/>
          <w:szCs w:val="20"/>
          <w:lang w:val="sr-Cyrl-RS" w:eastAsia="ja-JP"/>
        </w:rPr>
        <w:t xml:space="preserve">), </w:t>
      </w:r>
      <w:r w:rsidRPr="00D1094C">
        <w:rPr>
          <w:rFonts w:ascii="Calibri" w:eastAsia="MS PGothic" w:hAnsi="Calibri" w:cs="Calibri"/>
          <w:szCs w:val="20"/>
          <w:lang w:val="sr-Cyrl-RS" w:eastAsia="ja-JP"/>
        </w:rPr>
        <w:t xml:space="preserve">а циљ ове процедуре је изоловање цикличне компоненте </w:t>
      </w:r>
      <w:r w:rsidRPr="00D1094C">
        <w:rPr>
          <w:rFonts w:eastAsia="MS PGothic" w:cstheme="minorHAnsi"/>
          <w:szCs w:val="20"/>
          <w:lang w:val="sr-Cyrl-RS" w:eastAsia="ja-JP"/>
        </w:rPr>
        <w:t>фискалног биланса (CB) која је резултат дејства производног јаза. Стварни фискални биланс биће једнак циклично прилагођеном у случају да је производни јаз једнак нули, тј. ако је стопа раста реалног БДП једнака потенцијалној. Структурни фискални биланс се даље рачунски добија елиминацијом једнократних ефеката на приходној и расходној страни, и тако показује структурну (трајну) фискалну позицију.</w:t>
      </w:r>
    </w:p>
    <w:p w14:paraId="4E59124B" w14:textId="77777777" w:rsidR="001E3E7D" w:rsidRPr="00D1094C" w:rsidRDefault="001E3E7D" w:rsidP="008265F0">
      <w:pPr>
        <w:rPr>
          <w:rFonts w:ascii="Calibri" w:eastAsia="MS PGothic" w:hAnsi="Calibri" w:cs="Calibri"/>
          <w:szCs w:val="20"/>
          <w:lang w:val="sr-Cyrl-RS" w:eastAsia="ja-JP"/>
        </w:rPr>
      </w:pPr>
      <w:r w:rsidRPr="00D1094C">
        <w:rPr>
          <w:rFonts w:eastAsia="MS PGothic" w:cstheme="minorHAnsi"/>
          <w:szCs w:val="20"/>
          <w:lang w:val="sr-Cyrl-RS" w:eastAsia="ja-JP"/>
        </w:rPr>
        <w:t xml:space="preserve">Циклично прилагођени дефицит се убрзано смањује након 2014. године, упоредо са кретањем општег фискалног резултата, а у 2017. години улази у зону суфицита. Структурни примарни биланс очишћен од једнократних фактора у 2017. године такође бележи високу позитивну </w:t>
      </w:r>
      <w:r w:rsidRPr="00D1094C">
        <w:rPr>
          <w:rFonts w:ascii="Calibri" w:eastAsia="MS PGothic" w:hAnsi="Calibri" w:cs="Calibri"/>
          <w:szCs w:val="20"/>
          <w:lang w:val="sr-Cyrl-RS" w:eastAsia="ja-JP"/>
        </w:rPr>
        <w:t xml:space="preserve">вредност. Структурне промене у пореском систему током 2012. и 2013. године су почеле да дају резултате у наредном периоду, чиме је процес фискалне консолидације суштински и почео. Наредна фаза фискалне консолидације, спроведена током аранжмана са ММФ, али овог пута са нагласком на структурном прилагођавању на расходној страни, значајно је поправила фискалну позицију земље. Анализом и квантификацијом структурног примарног биланса могу се изоловати, пре свега, </w:t>
      </w:r>
      <w:r w:rsidRPr="00D1094C">
        <w:rPr>
          <w:rFonts w:ascii="Calibri" w:eastAsia="MS PGothic" w:hAnsi="Calibri" w:cs="Calibri"/>
          <w:szCs w:val="20"/>
          <w:lang w:val="sr-Cyrl-RS" w:eastAsia="ja-JP"/>
        </w:rPr>
        <w:t>једнократни ефекти на страни расходна</w:t>
      </w:r>
      <w:r w:rsidRPr="00D1094C">
        <w:rPr>
          <w:rFonts w:ascii="Calibri" w:eastAsia="MS PGothic" w:hAnsi="Calibri" w:cs="Calibri"/>
          <w:szCs w:val="20"/>
          <w:lang w:eastAsia="ja-JP"/>
        </w:rPr>
        <w:t>,</w:t>
      </w:r>
      <w:r w:rsidRPr="00D1094C">
        <w:rPr>
          <w:rFonts w:ascii="Calibri" w:eastAsia="MS PGothic" w:hAnsi="Calibri" w:cs="Calibri"/>
          <w:szCs w:val="20"/>
          <w:lang w:val="sr-Cyrl-RS" w:eastAsia="ja-JP"/>
        </w:rPr>
        <w:t xml:space="preserve"> иако у појединим годинама, нису безначајни и једнократни ефекти у виду непланираних уплата на приходној страни. Анализом структурног примарног биланса оцењена је фискална позиција земље. Тако је у периоду од 2014. до 2019. године фискална позиција значајно побољшана, чиме је и потврђена оцена успеха програма фискалне консолидације.</w:t>
      </w:r>
    </w:p>
    <w:p w14:paraId="4A1F9818" w14:textId="77777777" w:rsidR="001E3E7D" w:rsidRPr="00D1094C" w:rsidRDefault="001E3E7D" w:rsidP="008265F0">
      <w:pPr>
        <w:rPr>
          <w:rFonts w:eastAsia="MS PGothic" w:cstheme="minorHAnsi"/>
          <w:szCs w:val="20"/>
          <w:lang w:val="sr-Cyrl-RS" w:eastAsia="ja-JP"/>
        </w:rPr>
      </w:pPr>
      <w:r w:rsidRPr="00D1094C">
        <w:rPr>
          <w:rFonts w:ascii="Calibri" w:eastAsia="MS PGothic" w:hAnsi="Calibri" w:cs="Calibri"/>
          <w:szCs w:val="20"/>
          <w:lang w:val="sr-Cyrl-RS" w:eastAsia="ja-JP"/>
        </w:rPr>
        <w:t>Ф</w:t>
      </w:r>
      <w:r w:rsidRPr="00D1094C">
        <w:rPr>
          <w:rFonts w:eastAsia="MS PGothic" w:cstheme="minorHAnsi"/>
          <w:szCs w:val="20"/>
          <w:lang w:val="sr-Cyrl-RS" w:eastAsia="ja-JP"/>
        </w:rPr>
        <w:t>искални простор креиран у претходном периоду и значајно структурно унапређена фискална позиција земље, омогућили су релаксацију фискалне политике у кризним временима.</w:t>
      </w:r>
    </w:p>
    <w:p w14:paraId="391AAA2F" w14:textId="77777777" w:rsidR="001E3E7D" w:rsidRPr="00D1094C" w:rsidRDefault="001E3E7D" w:rsidP="008265F0">
      <w:pPr>
        <w:rPr>
          <w:rFonts w:ascii="Calibri" w:eastAsia="Calibri" w:hAnsi="Calibri" w:cs="Calibri"/>
          <w:szCs w:val="20"/>
          <w:lang w:val="sr-Cyrl-RS"/>
        </w:rPr>
        <w:sectPr w:rsidR="001E3E7D" w:rsidRPr="00D1094C" w:rsidSect="008265F0">
          <w:type w:val="continuous"/>
          <w:pgSz w:w="12240" w:h="15840" w:code="1"/>
          <w:pgMar w:top="1417" w:right="1417" w:bottom="1417" w:left="1417" w:header="720" w:footer="720" w:gutter="0"/>
          <w:cols w:num="2" w:space="720"/>
          <w15:footnoteColumns w:val="1"/>
        </w:sectPr>
      </w:pPr>
      <w:r w:rsidRPr="00D1094C">
        <w:rPr>
          <w:rFonts w:ascii="Calibri" w:eastAsia="MS PGothic" w:hAnsi="Calibri" w:cs="Calibri"/>
          <w:spacing w:val="-2"/>
          <w:szCs w:val="20"/>
          <w:lang w:val="sr-Cyrl-RS" w:eastAsia="ja-JP"/>
        </w:rPr>
        <w:t xml:space="preserve">Избијањем пандемије КОВИД-19 почетком 2020. године и увођењем мера за здравствену заштиту становништва, глобална економија је ушла у кризу без преседана, која и поред назнака постепеног опоравка није још увек окончана. </w:t>
      </w:r>
      <w:r w:rsidRPr="00D1094C">
        <w:rPr>
          <w:rFonts w:ascii="Calibri" w:eastAsia="Calibri" w:hAnsi="Calibri" w:cs="Calibri"/>
          <w:szCs w:val="20"/>
          <w:lang w:val="sr-Cyrl-RS"/>
        </w:rPr>
        <w:t>Специфичност кризе огледа се у самом узроку који није економске већ здравствене природе, при чему начин борбе у обуздавању даљег ширења вируса производи додатне негативне економске ефекте. Утицај на фискалну позицију је видљив кроз смањене прихода буџета, који су последица успоравања економске активности услед пандемије, и драматично већих расхода условљених већим трошковима здравствене заштите и доношењем обимног пакета помоћи привреди и грађанима. У таквој ситуацији, уобичајена анализа привредног циклуса, квантификација фискалних мултипликатора и оцена еластичности фискалног баланса у односу на производни јаз не даје сасвим коректне оцене фискалне позиције земље.</w:t>
      </w:r>
    </w:p>
    <w:p w14:paraId="4EFFA244" w14:textId="77777777" w:rsidR="001E3E7D" w:rsidRPr="00FE2651" w:rsidRDefault="001E3E7D" w:rsidP="008265F0">
      <w:pPr>
        <w:jc w:val="left"/>
        <w:rPr>
          <w:rFonts w:ascii="Calibri" w:eastAsia="MS PGothic" w:hAnsi="Calibri" w:cs="Calibri"/>
          <w:b/>
          <w:bCs/>
          <w:lang w:val="sr-Cyrl-RS"/>
        </w:rPr>
      </w:pPr>
    </w:p>
    <w:p w14:paraId="4000F8B3" w14:textId="77777777" w:rsidR="00D336DB" w:rsidRPr="00FE2651" w:rsidRDefault="00D336DB">
      <w:pPr>
        <w:jc w:val="left"/>
        <w:rPr>
          <w:rFonts w:ascii="Calibri" w:eastAsia="MS PGothic" w:hAnsi="Calibri" w:cs="Calibri"/>
          <w:b/>
          <w:bCs/>
          <w:lang w:val="sr-Cyrl-RS"/>
        </w:rPr>
      </w:pPr>
      <w:r>
        <w:rPr>
          <w:rFonts w:ascii="Calibri" w:eastAsia="MS PGothic" w:hAnsi="Calibri" w:cs="Calibri"/>
          <w:b/>
          <w:bCs/>
          <w:color w:val="FF0000"/>
          <w:lang w:val="sr-Cyrl-RS"/>
        </w:rPr>
        <w:br w:type="page"/>
      </w:r>
    </w:p>
    <w:p w14:paraId="0051B762" w14:textId="77777777" w:rsidR="001E3E7D" w:rsidRPr="00EA3D8C" w:rsidRDefault="001E3E7D" w:rsidP="00FC0172">
      <w:pPr>
        <w:jc w:val="center"/>
        <w:rPr>
          <w:rFonts w:ascii="Calibri" w:eastAsia="MS PGothic" w:hAnsi="Calibri" w:cs="Calibri"/>
          <w:b/>
          <w:bCs/>
          <w:color w:val="002060"/>
          <w:lang w:val="sr-Cyrl-RS"/>
        </w:rPr>
      </w:pPr>
      <w:r w:rsidRPr="004E0C7D">
        <w:rPr>
          <w:rFonts w:ascii="Calibri" w:eastAsia="MS PGothic" w:hAnsi="Calibri" w:cs="Calibri"/>
          <w:b/>
          <w:bCs/>
          <w:color w:val="002060"/>
          <w:lang w:val="sr-Cyrl-RS"/>
        </w:rPr>
        <w:lastRenderedPageBreak/>
        <w:t xml:space="preserve">Табела 21. Фискални </w:t>
      </w:r>
      <w:r w:rsidRPr="00D1094C">
        <w:rPr>
          <w:rFonts w:ascii="Calibri" w:eastAsia="MS PGothic" w:hAnsi="Calibri" w:cs="Calibri"/>
          <w:b/>
          <w:bCs/>
          <w:color w:val="002060"/>
          <w:lang w:val="sr-Cyrl-RS"/>
        </w:rPr>
        <w:t xml:space="preserve">биланс и компоненте за обрачун циклично прилагођеног биланса </w:t>
      </w:r>
      <w:r w:rsidRPr="00D1094C">
        <w:rPr>
          <w:rFonts w:ascii="Calibri" w:eastAsia="MS PGothic" w:hAnsi="Calibri" w:cs="Calibri"/>
          <w:b/>
          <w:bCs/>
          <w:color w:val="002060"/>
          <w:lang w:val="sr-Cyrl-RS"/>
        </w:rPr>
        <w:br w:type="textWrapping" w:clear="all"/>
        <w:t>у периоду 2005–2024. године, % БДП*</w:t>
      </w:r>
    </w:p>
    <w:tbl>
      <w:tblPr>
        <w:tblStyle w:val="LightShading-Accent337"/>
        <w:tblpPr w:leftFromText="180" w:rightFromText="180" w:vertAnchor="text" w:horzAnchor="margin" w:tblpXSpec="center" w:tblpY="28"/>
        <w:tblW w:w="5275" w:type="pct"/>
        <w:tblLook w:val="04A0" w:firstRow="1" w:lastRow="0" w:firstColumn="1" w:lastColumn="0" w:noHBand="0" w:noVBand="1"/>
      </w:tblPr>
      <w:tblGrid>
        <w:gridCol w:w="741"/>
        <w:gridCol w:w="1166"/>
        <w:gridCol w:w="1133"/>
        <w:gridCol w:w="1133"/>
        <w:gridCol w:w="1143"/>
        <w:gridCol w:w="1218"/>
        <w:gridCol w:w="1123"/>
        <w:gridCol w:w="1133"/>
        <w:gridCol w:w="1133"/>
      </w:tblGrid>
      <w:tr w:rsidR="001E3E7D" w:rsidRPr="00EA3D8C" w14:paraId="7AC48EC2" w14:textId="77777777" w:rsidTr="008265F0">
        <w:trPr>
          <w:cnfStyle w:val="100000000000" w:firstRow="1" w:lastRow="0" w:firstColumn="0" w:lastColumn="0" w:oddVBand="0" w:evenVBand="0" w:oddHBand="0" w:evenHBand="0" w:firstRowFirstColumn="0" w:firstRowLastColumn="0" w:lastRowFirstColumn="0" w:lastRowLastColumn="0"/>
          <w:trHeight w:val="706"/>
        </w:trPr>
        <w:tc>
          <w:tcPr>
            <w:cnfStyle w:val="001000000000" w:firstRow="0" w:lastRow="0" w:firstColumn="1" w:lastColumn="0" w:oddVBand="0" w:evenVBand="0" w:oddHBand="0" w:evenHBand="0" w:firstRowFirstColumn="0" w:firstRowLastColumn="0" w:lastRowFirstColumn="0" w:lastRowLastColumn="0"/>
            <w:tcW w:w="380" w:type="pct"/>
            <w:tcBorders>
              <w:top w:val="single" w:sz="4" w:space="0" w:color="002060"/>
              <w:bottom w:val="single" w:sz="4" w:space="0" w:color="002060"/>
            </w:tcBorders>
            <w:noWrap/>
            <w:hideMark/>
          </w:tcPr>
          <w:p w14:paraId="59F4E199" w14:textId="77777777" w:rsidR="001E3E7D" w:rsidRPr="00EA3D8C" w:rsidRDefault="001E3E7D" w:rsidP="008265F0">
            <w:pPr>
              <w:spacing w:line="256" w:lineRule="auto"/>
              <w:rPr>
                <w:rFonts w:ascii="Calibri" w:eastAsia="MS PGothic" w:hAnsi="Calibri" w:cs="Calibri"/>
                <w:sz w:val="18"/>
                <w:szCs w:val="18"/>
                <w:lang w:val="sr-Cyrl-RS" w:eastAsia="ja-JP"/>
              </w:rPr>
            </w:pPr>
          </w:p>
        </w:tc>
        <w:tc>
          <w:tcPr>
            <w:tcW w:w="577" w:type="pct"/>
            <w:tcBorders>
              <w:top w:val="single" w:sz="4" w:space="0" w:color="002060"/>
              <w:bottom w:val="single" w:sz="4" w:space="0" w:color="002060"/>
            </w:tcBorders>
          </w:tcPr>
          <w:p w14:paraId="227F90DD"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Производни јаз</w:t>
            </w:r>
          </w:p>
        </w:tc>
        <w:tc>
          <w:tcPr>
            <w:tcW w:w="577" w:type="pct"/>
            <w:tcBorders>
              <w:top w:val="single" w:sz="4" w:space="0" w:color="002060"/>
              <w:bottom w:val="single" w:sz="4" w:space="0" w:color="002060"/>
            </w:tcBorders>
            <w:hideMark/>
          </w:tcPr>
          <w:p w14:paraId="12E52DD4"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 xml:space="preserve">Фискални </w:t>
            </w:r>
            <w:r w:rsidRPr="007065E5">
              <w:rPr>
                <w:rFonts w:ascii="Calibri" w:hAnsi="Calibri" w:cs="Calibri"/>
                <w:b w:val="0"/>
                <w:color w:val="002060"/>
                <w:sz w:val="18"/>
                <w:szCs w:val="18"/>
                <w:lang w:val="sr-Cyrl-RS"/>
              </w:rPr>
              <w:br/>
              <w:t>биланс</w:t>
            </w:r>
          </w:p>
        </w:tc>
        <w:tc>
          <w:tcPr>
            <w:tcW w:w="577" w:type="pct"/>
            <w:tcBorders>
              <w:top w:val="single" w:sz="4" w:space="0" w:color="002060"/>
              <w:bottom w:val="single" w:sz="4" w:space="0" w:color="002060"/>
            </w:tcBorders>
            <w:hideMark/>
          </w:tcPr>
          <w:p w14:paraId="7D1BD2B0"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Примарни фискални биланс</w:t>
            </w:r>
          </w:p>
        </w:tc>
        <w:tc>
          <w:tcPr>
            <w:tcW w:w="577" w:type="pct"/>
            <w:tcBorders>
              <w:top w:val="single" w:sz="4" w:space="0" w:color="002060"/>
              <w:bottom w:val="single" w:sz="4" w:space="0" w:color="002060"/>
            </w:tcBorders>
            <w:hideMark/>
          </w:tcPr>
          <w:p w14:paraId="2F6E9E61"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Циклична компонента</w:t>
            </w:r>
            <w:r w:rsidRPr="007065E5">
              <w:rPr>
                <w:rFonts w:ascii="Calibri" w:hAnsi="Calibri" w:cs="Calibri"/>
                <w:b w:val="0"/>
                <w:color w:val="002060"/>
                <w:sz w:val="18"/>
                <w:szCs w:val="18"/>
                <w:lang w:val="sr-Cyrl-RS"/>
              </w:rPr>
              <w:br/>
              <w:t>фиск. биланса</w:t>
            </w:r>
          </w:p>
        </w:tc>
        <w:tc>
          <w:tcPr>
            <w:tcW w:w="577" w:type="pct"/>
            <w:tcBorders>
              <w:top w:val="single" w:sz="4" w:space="0" w:color="002060"/>
              <w:bottom w:val="single" w:sz="4" w:space="0" w:color="002060"/>
            </w:tcBorders>
            <w:hideMark/>
          </w:tcPr>
          <w:p w14:paraId="41BEAD34"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 xml:space="preserve">Циклично </w:t>
            </w:r>
            <w:r w:rsidRPr="007065E5">
              <w:rPr>
                <w:rFonts w:ascii="Calibri" w:hAnsi="Calibri" w:cs="Calibri"/>
                <w:b w:val="0"/>
                <w:color w:val="002060"/>
                <w:sz w:val="18"/>
                <w:szCs w:val="18"/>
                <w:lang w:val="sr-Cyrl-RS"/>
              </w:rPr>
              <w:br/>
              <w:t>прилагођени фискални биланс</w:t>
            </w:r>
          </w:p>
        </w:tc>
        <w:tc>
          <w:tcPr>
            <w:tcW w:w="577" w:type="pct"/>
            <w:tcBorders>
              <w:top w:val="single" w:sz="4" w:space="0" w:color="002060"/>
              <w:bottom w:val="single" w:sz="4" w:space="0" w:color="002060"/>
            </w:tcBorders>
          </w:tcPr>
          <w:p w14:paraId="4B07860C"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Структурни фискални биланс</w:t>
            </w:r>
          </w:p>
        </w:tc>
        <w:tc>
          <w:tcPr>
            <w:tcW w:w="577" w:type="pct"/>
            <w:tcBorders>
              <w:top w:val="single" w:sz="4" w:space="0" w:color="002060"/>
              <w:bottom w:val="single" w:sz="4" w:space="0" w:color="002060"/>
            </w:tcBorders>
            <w:hideMark/>
          </w:tcPr>
          <w:p w14:paraId="7AAE523F"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Структурни примарни фискални биланс**</w:t>
            </w:r>
          </w:p>
        </w:tc>
        <w:tc>
          <w:tcPr>
            <w:tcW w:w="577" w:type="pct"/>
            <w:tcBorders>
              <w:top w:val="single" w:sz="4" w:space="0" w:color="002060"/>
              <w:bottom w:val="single" w:sz="4" w:space="0" w:color="002060"/>
            </w:tcBorders>
            <w:hideMark/>
          </w:tcPr>
          <w:p w14:paraId="0C963D91" w14:textId="77777777" w:rsidR="001E3E7D" w:rsidRPr="007065E5" w:rsidRDefault="001E3E7D" w:rsidP="008265F0">
            <w:pPr>
              <w:shd w:val="clear" w:color="auto" w:fill="FFFFFF" w:themeFill="background1"/>
              <w:spacing w:line="276" w:lineRule="auto"/>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Карактер фиск. политике – фискални импулс</w:t>
            </w:r>
          </w:p>
        </w:tc>
      </w:tr>
      <w:tr w:rsidR="001E3E7D" w:rsidRPr="00EA3D8C" w14:paraId="7D2A29BD"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single" w:sz="4" w:space="0" w:color="002060"/>
              <w:bottom w:val="nil"/>
            </w:tcBorders>
            <w:shd w:val="clear" w:color="auto" w:fill="FFFFFF" w:themeFill="background1"/>
            <w:noWrap/>
            <w:hideMark/>
          </w:tcPr>
          <w:p w14:paraId="61A59353"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2005</w:t>
            </w:r>
          </w:p>
        </w:tc>
        <w:tc>
          <w:tcPr>
            <w:tcW w:w="577" w:type="pct"/>
            <w:tcBorders>
              <w:top w:val="single" w:sz="4" w:space="0" w:color="002060"/>
              <w:bottom w:val="nil"/>
            </w:tcBorders>
            <w:shd w:val="clear" w:color="auto" w:fill="FFFFFF" w:themeFill="background1"/>
          </w:tcPr>
          <w:p w14:paraId="2811B1E4"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single" w:sz="4" w:space="0" w:color="002060"/>
              <w:bottom w:val="nil"/>
            </w:tcBorders>
            <w:shd w:val="clear" w:color="auto" w:fill="FFFFFF" w:themeFill="background1"/>
            <w:hideMark/>
          </w:tcPr>
          <w:p w14:paraId="49E25065"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single" w:sz="4" w:space="0" w:color="002060"/>
              <w:bottom w:val="nil"/>
            </w:tcBorders>
            <w:shd w:val="clear" w:color="auto" w:fill="FFFFFF" w:themeFill="background1"/>
            <w:hideMark/>
          </w:tcPr>
          <w:p w14:paraId="0A3300F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2,0</w:t>
            </w:r>
          </w:p>
        </w:tc>
        <w:tc>
          <w:tcPr>
            <w:tcW w:w="577" w:type="pct"/>
            <w:tcBorders>
              <w:top w:val="single" w:sz="4" w:space="0" w:color="002060"/>
              <w:bottom w:val="nil"/>
            </w:tcBorders>
            <w:shd w:val="clear" w:color="auto" w:fill="FFFFFF" w:themeFill="background1"/>
            <w:noWrap/>
            <w:hideMark/>
          </w:tcPr>
          <w:p w14:paraId="61B9E2F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single" w:sz="4" w:space="0" w:color="002060"/>
              <w:bottom w:val="nil"/>
            </w:tcBorders>
            <w:shd w:val="clear" w:color="auto" w:fill="FFFFFF" w:themeFill="background1"/>
            <w:noWrap/>
            <w:hideMark/>
          </w:tcPr>
          <w:p w14:paraId="3346187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single" w:sz="4" w:space="0" w:color="002060"/>
              <w:bottom w:val="nil"/>
            </w:tcBorders>
            <w:shd w:val="clear" w:color="auto" w:fill="FFFFFF" w:themeFill="background1"/>
          </w:tcPr>
          <w:p w14:paraId="23267B0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2,0</w:t>
            </w:r>
          </w:p>
        </w:tc>
        <w:tc>
          <w:tcPr>
            <w:tcW w:w="577" w:type="pct"/>
            <w:tcBorders>
              <w:top w:val="single" w:sz="4" w:space="0" w:color="002060"/>
              <w:bottom w:val="nil"/>
            </w:tcBorders>
            <w:shd w:val="clear" w:color="auto" w:fill="FFFFFF" w:themeFill="background1"/>
            <w:noWrap/>
            <w:hideMark/>
          </w:tcPr>
          <w:p w14:paraId="164AB2E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1,3</w:t>
            </w:r>
          </w:p>
        </w:tc>
        <w:tc>
          <w:tcPr>
            <w:tcW w:w="577" w:type="pct"/>
            <w:tcBorders>
              <w:top w:val="single" w:sz="4" w:space="0" w:color="002060"/>
              <w:bottom w:val="nil"/>
            </w:tcBorders>
            <w:shd w:val="clear" w:color="auto" w:fill="FFFFFF" w:themeFill="background1"/>
            <w:noWrap/>
            <w:hideMark/>
          </w:tcPr>
          <w:p w14:paraId="4ABE2F5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2,2</w:t>
            </w:r>
          </w:p>
        </w:tc>
      </w:tr>
      <w:tr w:rsidR="001E3E7D" w:rsidRPr="00EA3D8C" w14:paraId="25A0846A"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left w:val="nil"/>
              <w:bottom w:val="nil"/>
              <w:right w:val="nil"/>
            </w:tcBorders>
            <w:shd w:val="clear" w:color="auto" w:fill="FFFFFF" w:themeFill="background1"/>
            <w:noWrap/>
            <w:hideMark/>
          </w:tcPr>
          <w:p w14:paraId="55902667"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2006</w:t>
            </w:r>
          </w:p>
        </w:tc>
        <w:tc>
          <w:tcPr>
            <w:tcW w:w="577" w:type="pct"/>
            <w:tcBorders>
              <w:top w:val="nil"/>
              <w:left w:val="nil"/>
              <w:bottom w:val="nil"/>
              <w:right w:val="nil"/>
            </w:tcBorders>
            <w:shd w:val="clear" w:color="auto" w:fill="FFFFFF" w:themeFill="background1"/>
          </w:tcPr>
          <w:p w14:paraId="161E293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-2,7</w:t>
            </w:r>
          </w:p>
        </w:tc>
        <w:tc>
          <w:tcPr>
            <w:tcW w:w="577" w:type="pct"/>
            <w:tcBorders>
              <w:top w:val="nil"/>
              <w:left w:val="nil"/>
              <w:bottom w:val="nil"/>
              <w:right w:val="nil"/>
            </w:tcBorders>
            <w:shd w:val="clear" w:color="auto" w:fill="FFFFFF" w:themeFill="background1"/>
            <w:hideMark/>
          </w:tcPr>
          <w:p w14:paraId="1E20F19D"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-1,4</w:t>
            </w:r>
          </w:p>
        </w:tc>
        <w:tc>
          <w:tcPr>
            <w:tcW w:w="577" w:type="pct"/>
            <w:tcBorders>
              <w:top w:val="nil"/>
              <w:left w:val="nil"/>
              <w:bottom w:val="nil"/>
              <w:right w:val="nil"/>
            </w:tcBorders>
            <w:shd w:val="clear" w:color="auto" w:fill="FFFFFF" w:themeFill="background1"/>
            <w:hideMark/>
          </w:tcPr>
          <w:p w14:paraId="70E1CF7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left w:val="nil"/>
              <w:bottom w:val="nil"/>
              <w:right w:val="nil"/>
            </w:tcBorders>
            <w:shd w:val="clear" w:color="auto" w:fill="FFFFFF" w:themeFill="background1"/>
            <w:noWrap/>
            <w:hideMark/>
          </w:tcPr>
          <w:p w14:paraId="21E0708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-1,0</w:t>
            </w:r>
          </w:p>
        </w:tc>
        <w:tc>
          <w:tcPr>
            <w:tcW w:w="577" w:type="pct"/>
            <w:tcBorders>
              <w:top w:val="nil"/>
              <w:left w:val="nil"/>
              <w:bottom w:val="nil"/>
              <w:right w:val="nil"/>
            </w:tcBorders>
            <w:shd w:val="clear" w:color="auto" w:fill="FFFFFF" w:themeFill="background1"/>
            <w:noWrap/>
            <w:hideMark/>
          </w:tcPr>
          <w:p w14:paraId="3A4AC22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left w:val="nil"/>
              <w:bottom w:val="nil"/>
              <w:right w:val="nil"/>
            </w:tcBorders>
            <w:shd w:val="clear" w:color="auto" w:fill="FFFFFF" w:themeFill="background1"/>
          </w:tcPr>
          <w:p w14:paraId="6106AEA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0,8</w:t>
            </w:r>
          </w:p>
        </w:tc>
        <w:tc>
          <w:tcPr>
            <w:tcW w:w="577" w:type="pct"/>
            <w:tcBorders>
              <w:top w:val="nil"/>
              <w:left w:val="nil"/>
              <w:bottom w:val="nil"/>
              <w:right w:val="nil"/>
            </w:tcBorders>
            <w:shd w:val="clear" w:color="auto" w:fill="FFFFFF" w:themeFill="background1"/>
            <w:noWrap/>
            <w:hideMark/>
          </w:tcPr>
          <w:p w14:paraId="586712C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left w:val="nil"/>
              <w:bottom w:val="nil"/>
              <w:right w:val="nil"/>
            </w:tcBorders>
            <w:shd w:val="clear" w:color="auto" w:fill="FFFFFF" w:themeFill="background1"/>
            <w:noWrap/>
            <w:hideMark/>
          </w:tcPr>
          <w:p w14:paraId="0547915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1,5</w:t>
            </w:r>
          </w:p>
        </w:tc>
      </w:tr>
      <w:tr w:rsidR="001E3E7D" w:rsidRPr="00EA3D8C" w14:paraId="17F5CB98"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hideMark/>
          </w:tcPr>
          <w:p w14:paraId="1A049201"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2007</w:t>
            </w:r>
          </w:p>
        </w:tc>
        <w:tc>
          <w:tcPr>
            <w:tcW w:w="577" w:type="pct"/>
            <w:tcBorders>
              <w:top w:val="nil"/>
              <w:bottom w:val="nil"/>
            </w:tcBorders>
            <w:shd w:val="clear" w:color="auto" w:fill="FFFFFF" w:themeFill="background1"/>
          </w:tcPr>
          <w:p w14:paraId="3C61EC6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0,7</w:t>
            </w:r>
          </w:p>
        </w:tc>
        <w:tc>
          <w:tcPr>
            <w:tcW w:w="577" w:type="pct"/>
            <w:tcBorders>
              <w:top w:val="nil"/>
              <w:bottom w:val="nil"/>
            </w:tcBorders>
            <w:shd w:val="clear" w:color="auto" w:fill="FFFFFF" w:themeFill="background1"/>
            <w:hideMark/>
          </w:tcPr>
          <w:p w14:paraId="13B6320A"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-1,8</w:t>
            </w:r>
          </w:p>
        </w:tc>
        <w:tc>
          <w:tcPr>
            <w:tcW w:w="577" w:type="pct"/>
            <w:tcBorders>
              <w:top w:val="nil"/>
              <w:bottom w:val="nil"/>
            </w:tcBorders>
            <w:shd w:val="clear" w:color="auto" w:fill="FFFFFF" w:themeFill="background1"/>
            <w:hideMark/>
          </w:tcPr>
          <w:p w14:paraId="4FAA533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hideMark/>
          </w:tcPr>
          <w:p w14:paraId="54475DEA"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0,3</w:t>
            </w:r>
          </w:p>
        </w:tc>
        <w:tc>
          <w:tcPr>
            <w:tcW w:w="577" w:type="pct"/>
            <w:tcBorders>
              <w:top w:val="nil"/>
              <w:bottom w:val="nil"/>
            </w:tcBorders>
            <w:shd w:val="clear" w:color="auto" w:fill="FFFFFF" w:themeFill="background1"/>
            <w:noWrap/>
            <w:hideMark/>
          </w:tcPr>
          <w:p w14:paraId="50EABA4A"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-2,1</w:t>
            </w:r>
          </w:p>
        </w:tc>
        <w:tc>
          <w:tcPr>
            <w:tcW w:w="577" w:type="pct"/>
            <w:tcBorders>
              <w:top w:val="nil"/>
              <w:bottom w:val="nil"/>
            </w:tcBorders>
            <w:shd w:val="clear" w:color="auto" w:fill="FFFFFF" w:themeFill="background1"/>
          </w:tcPr>
          <w:p w14:paraId="57F99261"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-1,5</w:t>
            </w:r>
          </w:p>
        </w:tc>
        <w:tc>
          <w:tcPr>
            <w:tcW w:w="577" w:type="pct"/>
            <w:tcBorders>
              <w:top w:val="nil"/>
              <w:bottom w:val="nil"/>
            </w:tcBorders>
            <w:shd w:val="clear" w:color="auto" w:fill="FFFFFF" w:themeFill="background1"/>
            <w:noWrap/>
            <w:hideMark/>
          </w:tcPr>
          <w:p w14:paraId="1C7189DA"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-1,7</w:t>
            </w:r>
          </w:p>
        </w:tc>
        <w:tc>
          <w:tcPr>
            <w:tcW w:w="577" w:type="pct"/>
            <w:tcBorders>
              <w:top w:val="nil"/>
              <w:bottom w:val="nil"/>
            </w:tcBorders>
            <w:shd w:val="clear" w:color="auto" w:fill="FFFFFF" w:themeFill="background1"/>
            <w:noWrap/>
            <w:hideMark/>
          </w:tcPr>
          <w:p w14:paraId="4AC2384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r>
      <w:tr w:rsidR="001E3E7D" w:rsidRPr="00EA3D8C" w14:paraId="21B999C5"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left w:val="nil"/>
              <w:bottom w:val="nil"/>
              <w:right w:val="nil"/>
            </w:tcBorders>
            <w:shd w:val="clear" w:color="auto" w:fill="FFFFFF" w:themeFill="background1"/>
            <w:noWrap/>
            <w:hideMark/>
          </w:tcPr>
          <w:p w14:paraId="4B904ADA"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2008</w:t>
            </w:r>
          </w:p>
        </w:tc>
        <w:tc>
          <w:tcPr>
            <w:tcW w:w="577" w:type="pct"/>
            <w:tcBorders>
              <w:top w:val="nil"/>
              <w:left w:val="nil"/>
              <w:bottom w:val="nil"/>
              <w:right w:val="nil"/>
            </w:tcBorders>
            <w:shd w:val="clear" w:color="auto" w:fill="FFFFFF" w:themeFill="background1"/>
          </w:tcPr>
          <w:p w14:paraId="799475B8"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4,1</w:t>
            </w:r>
          </w:p>
        </w:tc>
        <w:tc>
          <w:tcPr>
            <w:tcW w:w="577" w:type="pct"/>
            <w:tcBorders>
              <w:top w:val="nil"/>
              <w:left w:val="nil"/>
              <w:bottom w:val="nil"/>
              <w:right w:val="nil"/>
            </w:tcBorders>
            <w:shd w:val="clear" w:color="auto" w:fill="FFFFFF" w:themeFill="background1"/>
            <w:hideMark/>
          </w:tcPr>
          <w:p w14:paraId="4F74FC98"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-2,5</w:t>
            </w:r>
          </w:p>
        </w:tc>
        <w:tc>
          <w:tcPr>
            <w:tcW w:w="577" w:type="pct"/>
            <w:tcBorders>
              <w:top w:val="nil"/>
              <w:left w:val="nil"/>
              <w:bottom w:val="nil"/>
              <w:right w:val="nil"/>
            </w:tcBorders>
            <w:shd w:val="clear" w:color="auto" w:fill="FFFFFF" w:themeFill="background1"/>
            <w:hideMark/>
          </w:tcPr>
          <w:p w14:paraId="560B2AA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-1,9</w:t>
            </w:r>
          </w:p>
        </w:tc>
        <w:tc>
          <w:tcPr>
            <w:tcW w:w="577" w:type="pct"/>
            <w:tcBorders>
              <w:top w:val="nil"/>
              <w:left w:val="nil"/>
              <w:bottom w:val="nil"/>
              <w:right w:val="nil"/>
            </w:tcBorders>
            <w:shd w:val="clear" w:color="auto" w:fill="FFFFFF" w:themeFill="background1"/>
            <w:hideMark/>
          </w:tcPr>
          <w:p w14:paraId="05706E4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1,4</w:t>
            </w:r>
          </w:p>
        </w:tc>
        <w:tc>
          <w:tcPr>
            <w:tcW w:w="577" w:type="pct"/>
            <w:tcBorders>
              <w:top w:val="nil"/>
              <w:left w:val="nil"/>
              <w:bottom w:val="nil"/>
              <w:right w:val="nil"/>
            </w:tcBorders>
            <w:shd w:val="clear" w:color="auto" w:fill="FFFFFF" w:themeFill="background1"/>
            <w:noWrap/>
            <w:hideMark/>
          </w:tcPr>
          <w:p w14:paraId="4542C42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-3,9</w:t>
            </w:r>
          </w:p>
        </w:tc>
        <w:tc>
          <w:tcPr>
            <w:tcW w:w="577" w:type="pct"/>
            <w:tcBorders>
              <w:top w:val="nil"/>
              <w:left w:val="nil"/>
              <w:bottom w:val="nil"/>
              <w:right w:val="nil"/>
            </w:tcBorders>
            <w:shd w:val="clear" w:color="auto" w:fill="FFFFFF" w:themeFill="background1"/>
          </w:tcPr>
          <w:p w14:paraId="2D6BCE68"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c>
          <w:tcPr>
            <w:tcW w:w="577" w:type="pct"/>
            <w:tcBorders>
              <w:top w:val="nil"/>
              <w:left w:val="nil"/>
              <w:bottom w:val="nil"/>
              <w:right w:val="nil"/>
            </w:tcBorders>
            <w:shd w:val="clear" w:color="auto" w:fill="FFFFFF" w:themeFill="background1"/>
            <w:noWrap/>
            <w:hideMark/>
          </w:tcPr>
          <w:p w14:paraId="1BDA352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-4,0</w:t>
            </w:r>
          </w:p>
        </w:tc>
        <w:tc>
          <w:tcPr>
            <w:tcW w:w="577" w:type="pct"/>
            <w:tcBorders>
              <w:top w:val="nil"/>
              <w:left w:val="nil"/>
              <w:bottom w:val="nil"/>
              <w:right w:val="nil"/>
            </w:tcBorders>
            <w:shd w:val="clear" w:color="auto" w:fill="FFFFFF" w:themeFill="background1"/>
            <w:noWrap/>
            <w:hideMark/>
          </w:tcPr>
          <w:p w14:paraId="1D3552E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r>
      <w:tr w:rsidR="001E3E7D" w:rsidRPr="00EA3D8C" w14:paraId="67F1E9A3"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hideMark/>
          </w:tcPr>
          <w:p w14:paraId="684CE318"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2009</w:t>
            </w:r>
          </w:p>
        </w:tc>
        <w:tc>
          <w:tcPr>
            <w:tcW w:w="577" w:type="pct"/>
            <w:tcBorders>
              <w:top w:val="nil"/>
              <w:bottom w:val="nil"/>
            </w:tcBorders>
            <w:shd w:val="clear" w:color="auto" w:fill="FFFFFF" w:themeFill="background1"/>
          </w:tcPr>
          <w:p w14:paraId="68B1095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-0,3</w:t>
            </w:r>
          </w:p>
        </w:tc>
        <w:tc>
          <w:tcPr>
            <w:tcW w:w="577" w:type="pct"/>
            <w:tcBorders>
              <w:top w:val="nil"/>
              <w:bottom w:val="nil"/>
            </w:tcBorders>
            <w:shd w:val="clear" w:color="auto" w:fill="FFFFFF" w:themeFill="background1"/>
            <w:hideMark/>
          </w:tcPr>
          <w:p w14:paraId="6ABFADC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-4,2</w:t>
            </w:r>
          </w:p>
        </w:tc>
        <w:tc>
          <w:tcPr>
            <w:tcW w:w="577" w:type="pct"/>
            <w:tcBorders>
              <w:top w:val="nil"/>
              <w:bottom w:val="nil"/>
            </w:tcBorders>
            <w:shd w:val="clear" w:color="auto" w:fill="FFFFFF" w:themeFill="background1"/>
            <w:hideMark/>
          </w:tcPr>
          <w:p w14:paraId="567AE2CB"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-3,6</w:t>
            </w:r>
          </w:p>
        </w:tc>
        <w:tc>
          <w:tcPr>
            <w:tcW w:w="577" w:type="pct"/>
            <w:tcBorders>
              <w:top w:val="nil"/>
              <w:bottom w:val="nil"/>
            </w:tcBorders>
            <w:shd w:val="clear" w:color="auto" w:fill="FFFFFF" w:themeFill="background1"/>
            <w:hideMark/>
          </w:tcPr>
          <w:p w14:paraId="435B595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nil"/>
            </w:tcBorders>
            <w:shd w:val="clear" w:color="auto" w:fill="FFFFFF" w:themeFill="background1"/>
            <w:hideMark/>
          </w:tcPr>
          <w:p w14:paraId="228039E6"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-4,0</w:t>
            </w:r>
          </w:p>
        </w:tc>
        <w:tc>
          <w:tcPr>
            <w:tcW w:w="577" w:type="pct"/>
            <w:tcBorders>
              <w:top w:val="nil"/>
              <w:bottom w:val="nil"/>
            </w:tcBorders>
            <w:shd w:val="clear" w:color="auto" w:fill="FFFFFF" w:themeFill="background1"/>
          </w:tcPr>
          <w:p w14:paraId="2C3A02B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c>
          <w:tcPr>
            <w:tcW w:w="577" w:type="pct"/>
            <w:tcBorders>
              <w:top w:val="nil"/>
              <w:bottom w:val="nil"/>
            </w:tcBorders>
            <w:shd w:val="clear" w:color="auto" w:fill="FFFFFF" w:themeFill="background1"/>
            <w:noWrap/>
            <w:hideMark/>
          </w:tcPr>
          <w:p w14:paraId="488748B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-4,1</w:t>
            </w:r>
          </w:p>
        </w:tc>
        <w:tc>
          <w:tcPr>
            <w:tcW w:w="577" w:type="pct"/>
            <w:tcBorders>
              <w:top w:val="nil"/>
              <w:bottom w:val="nil"/>
            </w:tcBorders>
            <w:shd w:val="clear" w:color="auto" w:fill="FFFFFF" w:themeFill="background1"/>
            <w:noWrap/>
            <w:hideMark/>
          </w:tcPr>
          <w:p w14:paraId="08FCDE8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-3,5</w:t>
            </w:r>
          </w:p>
        </w:tc>
      </w:tr>
      <w:tr w:rsidR="001E3E7D" w:rsidRPr="00EA3D8C" w14:paraId="3DBED990"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left w:val="nil"/>
              <w:bottom w:val="nil"/>
              <w:right w:val="nil"/>
            </w:tcBorders>
            <w:shd w:val="clear" w:color="auto" w:fill="FFFFFF" w:themeFill="background1"/>
            <w:noWrap/>
          </w:tcPr>
          <w:p w14:paraId="469CF113"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2010</w:t>
            </w:r>
          </w:p>
          <w:p w14:paraId="0DD93E19"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p>
        </w:tc>
        <w:tc>
          <w:tcPr>
            <w:tcW w:w="577" w:type="pct"/>
            <w:tcBorders>
              <w:top w:val="nil"/>
              <w:left w:val="nil"/>
              <w:bottom w:val="nil"/>
              <w:right w:val="nil"/>
            </w:tcBorders>
            <w:shd w:val="clear" w:color="auto" w:fill="FFFFFF" w:themeFill="background1"/>
          </w:tcPr>
          <w:p w14:paraId="622FF08A"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-0,7</w:t>
            </w:r>
          </w:p>
        </w:tc>
        <w:tc>
          <w:tcPr>
            <w:tcW w:w="577" w:type="pct"/>
            <w:tcBorders>
              <w:top w:val="nil"/>
              <w:left w:val="nil"/>
              <w:bottom w:val="nil"/>
              <w:right w:val="nil"/>
            </w:tcBorders>
            <w:shd w:val="clear" w:color="auto" w:fill="FFFFFF" w:themeFill="background1"/>
            <w:hideMark/>
          </w:tcPr>
          <w:p w14:paraId="642BC575"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-4,3</w:t>
            </w:r>
          </w:p>
        </w:tc>
        <w:tc>
          <w:tcPr>
            <w:tcW w:w="577" w:type="pct"/>
            <w:tcBorders>
              <w:top w:val="nil"/>
              <w:left w:val="nil"/>
              <w:bottom w:val="nil"/>
              <w:right w:val="nil"/>
            </w:tcBorders>
            <w:shd w:val="clear" w:color="auto" w:fill="FFFFFF" w:themeFill="background1"/>
            <w:hideMark/>
          </w:tcPr>
          <w:p w14:paraId="7E4305D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c>
          <w:tcPr>
            <w:tcW w:w="577" w:type="pct"/>
            <w:tcBorders>
              <w:top w:val="nil"/>
              <w:left w:val="nil"/>
              <w:bottom w:val="nil"/>
              <w:right w:val="nil"/>
            </w:tcBorders>
            <w:shd w:val="clear" w:color="auto" w:fill="FFFFFF" w:themeFill="background1"/>
            <w:hideMark/>
          </w:tcPr>
          <w:p w14:paraId="6C4448B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left w:val="nil"/>
              <w:bottom w:val="nil"/>
              <w:right w:val="nil"/>
            </w:tcBorders>
            <w:shd w:val="clear" w:color="auto" w:fill="FFFFFF" w:themeFill="background1"/>
            <w:hideMark/>
          </w:tcPr>
          <w:p w14:paraId="12A5C00A"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-4,1</w:t>
            </w:r>
          </w:p>
        </w:tc>
        <w:tc>
          <w:tcPr>
            <w:tcW w:w="577" w:type="pct"/>
            <w:tcBorders>
              <w:top w:val="nil"/>
              <w:left w:val="nil"/>
              <w:bottom w:val="nil"/>
              <w:right w:val="nil"/>
            </w:tcBorders>
            <w:shd w:val="clear" w:color="auto" w:fill="FFFFFF" w:themeFill="background1"/>
          </w:tcPr>
          <w:p w14:paraId="7BC4FE58"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-3,1</w:t>
            </w:r>
          </w:p>
        </w:tc>
        <w:tc>
          <w:tcPr>
            <w:tcW w:w="577" w:type="pct"/>
            <w:tcBorders>
              <w:top w:val="nil"/>
              <w:left w:val="nil"/>
              <w:bottom w:val="nil"/>
              <w:right w:val="nil"/>
            </w:tcBorders>
            <w:shd w:val="clear" w:color="auto" w:fill="FFFFFF" w:themeFill="background1"/>
            <w:noWrap/>
            <w:hideMark/>
          </w:tcPr>
          <w:p w14:paraId="4F5E777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-4,2</w:t>
            </w:r>
          </w:p>
        </w:tc>
        <w:tc>
          <w:tcPr>
            <w:tcW w:w="577" w:type="pct"/>
            <w:tcBorders>
              <w:top w:val="nil"/>
              <w:left w:val="nil"/>
              <w:bottom w:val="nil"/>
              <w:right w:val="nil"/>
            </w:tcBorders>
            <w:shd w:val="clear" w:color="auto" w:fill="FFFFFF" w:themeFill="background1"/>
            <w:noWrap/>
            <w:hideMark/>
          </w:tcPr>
          <w:p w14:paraId="7619257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-3,3</w:t>
            </w:r>
          </w:p>
        </w:tc>
      </w:tr>
      <w:tr w:rsidR="001E3E7D" w:rsidRPr="00EA3D8C" w14:paraId="3421F664"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hideMark/>
          </w:tcPr>
          <w:p w14:paraId="5DAD3E0E"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2011</w:t>
            </w:r>
          </w:p>
        </w:tc>
        <w:tc>
          <w:tcPr>
            <w:tcW w:w="577" w:type="pct"/>
            <w:tcBorders>
              <w:top w:val="nil"/>
              <w:bottom w:val="nil"/>
            </w:tcBorders>
            <w:shd w:val="clear" w:color="auto" w:fill="FFFFFF" w:themeFill="background1"/>
          </w:tcPr>
          <w:p w14:paraId="5A3289A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bottom w:val="nil"/>
            </w:tcBorders>
            <w:shd w:val="clear" w:color="auto" w:fill="FFFFFF" w:themeFill="background1"/>
            <w:hideMark/>
          </w:tcPr>
          <w:p w14:paraId="5FD6F0E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-4,5</w:t>
            </w:r>
          </w:p>
        </w:tc>
        <w:tc>
          <w:tcPr>
            <w:tcW w:w="577" w:type="pct"/>
            <w:tcBorders>
              <w:top w:val="nil"/>
              <w:bottom w:val="nil"/>
            </w:tcBorders>
            <w:shd w:val="clear" w:color="auto" w:fill="FFFFFF" w:themeFill="background1"/>
            <w:hideMark/>
          </w:tcPr>
          <w:p w14:paraId="53E5B59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c>
          <w:tcPr>
            <w:tcW w:w="577" w:type="pct"/>
            <w:tcBorders>
              <w:top w:val="nil"/>
              <w:bottom w:val="nil"/>
            </w:tcBorders>
            <w:shd w:val="clear" w:color="auto" w:fill="FFFFFF" w:themeFill="background1"/>
            <w:hideMark/>
          </w:tcPr>
          <w:p w14:paraId="2E739D7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hideMark/>
          </w:tcPr>
          <w:p w14:paraId="246BFE7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-4,7</w:t>
            </w:r>
          </w:p>
        </w:tc>
        <w:tc>
          <w:tcPr>
            <w:tcW w:w="577" w:type="pct"/>
            <w:tcBorders>
              <w:top w:val="nil"/>
              <w:bottom w:val="nil"/>
            </w:tcBorders>
            <w:shd w:val="clear" w:color="auto" w:fill="FFFFFF" w:themeFill="background1"/>
          </w:tcPr>
          <w:p w14:paraId="5E0E3C8D"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-3,6</w:t>
            </w:r>
          </w:p>
        </w:tc>
        <w:tc>
          <w:tcPr>
            <w:tcW w:w="577" w:type="pct"/>
            <w:tcBorders>
              <w:top w:val="nil"/>
              <w:bottom w:val="nil"/>
            </w:tcBorders>
            <w:shd w:val="clear" w:color="auto" w:fill="FFFFFF" w:themeFill="background1"/>
            <w:noWrap/>
            <w:hideMark/>
          </w:tcPr>
          <w:p w14:paraId="6335C9D5"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-4,9</w:t>
            </w:r>
          </w:p>
        </w:tc>
        <w:tc>
          <w:tcPr>
            <w:tcW w:w="577" w:type="pct"/>
            <w:tcBorders>
              <w:top w:val="nil"/>
              <w:bottom w:val="nil"/>
            </w:tcBorders>
            <w:shd w:val="clear" w:color="auto" w:fill="FFFFFF" w:themeFill="background1"/>
            <w:noWrap/>
            <w:hideMark/>
          </w:tcPr>
          <w:p w14:paraId="218CDDB4"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-3,8</w:t>
            </w:r>
          </w:p>
        </w:tc>
      </w:tr>
      <w:tr w:rsidR="001E3E7D" w:rsidRPr="00EA3D8C" w14:paraId="01817CF2"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15F6366B"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2012</w:t>
            </w:r>
          </w:p>
          <w:p w14:paraId="2192636A"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p>
        </w:tc>
        <w:tc>
          <w:tcPr>
            <w:tcW w:w="577" w:type="pct"/>
            <w:tcBorders>
              <w:top w:val="nil"/>
              <w:bottom w:val="nil"/>
            </w:tcBorders>
            <w:shd w:val="clear" w:color="auto" w:fill="FFFFFF" w:themeFill="background1"/>
          </w:tcPr>
          <w:p w14:paraId="07FCAA5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-0,8</w:t>
            </w:r>
          </w:p>
        </w:tc>
        <w:tc>
          <w:tcPr>
            <w:tcW w:w="577" w:type="pct"/>
            <w:tcBorders>
              <w:top w:val="nil"/>
              <w:bottom w:val="nil"/>
            </w:tcBorders>
            <w:shd w:val="clear" w:color="auto" w:fill="FFFFFF" w:themeFill="background1"/>
          </w:tcPr>
          <w:p w14:paraId="03203E8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-6,4</w:t>
            </w:r>
          </w:p>
        </w:tc>
        <w:tc>
          <w:tcPr>
            <w:tcW w:w="577" w:type="pct"/>
            <w:tcBorders>
              <w:top w:val="nil"/>
              <w:bottom w:val="nil"/>
            </w:tcBorders>
            <w:shd w:val="clear" w:color="auto" w:fill="FFFFFF" w:themeFill="background1"/>
          </w:tcPr>
          <w:p w14:paraId="070B6FE1"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-4,7</w:t>
            </w:r>
          </w:p>
        </w:tc>
        <w:tc>
          <w:tcPr>
            <w:tcW w:w="577" w:type="pct"/>
            <w:tcBorders>
              <w:top w:val="nil"/>
              <w:bottom w:val="nil"/>
            </w:tcBorders>
            <w:shd w:val="clear" w:color="auto" w:fill="FFFFFF" w:themeFill="background1"/>
          </w:tcPr>
          <w:p w14:paraId="5CCFAC0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-0,3</w:t>
            </w:r>
          </w:p>
        </w:tc>
        <w:tc>
          <w:tcPr>
            <w:tcW w:w="577" w:type="pct"/>
            <w:tcBorders>
              <w:top w:val="nil"/>
              <w:bottom w:val="nil"/>
            </w:tcBorders>
            <w:shd w:val="clear" w:color="auto" w:fill="FFFFFF" w:themeFill="background1"/>
          </w:tcPr>
          <w:p w14:paraId="2606AC1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-6,1</w:t>
            </w:r>
          </w:p>
        </w:tc>
        <w:tc>
          <w:tcPr>
            <w:tcW w:w="577" w:type="pct"/>
            <w:tcBorders>
              <w:top w:val="nil"/>
              <w:bottom w:val="nil"/>
            </w:tcBorders>
            <w:shd w:val="clear" w:color="auto" w:fill="FFFFFF" w:themeFill="background1"/>
          </w:tcPr>
          <w:p w14:paraId="690419E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-4,4</w:t>
            </w:r>
          </w:p>
        </w:tc>
        <w:tc>
          <w:tcPr>
            <w:tcW w:w="577" w:type="pct"/>
            <w:tcBorders>
              <w:top w:val="nil"/>
              <w:bottom w:val="nil"/>
            </w:tcBorders>
            <w:shd w:val="clear" w:color="auto" w:fill="FFFFFF" w:themeFill="background1"/>
            <w:noWrap/>
          </w:tcPr>
          <w:p w14:paraId="5D62E4A5"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-6,1</w:t>
            </w:r>
          </w:p>
        </w:tc>
        <w:tc>
          <w:tcPr>
            <w:tcW w:w="577" w:type="pct"/>
            <w:tcBorders>
              <w:top w:val="nil"/>
              <w:bottom w:val="nil"/>
            </w:tcBorders>
            <w:shd w:val="clear" w:color="auto" w:fill="FFFFFF" w:themeFill="background1"/>
            <w:noWrap/>
          </w:tcPr>
          <w:p w14:paraId="35EA887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-4,4</w:t>
            </w:r>
          </w:p>
        </w:tc>
      </w:tr>
      <w:tr w:rsidR="001E3E7D" w:rsidRPr="00EA3D8C" w14:paraId="685D02D2"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5FA3093C"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2013</w:t>
            </w:r>
          </w:p>
        </w:tc>
        <w:tc>
          <w:tcPr>
            <w:tcW w:w="577" w:type="pct"/>
            <w:tcBorders>
              <w:top w:val="nil"/>
              <w:bottom w:val="nil"/>
            </w:tcBorders>
            <w:shd w:val="clear" w:color="auto" w:fill="FFFFFF" w:themeFill="background1"/>
          </w:tcPr>
          <w:p w14:paraId="0CA61AEB"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tcPr>
          <w:p w14:paraId="5B63595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-5,1</w:t>
            </w:r>
          </w:p>
        </w:tc>
        <w:tc>
          <w:tcPr>
            <w:tcW w:w="577" w:type="pct"/>
            <w:tcBorders>
              <w:top w:val="nil"/>
              <w:bottom w:val="nil"/>
            </w:tcBorders>
            <w:shd w:val="clear" w:color="auto" w:fill="FFFFFF" w:themeFill="background1"/>
          </w:tcPr>
          <w:p w14:paraId="0D66A896"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-3,0</w:t>
            </w:r>
          </w:p>
        </w:tc>
        <w:tc>
          <w:tcPr>
            <w:tcW w:w="577" w:type="pct"/>
            <w:tcBorders>
              <w:top w:val="nil"/>
              <w:bottom w:val="nil"/>
            </w:tcBorders>
            <w:shd w:val="clear" w:color="auto" w:fill="FFFFFF" w:themeFill="background1"/>
          </w:tcPr>
          <w:p w14:paraId="365E3764"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0,4</w:t>
            </w:r>
          </w:p>
        </w:tc>
        <w:tc>
          <w:tcPr>
            <w:tcW w:w="577" w:type="pct"/>
            <w:tcBorders>
              <w:top w:val="nil"/>
              <w:bottom w:val="nil"/>
            </w:tcBorders>
            <w:shd w:val="clear" w:color="auto" w:fill="FFFFFF" w:themeFill="background1"/>
          </w:tcPr>
          <w:p w14:paraId="577FDA4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-5,6</w:t>
            </w:r>
          </w:p>
        </w:tc>
        <w:tc>
          <w:tcPr>
            <w:tcW w:w="577" w:type="pct"/>
            <w:tcBorders>
              <w:top w:val="nil"/>
              <w:bottom w:val="nil"/>
            </w:tcBorders>
            <w:shd w:val="clear" w:color="auto" w:fill="FFFFFF" w:themeFill="background1"/>
          </w:tcPr>
          <w:p w14:paraId="5EE6E08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-3,4</w:t>
            </w:r>
          </w:p>
        </w:tc>
        <w:tc>
          <w:tcPr>
            <w:tcW w:w="577" w:type="pct"/>
            <w:tcBorders>
              <w:top w:val="nil"/>
              <w:bottom w:val="nil"/>
            </w:tcBorders>
            <w:shd w:val="clear" w:color="auto" w:fill="FFFFFF" w:themeFill="background1"/>
            <w:noWrap/>
          </w:tcPr>
          <w:p w14:paraId="5A3FFD4C"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-5,3</w:t>
            </w:r>
          </w:p>
        </w:tc>
        <w:tc>
          <w:tcPr>
            <w:tcW w:w="577" w:type="pct"/>
            <w:tcBorders>
              <w:top w:val="nil"/>
              <w:bottom w:val="nil"/>
            </w:tcBorders>
            <w:shd w:val="clear" w:color="auto" w:fill="FFFFFF" w:themeFill="background1"/>
            <w:noWrap/>
          </w:tcPr>
          <w:p w14:paraId="63E5222D"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-3,1</w:t>
            </w:r>
          </w:p>
        </w:tc>
      </w:tr>
      <w:tr w:rsidR="001E3E7D" w:rsidRPr="00EA3D8C" w14:paraId="7FB03FC1"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53421066"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2014</w:t>
            </w:r>
          </w:p>
        </w:tc>
        <w:tc>
          <w:tcPr>
            <w:tcW w:w="577" w:type="pct"/>
            <w:tcBorders>
              <w:top w:val="nil"/>
              <w:bottom w:val="nil"/>
            </w:tcBorders>
            <w:shd w:val="clear" w:color="auto" w:fill="FFFFFF" w:themeFill="background1"/>
          </w:tcPr>
          <w:p w14:paraId="287BF84A"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-1,4</w:t>
            </w:r>
          </w:p>
        </w:tc>
        <w:tc>
          <w:tcPr>
            <w:tcW w:w="577" w:type="pct"/>
            <w:tcBorders>
              <w:top w:val="nil"/>
              <w:bottom w:val="nil"/>
            </w:tcBorders>
            <w:shd w:val="clear" w:color="auto" w:fill="FFFFFF" w:themeFill="background1"/>
          </w:tcPr>
          <w:p w14:paraId="36F1038D"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-6,2</w:t>
            </w:r>
          </w:p>
        </w:tc>
        <w:tc>
          <w:tcPr>
            <w:tcW w:w="577" w:type="pct"/>
            <w:tcBorders>
              <w:top w:val="nil"/>
              <w:bottom w:val="nil"/>
            </w:tcBorders>
            <w:shd w:val="clear" w:color="auto" w:fill="FFFFFF" w:themeFill="background1"/>
          </w:tcPr>
          <w:p w14:paraId="57221BCD"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-3,5</w:t>
            </w:r>
          </w:p>
        </w:tc>
        <w:tc>
          <w:tcPr>
            <w:tcW w:w="577" w:type="pct"/>
            <w:tcBorders>
              <w:top w:val="nil"/>
              <w:bottom w:val="nil"/>
            </w:tcBorders>
            <w:shd w:val="clear" w:color="auto" w:fill="FFFFFF" w:themeFill="background1"/>
          </w:tcPr>
          <w:p w14:paraId="529170A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bottom w:val="nil"/>
            </w:tcBorders>
            <w:shd w:val="clear" w:color="auto" w:fill="FFFFFF" w:themeFill="background1"/>
          </w:tcPr>
          <w:p w14:paraId="309C513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-5,7</w:t>
            </w:r>
          </w:p>
        </w:tc>
        <w:tc>
          <w:tcPr>
            <w:tcW w:w="577" w:type="pct"/>
            <w:tcBorders>
              <w:top w:val="nil"/>
              <w:bottom w:val="nil"/>
            </w:tcBorders>
            <w:shd w:val="clear" w:color="auto" w:fill="FFFFFF" w:themeFill="background1"/>
          </w:tcPr>
          <w:p w14:paraId="77E4D045"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-3,0</w:t>
            </w:r>
          </w:p>
        </w:tc>
        <w:tc>
          <w:tcPr>
            <w:tcW w:w="577" w:type="pct"/>
            <w:tcBorders>
              <w:top w:val="nil"/>
              <w:bottom w:val="nil"/>
            </w:tcBorders>
            <w:shd w:val="clear" w:color="auto" w:fill="FFFFFF" w:themeFill="background1"/>
            <w:noWrap/>
          </w:tcPr>
          <w:p w14:paraId="2016DBBB"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-4,8</w:t>
            </w:r>
          </w:p>
        </w:tc>
        <w:tc>
          <w:tcPr>
            <w:tcW w:w="577" w:type="pct"/>
            <w:tcBorders>
              <w:top w:val="nil"/>
              <w:bottom w:val="nil"/>
            </w:tcBorders>
            <w:shd w:val="clear" w:color="auto" w:fill="FFFFFF" w:themeFill="background1"/>
            <w:noWrap/>
          </w:tcPr>
          <w:p w14:paraId="27F867BB"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-2,2</w:t>
            </w:r>
          </w:p>
        </w:tc>
      </w:tr>
      <w:tr w:rsidR="001E3E7D" w:rsidRPr="00EA3D8C" w14:paraId="185CC906"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278AD29D"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2015</w:t>
            </w:r>
          </w:p>
        </w:tc>
        <w:tc>
          <w:tcPr>
            <w:tcW w:w="577" w:type="pct"/>
            <w:tcBorders>
              <w:top w:val="nil"/>
              <w:bottom w:val="nil"/>
            </w:tcBorders>
            <w:shd w:val="clear" w:color="auto" w:fill="FFFFFF" w:themeFill="background1"/>
          </w:tcPr>
          <w:p w14:paraId="13BEA27C"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tcPr>
          <w:p w14:paraId="136C338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-3,5</w:t>
            </w:r>
          </w:p>
        </w:tc>
        <w:tc>
          <w:tcPr>
            <w:tcW w:w="577" w:type="pct"/>
            <w:tcBorders>
              <w:top w:val="nil"/>
              <w:bottom w:val="nil"/>
            </w:tcBorders>
            <w:shd w:val="clear" w:color="auto" w:fill="FFFFFF" w:themeFill="background1"/>
          </w:tcPr>
          <w:p w14:paraId="3901C2F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bottom w:val="nil"/>
            </w:tcBorders>
            <w:shd w:val="clear" w:color="auto" w:fill="FFFFFF" w:themeFill="background1"/>
          </w:tcPr>
          <w:p w14:paraId="13A27B45"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-0,4</w:t>
            </w:r>
          </w:p>
        </w:tc>
        <w:tc>
          <w:tcPr>
            <w:tcW w:w="577" w:type="pct"/>
            <w:tcBorders>
              <w:top w:val="nil"/>
              <w:bottom w:val="nil"/>
            </w:tcBorders>
            <w:shd w:val="clear" w:color="auto" w:fill="FFFFFF" w:themeFill="background1"/>
          </w:tcPr>
          <w:p w14:paraId="5B5FB63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-3,0</w:t>
            </w:r>
          </w:p>
        </w:tc>
        <w:tc>
          <w:tcPr>
            <w:tcW w:w="577" w:type="pct"/>
            <w:tcBorders>
              <w:top w:val="nil"/>
              <w:bottom w:val="nil"/>
            </w:tcBorders>
            <w:shd w:val="clear" w:color="auto" w:fill="FFFFFF" w:themeFill="background1"/>
          </w:tcPr>
          <w:p w14:paraId="01DF60DD"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nil"/>
            </w:tcBorders>
            <w:shd w:val="clear" w:color="auto" w:fill="FFFFFF" w:themeFill="background1"/>
            <w:noWrap/>
          </w:tcPr>
          <w:p w14:paraId="7193A6D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-2,2</w:t>
            </w:r>
          </w:p>
        </w:tc>
        <w:tc>
          <w:tcPr>
            <w:tcW w:w="577" w:type="pct"/>
            <w:tcBorders>
              <w:top w:val="nil"/>
              <w:bottom w:val="nil"/>
            </w:tcBorders>
            <w:shd w:val="clear" w:color="auto" w:fill="FFFFFF" w:themeFill="background1"/>
            <w:noWrap/>
          </w:tcPr>
          <w:p w14:paraId="4873AA65"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0,8</w:t>
            </w:r>
          </w:p>
        </w:tc>
      </w:tr>
      <w:tr w:rsidR="001E3E7D" w:rsidRPr="00EA3D8C" w14:paraId="74C37862"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3A98A6F9"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2016</w:t>
            </w:r>
          </w:p>
        </w:tc>
        <w:tc>
          <w:tcPr>
            <w:tcW w:w="577" w:type="pct"/>
            <w:tcBorders>
              <w:top w:val="nil"/>
              <w:bottom w:val="nil"/>
            </w:tcBorders>
            <w:shd w:val="clear" w:color="auto" w:fill="FFFFFF" w:themeFill="background1"/>
          </w:tcPr>
          <w:p w14:paraId="0D4A765A"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nil"/>
              <w:bottom w:val="nil"/>
            </w:tcBorders>
            <w:shd w:val="clear" w:color="auto" w:fill="FFFFFF" w:themeFill="background1"/>
          </w:tcPr>
          <w:p w14:paraId="7CAB10A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tcPr>
          <w:p w14:paraId="49AA5B6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1,7</w:t>
            </w:r>
          </w:p>
        </w:tc>
        <w:tc>
          <w:tcPr>
            <w:tcW w:w="577" w:type="pct"/>
            <w:tcBorders>
              <w:top w:val="nil"/>
              <w:bottom w:val="nil"/>
            </w:tcBorders>
            <w:shd w:val="clear" w:color="auto" w:fill="FFFFFF" w:themeFill="background1"/>
          </w:tcPr>
          <w:p w14:paraId="2780CFE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nil"/>
              <w:bottom w:val="nil"/>
            </w:tcBorders>
            <w:shd w:val="clear" w:color="auto" w:fill="FFFFFF" w:themeFill="background1"/>
          </w:tcPr>
          <w:p w14:paraId="13B4190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tcPr>
          <w:p w14:paraId="7F30C1AF"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1,7</w:t>
            </w:r>
          </w:p>
        </w:tc>
        <w:tc>
          <w:tcPr>
            <w:tcW w:w="577" w:type="pct"/>
            <w:tcBorders>
              <w:top w:val="nil"/>
              <w:bottom w:val="nil"/>
            </w:tcBorders>
            <w:shd w:val="clear" w:color="auto" w:fill="FFFFFF" w:themeFill="background1"/>
            <w:noWrap/>
          </w:tcPr>
          <w:p w14:paraId="0C8353D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nil"/>
            </w:tcBorders>
            <w:shd w:val="clear" w:color="auto" w:fill="FFFFFF" w:themeFill="background1"/>
            <w:noWrap/>
          </w:tcPr>
          <w:p w14:paraId="2534C703"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1,8</w:t>
            </w:r>
          </w:p>
        </w:tc>
      </w:tr>
      <w:tr w:rsidR="001E3E7D" w:rsidRPr="00EA3D8C" w14:paraId="6F90BA67"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09EE2D95"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2017</w:t>
            </w:r>
          </w:p>
        </w:tc>
        <w:tc>
          <w:tcPr>
            <w:tcW w:w="577" w:type="pct"/>
            <w:tcBorders>
              <w:top w:val="nil"/>
              <w:bottom w:val="nil"/>
            </w:tcBorders>
            <w:shd w:val="clear" w:color="auto" w:fill="FFFFFF" w:themeFill="background1"/>
          </w:tcPr>
          <w:p w14:paraId="115768DA"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bottom w:val="nil"/>
            </w:tcBorders>
            <w:shd w:val="clear" w:color="auto" w:fill="FFFFFF" w:themeFill="background1"/>
          </w:tcPr>
          <w:p w14:paraId="615E1DC1"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nil"/>
            </w:tcBorders>
            <w:shd w:val="clear" w:color="auto" w:fill="FFFFFF" w:themeFill="background1"/>
          </w:tcPr>
          <w:p w14:paraId="72A8558B"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3,6</w:t>
            </w:r>
          </w:p>
        </w:tc>
        <w:tc>
          <w:tcPr>
            <w:tcW w:w="577" w:type="pct"/>
            <w:tcBorders>
              <w:top w:val="nil"/>
              <w:bottom w:val="nil"/>
            </w:tcBorders>
            <w:shd w:val="clear" w:color="auto" w:fill="FFFFFF" w:themeFill="background1"/>
          </w:tcPr>
          <w:p w14:paraId="3EE6ACE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tcPr>
          <w:p w14:paraId="328514FB"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1,3</w:t>
            </w:r>
          </w:p>
        </w:tc>
        <w:tc>
          <w:tcPr>
            <w:tcW w:w="577" w:type="pct"/>
            <w:tcBorders>
              <w:top w:val="nil"/>
              <w:bottom w:val="nil"/>
            </w:tcBorders>
            <w:shd w:val="clear" w:color="auto" w:fill="FFFFFF" w:themeFill="background1"/>
          </w:tcPr>
          <w:p w14:paraId="3682B7F4"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3,8</w:t>
            </w:r>
          </w:p>
        </w:tc>
        <w:tc>
          <w:tcPr>
            <w:tcW w:w="577" w:type="pct"/>
            <w:tcBorders>
              <w:top w:val="nil"/>
              <w:bottom w:val="nil"/>
            </w:tcBorders>
            <w:shd w:val="clear" w:color="auto" w:fill="FFFFFF" w:themeFill="background1"/>
            <w:noWrap/>
          </w:tcPr>
          <w:p w14:paraId="4FD7CC2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nil"/>
            </w:tcBorders>
            <w:shd w:val="clear" w:color="auto" w:fill="FFFFFF" w:themeFill="background1"/>
            <w:noWrap/>
          </w:tcPr>
          <w:p w14:paraId="24BFDD1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3,7</w:t>
            </w:r>
          </w:p>
        </w:tc>
      </w:tr>
      <w:tr w:rsidR="001E3E7D" w:rsidRPr="00EA3D8C" w14:paraId="01B99E49"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1E4BEA78"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2018</w:t>
            </w:r>
          </w:p>
        </w:tc>
        <w:tc>
          <w:tcPr>
            <w:tcW w:w="577" w:type="pct"/>
            <w:tcBorders>
              <w:top w:val="nil"/>
              <w:bottom w:val="nil"/>
            </w:tcBorders>
            <w:shd w:val="clear" w:color="auto" w:fill="FFFFFF" w:themeFill="background1"/>
          </w:tcPr>
          <w:p w14:paraId="616ECA8B"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0,9</w:t>
            </w:r>
          </w:p>
        </w:tc>
        <w:tc>
          <w:tcPr>
            <w:tcW w:w="577" w:type="pct"/>
            <w:tcBorders>
              <w:top w:val="nil"/>
              <w:bottom w:val="nil"/>
            </w:tcBorders>
            <w:shd w:val="clear" w:color="auto" w:fill="FFFFFF" w:themeFill="background1"/>
          </w:tcPr>
          <w:p w14:paraId="725D253D"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0,6</w:t>
            </w:r>
          </w:p>
        </w:tc>
        <w:tc>
          <w:tcPr>
            <w:tcW w:w="577" w:type="pct"/>
            <w:tcBorders>
              <w:top w:val="nil"/>
              <w:bottom w:val="nil"/>
            </w:tcBorders>
            <w:shd w:val="clear" w:color="auto" w:fill="FFFFFF" w:themeFill="background1"/>
          </w:tcPr>
          <w:p w14:paraId="7A6A80D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2,7</w:t>
            </w:r>
          </w:p>
        </w:tc>
        <w:tc>
          <w:tcPr>
            <w:tcW w:w="577" w:type="pct"/>
            <w:tcBorders>
              <w:top w:val="nil"/>
              <w:bottom w:val="nil"/>
            </w:tcBorders>
            <w:shd w:val="clear" w:color="auto" w:fill="FFFFFF" w:themeFill="background1"/>
          </w:tcPr>
          <w:p w14:paraId="62DD45F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0,3</w:t>
            </w:r>
          </w:p>
        </w:tc>
        <w:tc>
          <w:tcPr>
            <w:tcW w:w="577" w:type="pct"/>
            <w:tcBorders>
              <w:top w:val="nil"/>
              <w:bottom w:val="nil"/>
            </w:tcBorders>
            <w:shd w:val="clear" w:color="auto" w:fill="FFFFFF" w:themeFill="background1"/>
          </w:tcPr>
          <w:p w14:paraId="5DD205C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0,3</w:t>
            </w:r>
          </w:p>
        </w:tc>
        <w:tc>
          <w:tcPr>
            <w:tcW w:w="577" w:type="pct"/>
            <w:tcBorders>
              <w:top w:val="nil"/>
              <w:bottom w:val="nil"/>
            </w:tcBorders>
            <w:shd w:val="clear" w:color="auto" w:fill="FFFFFF" w:themeFill="background1"/>
          </w:tcPr>
          <w:p w14:paraId="5D35409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2,4</w:t>
            </w:r>
          </w:p>
        </w:tc>
        <w:tc>
          <w:tcPr>
            <w:tcW w:w="577" w:type="pct"/>
            <w:tcBorders>
              <w:top w:val="nil"/>
              <w:bottom w:val="nil"/>
            </w:tcBorders>
            <w:shd w:val="clear" w:color="auto" w:fill="FFFFFF" w:themeFill="background1"/>
            <w:noWrap/>
          </w:tcPr>
          <w:p w14:paraId="5EFCE19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noWrap/>
          </w:tcPr>
          <w:p w14:paraId="26681350"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2,3</w:t>
            </w:r>
          </w:p>
        </w:tc>
      </w:tr>
      <w:tr w:rsidR="001E3E7D" w:rsidRPr="00EA3D8C" w14:paraId="0D23854E"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48FA0F2A"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2019</w:t>
            </w:r>
          </w:p>
          <w:p w14:paraId="3C24A463"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p>
        </w:tc>
        <w:tc>
          <w:tcPr>
            <w:tcW w:w="577" w:type="pct"/>
            <w:tcBorders>
              <w:top w:val="nil"/>
              <w:bottom w:val="nil"/>
            </w:tcBorders>
            <w:shd w:val="clear" w:color="auto" w:fill="FFFFFF" w:themeFill="background1"/>
          </w:tcPr>
          <w:p w14:paraId="64C34A8C"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2,0</w:t>
            </w:r>
          </w:p>
        </w:tc>
        <w:tc>
          <w:tcPr>
            <w:tcW w:w="577" w:type="pct"/>
            <w:tcBorders>
              <w:top w:val="nil"/>
              <w:bottom w:val="nil"/>
            </w:tcBorders>
            <w:shd w:val="clear" w:color="auto" w:fill="FFFFFF" w:themeFill="background1"/>
          </w:tcPr>
          <w:p w14:paraId="330FBBD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tcPr>
          <w:p w14:paraId="7DA719C6"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1,8</w:t>
            </w:r>
          </w:p>
        </w:tc>
        <w:tc>
          <w:tcPr>
            <w:tcW w:w="577" w:type="pct"/>
            <w:tcBorders>
              <w:top w:val="nil"/>
              <w:bottom w:val="nil"/>
            </w:tcBorders>
            <w:shd w:val="clear" w:color="auto" w:fill="FFFFFF" w:themeFill="background1"/>
          </w:tcPr>
          <w:p w14:paraId="0E94B0E0"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0,7</w:t>
            </w:r>
          </w:p>
        </w:tc>
        <w:tc>
          <w:tcPr>
            <w:tcW w:w="577" w:type="pct"/>
            <w:tcBorders>
              <w:top w:val="nil"/>
              <w:bottom w:val="nil"/>
            </w:tcBorders>
            <w:shd w:val="clear" w:color="auto" w:fill="FFFFFF" w:themeFill="background1"/>
          </w:tcPr>
          <w:p w14:paraId="7952433C"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-0,9</w:t>
            </w:r>
          </w:p>
        </w:tc>
        <w:tc>
          <w:tcPr>
            <w:tcW w:w="577" w:type="pct"/>
            <w:tcBorders>
              <w:top w:val="nil"/>
              <w:bottom w:val="nil"/>
            </w:tcBorders>
            <w:shd w:val="clear" w:color="auto" w:fill="FFFFFF" w:themeFill="background1"/>
          </w:tcPr>
          <w:p w14:paraId="63EA480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nil"/>
            </w:tcBorders>
            <w:shd w:val="clear" w:color="auto" w:fill="FFFFFF" w:themeFill="background1"/>
            <w:noWrap/>
          </w:tcPr>
          <w:p w14:paraId="2DDA6932"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nil"/>
            </w:tcBorders>
            <w:shd w:val="clear" w:color="auto" w:fill="FFFFFF" w:themeFill="background1"/>
            <w:noWrap/>
          </w:tcPr>
          <w:p w14:paraId="2F027A8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0,9</w:t>
            </w:r>
          </w:p>
        </w:tc>
      </w:tr>
      <w:tr w:rsidR="001E3E7D" w:rsidRPr="00EA3D8C" w14:paraId="0186362C"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26BDC945"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2020</w:t>
            </w:r>
          </w:p>
          <w:p w14:paraId="59DF1DED"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2021</w:t>
            </w:r>
          </w:p>
          <w:p w14:paraId="5F8C0056"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2021</w:t>
            </w:r>
          </w:p>
          <w:p w14:paraId="18F5CB05"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w:t>
            </w:r>
          </w:p>
        </w:tc>
        <w:tc>
          <w:tcPr>
            <w:tcW w:w="577" w:type="pct"/>
            <w:tcBorders>
              <w:top w:val="nil"/>
              <w:bottom w:val="nil"/>
            </w:tcBorders>
            <w:shd w:val="clear" w:color="auto" w:fill="FFFFFF" w:themeFill="background1"/>
          </w:tcPr>
          <w:p w14:paraId="287A483F"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-2,2</w:t>
            </w:r>
          </w:p>
        </w:tc>
        <w:tc>
          <w:tcPr>
            <w:tcW w:w="577" w:type="pct"/>
            <w:tcBorders>
              <w:top w:val="nil"/>
              <w:bottom w:val="nil"/>
            </w:tcBorders>
            <w:shd w:val="clear" w:color="auto" w:fill="FFFFFF" w:themeFill="background1"/>
          </w:tcPr>
          <w:p w14:paraId="7632730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-8,1</w:t>
            </w:r>
          </w:p>
        </w:tc>
        <w:tc>
          <w:tcPr>
            <w:tcW w:w="577" w:type="pct"/>
            <w:tcBorders>
              <w:top w:val="nil"/>
              <w:bottom w:val="nil"/>
            </w:tcBorders>
            <w:shd w:val="clear" w:color="auto" w:fill="FFFFFF" w:themeFill="background1"/>
          </w:tcPr>
          <w:p w14:paraId="08739ABB"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-6,1</w:t>
            </w:r>
          </w:p>
        </w:tc>
        <w:tc>
          <w:tcPr>
            <w:tcW w:w="577" w:type="pct"/>
            <w:tcBorders>
              <w:top w:val="nil"/>
              <w:bottom w:val="nil"/>
            </w:tcBorders>
            <w:shd w:val="clear" w:color="auto" w:fill="FFFFFF" w:themeFill="background1"/>
          </w:tcPr>
          <w:p w14:paraId="56039AA0"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-0,8</w:t>
            </w:r>
          </w:p>
        </w:tc>
        <w:tc>
          <w:tcPr>
            <w:tcW w:w="577" w:type="pct"/>
            <w:tcBorders>
              <w:top w:val="nil"/>
              <w:bottom w:val="nil"/>
            </w:tcBorders>
            <w:shd w:val="clear" w:color="auto" w:fill="FFFFFF" w:themeFill="background1"/>
          </w:tcPr>
          <w:p w14:paraId="634FC9C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-7,3</w:t>
            </w:r>
          </w:p>
        </w:tc>
        <w:tc>
          <w:tcPr>
            <w:tcW w:w="577" w:type="pct"/>
            <w:tcBorders>
              <w:top w:val="nil"/>
              <w:bottom w:val="nil"/>
            </w:tcBorders>
            <w:shd w:val="clear" w:color="auto" w:fill="FFFFFF" w:themeFill="background1"/>
          </w:tcPr>
          <w:p w14:paraId="06FCFFCF"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-5,3</w:t>
            </w:r>
          </w:p>
        </w:tc>
        <w:tc>
          <w:tcPr>
            <w:tcW w:w="577" w:type="pct"/>
            <w:tcBorders>
              <w:top w:val="nil"/>
              <w:bottom w:val="nil"/>
            </w:tcBorders>
            <w:shd w:val="clear" w:color="auto" w:fill="FFFFFF" w:themeFill="background1"/>
            <w:noWrap/>
          </w:tcPr>
          <w:p w14:paraId="32EE6F3B"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-0,4</w:t>
            </w:r>
          </w:p>
        </w:tc>
        <w:tc>
          <w:tcPr>
            <w:tcW w:w="577" w:type="pct"/>
            <w:tcBorders>
              <w:top w:val="nil"/>
              <w:bottom w:val="nil"/>
            </w:tcBorders>
            <w:shd w:val="clear" w:color="auto" w:fill="FFFFFF" w:themeFill="background1"/>
            <w:noWrap/>
          </w:tcPr>
          <w:p w14:paraId="002E0BC5"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1,6</w:t>
            </w:r>
          </w:p>
        </w:tc>
      </w:tr>
      <w:tr w:rsidR="001E3E7D" w:rsidRPr="00EA3D8C" w14:paraId="4E5C272D"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14D8F2E8"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2021</w:t>
            </w:r>
          </w:p>
        </w:tc>
        <w:tc>
          <w:tcPr>
            <w:tcW w:w="577" w:type="pct"/>
            <w:tcBorders>
              <w:top w:val="nil"/>
              <w:bottom w:val="nil"/>
            </w:tcBorders>
            <w:shd w:val="clear" w:color="auto" w:fill="FFFFFF" w:themeFill="background1"/>
          </w:tcPr>
          <w:p w14:paraId="61EB639E"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nil"/>
              <w:bottom w:val="nil"/>
            </w:tcBorders>
            <w:shd w:val="clear" w:color="auto" w:fill="FFFFFF" w:themeFill="background1"/>
          </w:tcPr>
          <w:p w14:paraId="1E597F70"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-6,9</w:t>
            </w:r>
          </w:p>
        </w:tc>
        <w:tc>
          <w:tcPr>
            <w:tcW w:w="577" w:type="pct"/>
            <w:tcBorders>
              <w:top w:val="nil"/>
              <w:bottom w:val="nil"/>
            </w:tcBorders>
            <w:shd w:val="clear" w:color="auto" w:fill="FFFFFF" w:themeFill="background1"/>
          </w:tcPr>
          <w:p w14:paraId="6A7AB9C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-5,0</w:t>
            </w:r>
          </w:p>
        </w:tc>
        <w:tc>
          <w:tcPr>
            <w:tcW w:w="577" w:type="pct"/>
            <w:tcBorders>
              <w:top w:val="nil"/>
              <w:bottom w:val="nil"/>
            </w:tcBorders>
            <w:shd w:val="clear" w:color="auto" w:fill="FFFFFF" w:themeFill="background1"/>
          </w:tcPr>
          <w:p w14:paraId="01355206"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nil"/>
              <w:bottom w:val="nil"/>
            </w:tcBorders>
            <w:shd w:val="clear" w:color="auto" w:fill="FFFFFF" w:themeFill="background1"/>
          </w:tcPr>
          <w:p w14:paraId="75985E0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-6,9</w:t>
            </w:r>
          </w:p>
        </w:tc>
        <w:tc>
          <w:tcPr>
            <w:tcW w:w="577" w:type="pct"/>
            <w:tcBorders>
              <w:top w:val="nil"/>
              <w:bottom w:val="nil"/>
            </w:tcBorders>
            <w:shd w:val="clear" w:color="auto" w:fill="FFFFFF" w:themeFill="background1"/>
          </w:tcPr>
          <w:p w14:paraId="715C5F6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-5,0</w:t>
            </w:r>
          </w:p>
        </w:tc>
        <w:tc>
          <w:tcPr>
            <w:tcW w:w="577" w:type="pct"/>
            <w:tcBorders>
              <w:top w:val="nil"/>
              <w:bottom w:val="nil"/>
            </w:tcBorders>
            <w:shd w:val="clear" w:color="auto" w:fill="FFFFFF" w:themeFill="background1"/>
            <w:noWrap/>
          </w:tcPr>
          <w:p w14:paraId="7FC4D99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-3,1</w:t>
            </w:r>
          </w:p>
        </w:tc>
        <w:tc>
          <w:tcPr>
            <w:tcW w:w="577" w:type="pct"/>
            <w:tcBorders>
              <w:top w:val="nil"/>
              <w:bottom w:val="nil"/>
            </w:tcBorders>
            <w:shd w:val="clear" w:color="auto" w:fill="FFFFFF" w:themeFill="background1"/>
            <w:noWrap/>
          </w:tcPr>
          <w:p w14:paraId="3DDC7AB4"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r>
      <w:tr w:rsidR="001E3E7D" w:rsidRPr="00EA3D8C" w14:paraId="3B049B32"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4057D6BE"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2022</w:t>
            </w:r>
          </w:p>
        </w:tc>
        <w:tc>
          <w:tcPr>
            <w:tcW w:w="577" w:type="pct"/>
            <w:tcBorders>
              <w:top w:val="nil"/>
              <w:bottom w:val="nil"/>
            </w:tcBorders>
            <w:shd w:val="clear" w:color="auto" w:fill="FFFFFF" w:themeFill="background1"/>
          </w:tcPr>
          <w:p w14:paraId="04D6185C"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tcPr>
          <w:p w14:paraId="2471330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-3,0</w:t>
            </w:r>
          </w:p>
        </w:tc>
        <w:tc>
          <w:tcPr>
            <w:tcW w:w="577" w:type="pct"/>
            <w:tcBorders>
              <w:top w:val="nil"/>
              <w:bottom w:val="nil"/>
            </w:tcBorders>
            <w:shd w:val="clear" w:color="auto" w:fill="FFFFFF" w:themeFill="background1"/>
          </w:tcPr>
          <w:p w14:paraId="25BF507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-1,2</w:t>
            </w:r>
          </w:p>
        </w:tc>
        <w:tc>
          <w:tcPr>
            <w:tcW w:w="577" w:type="pct"/>
            <w:tcBorders>
              <w:top w:val="nil"/>
              <w:bottom w:val="nil"/>
            </w:tcBorders>
            <w:shd w:val="clear" w:color="auto" w:fill="FFFFFF" w:themeFill="background1"/>
          </w:tcPr>
          <w:p w14:paraId="377E8C3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nil"/>
            </w:tcBorders>
            <w:shd w:val="clear" w:color="auto" w:fill="FFFFFF" w:themeFill="background1"/>
          </w:tcPr>
          <w:p w14:paraId="0CD51F0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-3,1</w:t>
            </w:r>
          </w:p>
        </w:tc>
        <w:tc>
          <w:tcPr>
            <w:tcW w:w="577" w:type="pct"/>
            <w:tcBorders>
              <w:top w:val="nil"/>
              <w:bottom w:val="nil"/>
            </w:tcBorders>
            <w:shd w:val="clear" w:color="auto" w:fill="FFFFFF" w:themeFill="background1"/>
          </w:tcPr>
          <w:p w14:paraId="6714003F"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-1,3</w:t>
            </w:r>
          </w:p>
        </w:tc>
        <w:tc>
          <w:tcPr>
            <w:tcW w:w="577" w:type="pct"/>
            <w:tcBorders>
              <w:top w:val="nil"/>
              <w:bottom w:val="nil"/>
            </w:tcBorders>
            <w:shd w:val="clear" w:color="auto" w:fill="FFFFFF" w:themeFill="background1"/>
            <w:noWrap/>
          </w:tcPr>
          <w:p w14:paraId="055A4D4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-3,6</w:t>
            </w:r>
          </w:p>
        </w:tc>
        <w:tc>
          <w:tcPr>
            <w:tcW w:w="577" w:type="pct"/>
            <w:tcBorders>
              <w:top w:val="nil"/>
              <w:bottom w:val="nil"/>
            </w:tcBorders>
            <w:shd w:val="clear" w:color="auto" w:fill="FFFFFF" w:themeFill="background1"/>
            <w:noWrap/>
          </w:tcPr>
          <w:p w14:paraId="74534ED8"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-1,8</w:t>
            </w:r>
          </w:p>
        </w:tc>
      </w:tr>
      <w:tr w:rsidR="001E3E7D" w:rsidRPr="00EA3D8C" w14:paraId="5FA2FE4F" w14:textId="77777777" w:rsidTr="008265F0">
        <w:trPr>
          <w:cnfStyle w:val="000000100000" w:firstRow="0" w:lastRow="0" w:firstColumn="0" w:lastColumn="0" w:oddVBand="0" w:evenVBand="0" w:oddHBand="1" w:evenHBand="0" w:firstRowFirstColumn="0" w:firstRowLastColumn="0" w:lastRowFirstColumn="0" w:lastRowLastColumn="0"/>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nil"/>
            </w:tcBorders>
            <w:shd w:val="clear" w:color="auto" w:fill="FFFFFF" w:themeFill="background1"/>
            <w:noWrap/>
          </w:tcPr>
          <w:p w14:paraId="3AC2A834" w14:textId="77777777" w:rsidR="001E3E7D" w:rsidRPr="007065E5" w:rsidRDefault="001E3E7D" w:rsidP="008265F0">
            <w:pPr>
              <w:shd w:val="clear" w:color="auto" w:fill="FFFFFF" w:themeFill="background1"/>
              <w:spacing w:line="276" w:lineRule="auto"/>
              <w:jc w:val="left"/>
              <w:rPr>
                <w:rFonts w:ascii="Calibri" w:hAnsi="Calibri" w:cs="Calibri"/>
                <w:b w:val="0"/>
                <w:color w:val="002060"/>
                <w:sz w:val="18"/>
                <w:szCs w:val="18"/>
                <w:lang w:val="sr-Cyrl-RS"/>
              </w:rPr>
            </w:pPr>
            <w:r w:rsidRPr="007065E5">
              <w:rPr>
                <w:rFonts w:ascii="Calibri" w:hAnsi="Calibri" w:cs="Calibri"/>
                <w:b w:val="0"/>
                <w:color w:val="002060"/>
                <w:sz w:val="18"/>
                <w:szCs w:val="18"/>
                <w:lang w:val="sr-Cyrl-RS"/>
              </w:rPr>
              <w:t>2023</w:t>
            </w:r>
          </w:p>
        </w:tc>
        <w:tc>
          <w:tcPr>
            <w:tcW w:w="577" w:type="pct"/>
            <w:tcBorders>
              <w:top w:val="nil"/>
              <w:bottom w:val="nil"/>
            </w:tcBorders>
            <w:shd w:val="clear" w:color="auto" w:fill="FFFFFF" w:themeFill="background1"/>
          </w:tcPr>
          <w:p w14:paraId="58BBA0F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nil"/>
            </w:tcBorders>
            <w:shd w:val="clear" w:color="auto" w:fill="FFFFFF" w:themeFill="background1"/>
          </w:tcPr>
          <w:p w14:paraId="311B07E9"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-1,5</w:t>
            </w:r>
          </w:p>
        </w:tc>
        <w:tc>
          <w:tcPr>
            <w:tcW w:w="577" w:type="pct"/>
            <w:tcBorders>
              <w:top w:val="nil"/>
              <w:bottom w:val="nil"/>
            </w:tcBorders>
            <w:shd w:val="clear" w:color="auto" w:fill="FFFFFF" w:themeFill="background1"/>
          </w:tcPr>
          <w:p w14:paraId="750B49DC"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nil"/>
            </w:tcBorders>
            <w:shd w:val="clear" w:color="auto" w:fill="FFFFFF" w:themeFill="background1"/>
          </w:tcPr>
          <w:p w14:paraId="4D1D836B"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nil"/>
            </w:tcBorders>
            <w:shd w:val="clear" w:color="auto" w:fill="FFFFFF" w:themeFill="background1"/>
          </w:tcPr>
          <w:p w14:paraId="00477B83"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-1,6</w:t>
            </w:r>
          </w:p>
        </w:tc>
        <w:tc>
          <w:tcPr>
            <w:tcW w:w="577" w:type="pct"/>
            <w:tcBorders>
              <w:top w:val="nil"/>
              <w:bottom w:val="nil"/>
            </w:tcBorders>
            <w:shd w:val="clear" w:color="auto" w:fill="FFFFFF" w:themeFill="background1"/>
          </w:tcPr>
          <w:p w14:paraId="515A09AF"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c>
          <w:tcPr>
            <w:tcW w:w="577" w:type="pct"/>
            <w:tcBorders>
              <w:top w:val="nil"/>
              <w:bottom w:val="nil"/>
            </w:tcBorders>
            <w:shd w:val="clear" w:color="auto" w:fill="FFFFFF" w:themeFill="background1"/>
            <w:noWrap/>
          </w:tcPr>
          <w:p w14:paraId="06326827"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-1,6</w:t>
            </w:r>
          </w:p>
        </w:tc>
        <w:tc>
          <w:tcPr>
            <w:tcW w:w="577" w:type="pct"/>
            <w:tcBorders>
              <w:top w:val="nil"/>
              <w:bottom w:val="nil"/>
            </w:tcBorders>
            <w:shd w:val="clear" w:color="auto" w:fill="FFFFFF" w:themeFill="background1"/>
            <w:noWrap/>
          </w:tcPr>
          <w:p w14:paraId="56D25F68" w14:textId="77777777" w:rsidR="001E3E7D" w:rsidRPr="007065E5" w:rsidRDefault="001E3E7D" w:rsidP="008265F0">
            <w:pPr>
              <w:shd w:val="clear" w:color="auto" w:fill="FFFFFF" w:themeFill="background1"/>
              <w:spacing w:line="276"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0,0</w:t>
            </w:r>
          </w:p>
        </w:tc>
      </w:tr>
      <w:tr w:rsidR="001E3E7D" w:rsidRPr="00EA3D8C" w14:paraId="2C7C9B10" w14:textId="77777777" w:rsidTr="008265F0">
        <w:trPr>
          <w:trHeight w:hRule="exact" w:val="225"/>
        </w:trPr>
        <w:tc>
          <w:tcPr>
            <w:cnfStyle w:val="001000000000" w:firstRow="0" w:lastRow="0" w:firstColumn="1" w:lastColumn="0" w:oddVBand="0" w:evenVBand="0" w:oddHBand="0" w:evenHBand="0" w:firstRowFirstColumn="0" w:firstRowLastColumn="0" w:lastRowFirstColumn="0" w:lastRowLastColumn="0"/>
            <w:tcW w:w="380" w:type="pct"/>
            <w:tcBorders>
              <w:top w:val="nil"/>
              <w:bottom w:val="single" w:sz="4" w:space="0" w:color="002060"/>
            </w:tcBorders>
            <w:shd w:val="clear" w:color="auto" w:fill="FFFFFF" w:themeFill="background1"/>
            <w:noWrap/>
          </w:tcPr>
          <w:p w14:paraId="0B02FB43" w14:textId="77777777" w:rsidR="001E3E7D" w:rsidRPr="007065E5" w:rsidRDefault="001E3E7D" w:rsidP="008265F0">
            <w:pPr>
              <w:shd w:val="clear" w:color="auto" w:fill="FFFFFF" w:themeFill="background1"/>
              <w:spacing w:line="276" w:lineRule="auto"/>
              <w:jc w:val="left"/>
              <w:rPr>
                <w:rFonts w:ascii="Calibri" w:hAnsi="Calibri" w:cs="Calibri"/>
                <w:color w:val="002060"/>
                <w:sz w:val="18"/>
                <w:szCs w:val="18"/>
              </w:rPr>
            </w:pPr>
            <w:r w:rsidRPr="007065E5">
              <w:rPr>
                <w:rFonts w:ascii="Calibri" w:hAnsi="Calibri" w:cs="Calibri"/>
                <w:b w:val="0"/>
                <w:color w:val="002060"/>
                <w:sz w:val="18"/>
                <w:szCs w:val="18"/>
                <w:lang w:val="sr-Cyrl-RS"/>
              </w:rPr>
              <w:t>2024</w:t>
            </w:r>
          </w:p>
        </w:tc>
        <w:tc>
          <w:tcPr>
            <w:tcW w:w="577" w:type="pct"/>
            <w:tcBorders>
              <w:top w:val="nil"/>
              <w:bottom w:val="single" w:sz="4" w:space="0" w:color="002060"/>
            </w:tcBorders>
            <w:shd w:val="clear" w:color="auto" w:fill="FFFFFF" w:themeFill="background1"/>
          </w:tcPr>
          <w:p w14:paraId="0C6DF5A9"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0,2</w:t>
            </w:r>
          </w:p>
        </w:tc>
        <w:tc>
          <w:tcPr>
            <w:tcW w:w="577" w:type="pct"/>
            <w:tcBorders>
              <w:top w:val="nil"/>
              <w:bottom w:val="single" w:sz="4" w:space="0" w:color="002060"/>
            </w:tcBorders>
            <w:shd w:val="clear" w:color="auto" w:fill="FFFFFF" w:themeFill="background1"/>
          </w:tcPr>
          <w:p w14:paraId="71761056"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-1,0</w:t>
            </w:r>
          </w:p>
        </w:tc>
        <w:tc>
          <w:tcPr>
            <w:tcW w:w="577" w:type="pct"/>
            <w:tcBorders>
              <w:top w:val="nil"/>
              <w:bottom w:val="single" w:sz="4" w:space="0" w:color="002060"/>
            </w:tcBorders>
            <w:shd w:val="clear" w:color="auto" w:fill="FFFFFF" w:themeFill="background1"/>
          </w:tcPr>
          <w:p w14:paraId="595D9912"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0,6</w:t>
            </w:r>
          </w:p>
        </w:tc>
        <w:tc>
          <w:tcPr>
            <w:tcW w:w="577" w:type="pct"/>
            <w:tcBorders>
              <w:top w:val="nil"/>
              <w:bottom w:val="single" w:sz="4" w:space="0" w:color="002060"/>
            </w:tcBorders>
            <w:shd w:val="clear" w:color="auto" w:fill="FFFFFF" w:themeFill="background1"/>
          </w:tcPr>
          <w:p w14:paraId="76C61BA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0,1</w:t>
            </w:r>
          </w:p>
        </w:tc>
        <w:tc>
          <w:tcPr>
            <w:tcW w:w="577" w:type="pct"/>
            <w:tcBorders>
              <w:top w:val="nil"/>
              <w:bottom w:val="single" w:sz="4" w:space="0" w:color="002060"/>
            </w:tcBorders>
            <w:shd w:val="clear" w:color="auto" w:fill="FFFFFF" w:themeFill="background1"/>
          </w:tcPr>
          <w:p w14:paraId="2920E1B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single" w:sz="4" w:space="0" w:color="002060"/>
            </w:tcBorders>
            <w:shd w:val="clear" w:color="auto" w:fill="FFFFFF" w:themeFill="background1"/>
          </w:tcPr>
          <w:p w14:paraId="6D80EF7E"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c>
          <w:tcPr>
            <w:tcW w:w="577" w:type="pct"/>
            <w:tcBorders>
              <w:top w:val="nil"/>
              <w:bottom w:val="single" w:sz="4" w:space="0" w:color="002060"/>
            </w:tcBorders>
            <w:shd w:val="clear" w:color="auto" w:fill="FFFFFF" w:themeFill="background1"/>
            <w:noWrap/>
          </w:tcPr>
          <w:p w14:paraId="06709AD4"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-1,1</w:t>
            </w:r>
          </w:p>
        </w:tc>
        <w:tc>
          <w:tcPr>
            <w:tcW w:w="577" w:type="pct"/>
            <w:tcBorders>
              <w:top w:val="nil"/>
              <w:bottom w:val="single" w:sz="4" w:space="0" w:color="002060"/>
            </w:tcBorders>
            <w:shd w:val="clear" w:color="auto" w:fill="FFFFFF" w:themeFill="background1"/>
            <w:noWrap/>
          </w:tcPr>
          <w:p w14:paraId="28F079C7" w14:textId="77777777" w:rsidR="001E3E7D" w:rsidRPr="007065E5" w:rsidRDefault="001E3E7D" w:rsidP="008265F0">
            <w:pPr>
              <w:shd w:val="clear" w:color="auto" w:fill="FFFFFF" w:themeFill="background1"/>
              <w:spacing w:line="276"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7065E5">
              <w:rPr>
                <w:rFonts w:ascii="Calibri" w:hAnsi="Calibri" w:cs="Calibri"/>
                <w:color w:val="002060"/>
                <w:sz w:val="18"/>
                <w:szCs w:val="18"/>
                <w:lang w:val="sr-Cyrl-RS"/>
              </w:rPr>
              <w:t>0,5</w:t>
            </w:r>
          </w:p>
        </w:tc>
      </w:tr>
    </w:tbl>
    <w:p w14:paraId="43559180" w14:textId="77777777" w:rsidR="001E3E7D" w:rsidRPr="00EA3D8C" w:rsidRDefault="001E3E7D" w:rsidP="008265F0">
      <w:pPr>
        <w:shd w:val="clear" w:color="auto" w:fill="FFFFFF" w:themeFill="background1"/>
        <w:spacing w:before="40" w:after="0" w:line="276" w:lineRule="auto"/>
        <w:rPr>
          <w:rFonts w:ascii="Calibri" w:eastAsia="MS PGothic" w:hAnsi="Calibri" w:cs="Calibri"/>
          <w:sz w:val="16"/>
          <w:szCs w:val="16"/>
          <w:lang w:val="sr-Cyrl-RS" w:eastAsia="ja-JP"/>
        </w:rPr>
      </w:pPr>
      <w:r w:rsidRPr="00EA3D8C">
        <w:rPr>
          <w:rFonts w:ascii="Calibri" w:eastAsia="MS PGothic" w:hAnsi="Calibri" w:cs="Calibri"/>
          <w:bCs/>
          <w:sz w:val="16"/>
          <w:szCs w:val="16"/>
          <w:lang w:val="sr-Cyrl-RS" w:eastAsia="ja-JP"/>
        </w:rPr>
        <w:t xml:space="preserve">* </w:t>
      </w:r>
      <w:r>
        <w:rPr>
          <w:rFonts w:ascii="Calibri" w:eastAsia="MS PGothic" w:hAnsi="Calibri" w:cs="Calibri"/>
          <w:sz w:val="16"/>
          <w:szCs w:val="16"/>
          <w:lang w:val="sr-Cyrl-RS" w:eastAsia="ja-JP"/>
        </w:rPr>
        <w:t>За период 2021–2024</w:t>
      </w:r>
      <w:r w:rsidRPr="00EA3D8C">
        <w:rPr>
          <w:rFonts w:ascii="Calibri" w:eastAsia="MS PGothic" w:hAnsi="Calibri" w:cs="Calibri"/>
          <w:sz w:val="16"/>
          <w:szCs w:val="16"/>
          <w:lang w:val="sr-Cyrl-RS" w:eastAsia="ja-JP"/>
        </w:rPr>
        <w:t>. године приказане су пројектоване вредности.</w:t>
      </w:r>
    </w:p>
    <w:p w14:paraId="44BBA96D" w14:textId="77777777" w:rsidR="001E3E7D" w:rsidRPr="00EA3D8C" w:rsidRDefault="001E3E7D" w:rsidP="008265F0">
      <w:pPr>
        <w:shd w:val="clear" w:color="auto" w:fill="FFFFFF" w:themeFill="background1"/>
        <w:spacing w:after="0" w:line="276" w:lineRule="auto"/>
        <w:rPr>
          <w:rFonts w:ascii="Calibri" w:eastAsia="MS PGothic" w:hAnsi="Calibri" w:cs="Calibri"/>
          <w:sz w:val="16"/>
          <w:szCs w:val="16"/>
          <w:lang w:val="sr-Cyrl-RS" w:eastAsia="ja-JP"/>
        </w:rPr>
      </w:pPr>
      <w:r w:rsidRPr="00EA3D8C">
        <w:rPr>
          <w:rFonts w:ascii="Calibri" w:eastAsia="MS PGothic" w:hAnsi="Calibri" w:cs="Calibri"/>
          <w:bCs/>
          <w:sz w:val="16"/>
          <w:szCs w:val="16"/>
          <w:lang w:val="sr-Cyrl-RS" w:eastAsia="ja-JP"/>
        </w:rPr>
        <w:t>** Структурни примарни биланс добијен је искључивањем процењених једнократних прихода и расхода</w:t>
      </w:r>
      <w:r w:rsidRPr="00EA3D8C">
        <w:rPr>
          <w:rFonts w:ascii="Calibri" w:eastAsia="MS PGothic" w:hAnsi="Calibri" w:cs="Calibri"/>
          <w:sz w:val="16"/>
          <w:szCs w:val="16"/>
          <w:lang w:val="sr-Cyrl-RS" w:eastAsia="ja-JP"/>
        </w:rPr>
        <w:t>. Резултати који приказују промену структурног примарног дефицита не искључују експлицитно ефекте повећања ефикасности наплате прихода, па се оцена структурног прилагођавања у 2015. и 2016. години делимично разликује од претходно приказаних ефеката.</w:t>
      </w:r>
    </w:p>
    <w:p w14:paraId="6E5F90D6" w14:textId="77777777" w:rsidR="001E3E7D" w:rsidRPr="00EA3D8C" w:rsidRDefault="001E3E7D" w:rsidP="008265F0">
      <w:pPr>
        <w:spacing w:after="120" w:line="276" w:lineRule="auto"/>
        <w:rPr>
          <w:rFonts w:ascii="Calibri" w:eastAsia="Calibri" w:hAnsi="Calibri" w:cs="Calibri"/>
          <w:sz w:val="16"/>
          <w:szCs w:val="16"/>
          <w:lang w:val="sr-Cyrl-RS"/>
        </w:rPr>
      </w:pPr>
      <w:r w:rsidRPr="00EA3D8C">
        <w:rPr>
          <w:rFonts w:ascii="Calibri" w:eastAsia="Calibri" w:hAnsi="Calibri" w:cs="Calibri"/>
          <w:sz w:val="16"/>
          <w:szCs w:val="16"/>
          <w:lang w:val="sr-Cyrl-RS"/>
        </w:rPr>
        <w:t xml:space="preserve">Извор: </w:t>
      </w:r>
      <w:r w:rsidRPr="00EA3D8C">
        <w:rPr>
          <w:rFonts w:ascii="Calibri" w:eastAsia="Calibri" w:hAnsi="Calibri" w:cs="Calibri"/>
          <w:sz w:val="16"/>
          <w:szCs w:val="20"/>
          <w:lang w:val="sr-Cyrl-RS"/>
        </w:rPr>
        <w:t>Министарство финансија</w:t>
      </w:r>
    </w:p>
    <w:p w14:paraId="63446491" w14:textId="77777777" w:rsidR="001E3E7D" w:rsidRPr="00EA3D8C" w:rsidRDefault="001E3E7D" w:rsidP="008265F0">
      <w:pPr>
        <w:spacing w:after="0" w:line="276" w:lineRule="auto"/>
        <w:rPr>
          <w:rFonts w:ascii="Calibri" w:eastAsia="MS PGothic" w:hAnsi="Calibri" w:cs="Calibri"/>
          <w:b/>
          <w:szCs w:val="20"/>
          <w:lang w:val="sr-Cyrl-RS" w:eastAsia="ja-JP"/>
        </w:rPr>
        <w:sectPr w:rsidR="001E3E7D" w:rsidRPr="00EA3D8C" w:rsidSect="00AE40EB">
          <w:type w:val="continuous"/>
          <w:pgSz w:w="12240" w:h="15840" w:code="1"/>
          <w:pgMar w:top="1417" w:right="1417" w:bottom="1417" w:left="1417" w:header="720" w:footer="720" w:gutter="0"/>
          <w:cols w:space="720"/>
        </w:sectPr>
      </w:pPr>
    </w:p>
    <w:p w14:paraId="51D2EE35" w14:textId="77777777" w:rsidR="001E3E7D" w:rsidRPr="00FC0172" w:rsidRDefault="001E3E7D" w:rsidP="008265F0">
      <w:pPr>
        <w:rPr>
          <w:rFonts w:ascii="Calibri" w:eastAsia="Calibri" w:hAnsi="Calibri" w:cs="Calibri"/>
          <w:spacing w:val="-2"/>
          <w:szCs w:val="20"/>
          <w:lang w:val="sr-Cyrl-RS"/>
        </w:rPr>
      </w:pPr>
      <w:r w:rsidRPr="00FC0172">
        <w:rPr>
          <w:rFonts w:ascii="Calibri" w:eastAsia="Calibri" w:hAnsi="Calibri" w:cs="Calibri"/>
          <w:spacing w:val="-2"/>
          <w:szCs w:val="20"/>
          <w:lang w:val="sr-Cyrl-RS"/>
        </w:rPr>
        <w:t>Одговор фискалне политике на сложену економску ситуацију узроковану пандемијом коронавируса у 2020. години</w:t>
      </w:r>
      <w:r w:rsidRPr="00FC0172">
        <w:rPr>
          <w:rFonts w:ascii="Calibri" w:eastAsia="Calibri" w:hAnsi="Calibri" w:cs="Calibri"/>
          <w:spacing w:val="-2"/>
          <w:szCs w:val="20"/>
        </w:rPr>
        <w:t>,</w:t>
      </w:r>
      <w:r w:rsidRPr="00FC0172">
        <w:rPr>
          <w:rFonts w:ascii="Calibri" w:eastAsia="Calibri" w:hAnsi="Calibri" w:cs="Calibri"/>
          <w:spacing w:val="-2"/>
          <w:szCs w:val="20"/>
          <w:lang w:val="sr-Cyrl-RS"/>
        </w:rPr>
        <w:t xml:space="preserve"> представљен је опсежним пакетом мера помоћи привреди чија је вредност планирана на 12,9% БДП (реализовано 11,6% БДП). Оцењено је да </w:t>
      </w:r>
      <w:r w:rsidR="00F8478D">
        <w:rPr>
          <w:rFonts w:ascii="Calibri" w:eastAsia="Calibri" w:hAnsi="Calibri" w:cs="Calibri"/>
          <w:spacing w:val="-2"/>
          <w:szCs w:val="20"/>
          <w:lang w:val="sr-Cyrl-RS"/>
        </w:rPr>
        <w:t xml:space="preserve">је </w:t>
      </w:r>
      <w:r w:rsidRPr="00FC0172">
        <w:rPr>
          <w:rFonts w:ascii="Calibri" w:eastAsia="Calibri" w:hAnsi="Calibri" w:cs="Calibri"/>
          <w:spacing w:val="-2"/>
          <w:szCs w:val="20"/>
          <w:lang w:val="sr-Cyrl-RS"/>
        </w:rPr>
        <w:t>директан утицај овог економског пакета на цикличну позицију земље износио преко 7% БДП, при чему</w:t>
      </w:r>
      <w:r w:rsidRPr="00FC0172">
        <w:rPr>
          <w:rFonts w:ascii="Calibri" w:eastAsia="Calibri" w:hAnsi="Calibri" w:cs="Calibri"/>
          <w:color w:val="FF0000"/>
          <w:spacing w:val="-2"/>
          <w:szCs w:val="20"/>
          <w:lang w:val="sr-Cyrl-RS"/>
        </w:rPr>
        <w:t xml:space="preserve"> </w:t>
      </w:r>
      <w:r w:rsidRPr="00FC0172">
        <w:rPr>
          <w:rFonts w:ascii="Calibri" w:eastAsia="Calibri" w:hAnsi="Calibri" w:cs="Calibri"/>
          <w:spacing w:val="-2"/>
          <w:szCs w:val="20"/>
          <w:lang w:val="sr-Cyrl-RS"/>
        </w:rPr>
        <w:t>негативан производни јаз достиже 2,2% БДП. У случају одсуства мера подршке привреди и становништву пад БДП у 2020. години био би знатно већи, и износио би преко 5% услед веће контракције привреде и споријег опоравка, а негативан производни јаз би био виши од 6% БДП.</w:t>
      </w:r>
    </w:p>
    <w:p w14:paraId="240957CC" w14:textId="77777777" w:rsidR="001E3E7D" w:rsidRPr="00FC0172" w:rsidRDefault="001E3E7D" w:rsidP="008265F0">
      <w:pPr>
        <w:rPr>
          <w:rFonts w:ascii="Calibri" w:eastAsia="Calibri" w:hAnsi="Calibri" w:cs="Calibri"/>
          <w:spacing w:val="-2"/>
          <w:szCs w:val="20"/>
          <w:lang w:val="sr-Cyrl-RS"/>
        </w:rPr>
      </w:pPr>
      <w:r w:rsidRPr="00FC0172">
        <w:rPr>
          <w:rFonts w:ascii="Calibri" w:eastAsia="Calibri" w:hAnsi="Calibri" w:cs="Calibri"/>
          <w:spacing w:val="-2"/>
          <w:szCs w:val="20"/>
          <w:lang w:val="sr-Cyrl-RS"/>
        </w:rPr>
        <w:t xml:space="preserve">Оцењена негативна циклична компонента фискалног резултата у 2020. години износила је само 0,8% БДП. Иако циклична анализа фискалног резултата наговештава да би уштеде настале неспровођењем пакета мера надмашиле фискалне губитке услед већег пада БДП, дугорочни негативни </w:t>
      </w:r>
      <w:r w:rsidRPr="00FC0172">
        <w:rPr>
          <w:rFonts w:ascii="Calibri" w:eastAsia="Calibri" w:hAnsi="Calibri" w:cs="Calibri"/>
          <w:spacing w:val="-2"/>
          <w:szCs w:val="20"/>
          <w:lang w:val="sr-Cyrl-RS"/>
        </w:rPr>
        <w:t>ефекти губитка производних потенцијала и људских ресурса би били немерљиво већи.</w:t>
      </w:r>
    </w:p>
    <w:p w14:paraId="157A0035" w14:textId="77777777" w:rsidR="001E3E7D" w:rsidRPr="00EA3D8C" w:rsidRDefault="001E3E7D" w:rsidP="00FC0172">
      <w:pPr>
        <w:spacing w:after="0"/>
        <w:rPr>
          <w:rFonts w:ascii="Calibri" w:eastAsia="Calibri" w:hAnsi="Calibri" w:cs="Calibri"/>
          <w:szCs w:val="20"/>
          <w:lang w:val="sr-Cyrl-RS"/>
        </w:rPr>
      </w:pPr>
      <w:r w:rsidRPr="00D1094C">
        <w:rPr>
          <w:rFonts w:ascii="Calibri" w:eastAsia="Calibri" w:hAnsi="Calibri" w:cs="Calibri"/>
          <w:szCs w:val="20"/>
          <w:lang w:val="sr-Cyrl-RS"/>
        </w:rPr>
        <w:t>Као што је у претходном делу текста већ речено, услед продуженог епидемиолошког и економског дејства пандемије КОВИД-19 и током 2021. године, било је неопходно донети додатни пакет мера економске подршке привреди и становништву. Ребалансом буџета за 2021. годину, поред осталог, предви</w:t>
      </w:r>
      <w:r>
        <w:rPr>
          <w:rFonts w:ascii="Calibri" w:eastAsia="Calibri" w:hAnsi="Calibri" w:cs="Calibri"/>
          <w:szCs w:val="20"/>
          <w:lang w:val="sr-Cyrl-RS"/>
        </w:rPr>
        <w:t>ђена су средства у висини од 4,5</w:t>
      </w:r>
      <w:r w:rsidRPr="00D1094C">
        <w:rPr>
          <w:rFonts w:ascii="Calibri" w:eastAsia="Calibri" w:hAnsi="Calibri" w:cs="Calibri"/>
          <w:szCs w:val="20"/>
          <w:lang w:val="sr-Cyrl-RS"/>
        </w:rPr>
        <w:t xml:space="preserve">% БДП, као вид подршке привреди </w:t>
      </w:r>
      <w:r>
        <w:rPr>
          <w:rFonts w:ascii="Calibri" w:eastAsia="Calibri" w:hAnsi="Calibri" w:cs="Calibri"/>
          <w:szCs w:val="20"/>
          <w:lang w:val="sr-Cyrl-RS"/>
        </w:rPr>
        <w:t xml:space="preserve">и грађанима </w:t>
      </w:r>
      <w:r w:rsidRPr="00D1094C">
        <w:rPr>
          <w:rFonts w:ascii="Calibri" w:eastAsia="Calibri" w:hAnsi="Calibri" w:cs="Calibri"/>
          <w:szCs w:val="20"/>
          <w:lang w:val="sr-Cyrl-RS"/>
        </w:rPr>
        <w:t>за лакше превазилажење економских последица пандемије. Међутим, сада је акценат стављен на секторе који су посебно погођени мерама епидемиолошке заштите становништва. Као и у претходном пакету мера</w:t>
      </w:r>
      <w:r>
        <w:rPr>
          <w:rFonts w:ascii="Calibri" w:eastAsia="Calibri" w:hAnsi="Calibri" w:cs="Calibri"/>
          <w:szCs w:val="20"/>
          <w:lang w:val="sr-Cyrl-RS"/>
        </w:rPr>
        <w:t>,</w:t>
      </w:r>
      <w:r w:rsidRPr="00D1094C">
        <w:rPr>
          <w:rFonts w:ascii="Calibri" w:eastAsia="Calibri" w:hAnsi="Calibri" w:cs="Calibri"/>
          <w:szCs w:val="20"/>
          <w:lang w:val="sr-Cyrl-RS"/>
        </w:rPr>
        <w:t xml:space="preserve"> предвиђена су средства подршке становништву, која ће за ефекат имати додатни стимуланс агрегатној тражњи. Процењени ефекат трећег пакета мера н</w:t>
      </w:r>
      <w:r>
        <w:rPr>
          <w:rFonts w:ascii="Calibri" w:eastAsia="Calibri" w:hAnsi="Calibri" w:cs="Calibri"/>
          <w:szCs w:val="20"/>
          <w:lang w:val="sr-Cyrl-RS"/>
        </w:rPr>
        <w:t>а фискалну позицију земље је 2,5</w:t>
      </w:r>
      <w:r w:rsidRPr="00D1094C">
        <w:rPr>
          <w:rFonts w:ascii="Calibri" w:eastAsia="Calibri" w:hAnsi="Calibri" w:cs="Calibri"/>
          <w:szCs w:val="20"/>
          <w:lang w:val="sr-Cyrl-RS"/>
        </w:rPr>
        <w:t>% БДП.</w:t>
      </w:r>
    </w:p>
    <w:p w14:paraId="0466B598" w14:textId="77777777" w:rsidR="001E3E7D" w:rsidRPr="00EA3D8C" w:rsidRDefault="001E3E7D" w:rsidP="008265F0">
      <w:pPr>
        <w:rPr>
          <w:rFonts w:ascii="Calibri" w:eastAsia="Calibri" w:hAnsi="Calibri" w:cs="Calibri"/>
          <w:szCs w:val="20"/>
          <w:lang w:val="sr-Cyrl-RS"/>
        </w:rPr>
        <w:sectPr w:rsidR="001E3E7D" w:rsidRPr="00EA3D8C" w:rsidSect="00AE40EB">
          <w:type w:val="continuous"/>
          <w:pgSz w:w="12240" w:h="15840" w:code="1"/>
          <w:pgMar w:top="1417" w:right="1417" w:bottom="1417" w:left="1417" w:header="720" w:footer="720" w:gutter="0"/>
          <w:cols w:num="2" w:space="720"/>
        </w:sectPr>
      </w:pPr>
    </w:p>
    <w:p w14:paraId="73512E81" w14:textId="77777777" w:rsidR="001E3E7D" w:rsidRPr="00EA3D8C" w:rsidRDefault="001E3E7D" w:rsidP="00FC0172">
      <w:pPr>
        <w:spacing w:after="0" w:line="240" w:lineRule="auto"/>
        <w:rPr>
          <w:rFonts w:cstheme="minorHAnsi"/>
          <w:b/>
          <w:color w:val="002060"/>
          <w:lang w:val="sr-Cyrl-RS"/>
        </w:rPr>
        <w:sectPr w:rsidR="001E3E7D" w:rsidRPr="00EA3D8C" w:rsidSect="00AE40EB">
          <w:type w:val="continuous"/>
          <w:pgSz w:w="12240" w:h="15840" w:code="1"/>
          <w:pgMar w:top="1417" w:right="1417" w:bottom="1417" w:left="1417" w:header="720" w:footer="720" w:gutter="0"/>
          <w:cols w:space="720"/>
        </w:sectPr>
      </w:pPr>
    </w:p>
    <w:p w14:paraId="0C72041A" w14:textId="77777777" w:rsidR="001E3E7D" w:rsidRPr="00D1094C" w:rsidRDefault="001E3E7D" w:rsidP="008265F0">
      <w:pPr>
        <w:spacing w:after="0"/>
        <w:jc w:val="center"/>
        <w:rPr>
          <w:noProof/>
          <w:lang w:val="sr-Cyrl-RS" w:eastAsia="sr-Cyrl-RS"/>
        </w:rPr>
      </w:pPr>
      <w:r w:rsidRPr="00D1094C">
        <w:rPr>
          <w:rFonts w:cstheme="minorHAnsi"/>
          <w:b/>
          <w:color w:val="002060"/>
          <w:lang w:val="sr-Cyrl-RS"/>
        </w:rPr>
        <w:lastRenderedPageBreak/>
        <w:t>Производни јаз, циклично прилаг. и структурни фиск. биланс у периоду 2005–2024. год, % БДП*</w:t>
      </w:r>
    </w:p>
    <w:p w14:paraId="0D140907" w14:textId="77777777" w:rsidR="00F8478D" w:rsidRDefault="001E3E7D" w:rsidP="008265F0">
      <w:pPr>
        <w:spacing w:after="0"/>
        <w:jc w:val="left"/>
        <w:rPr>
          <w:rFonts w:ascii="Calibri" w:eastAsia="MS PGothic" w:hAnsi="Calibri" w:cs="Calibri"/>
          <w:sz w:val="16"/>
          <w:szCs w:val="20"/>
          <w:lang w:val="sr-Cyrl-RS" w:eastAsia="ja-JP"/>
        </w:rPr>
      </w:pPr>
      <w:r w:rsidRPr="00D1094C">
        <w:rPr>
          <w:noProof/>
        </w:rPr>
        <w:drawing>
          <wp:inline distT="0" distB="0" distL="0" distR="0" wp14:anchorId="34E2B52B" wp14:editId="784CF8D3">
            <wp:extent cx="2757805" cy="2477069"/>
            <wp:effectExtent l="0" t="0" r="444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r w:rsidRPr="00D1094C">
        <w:rPr>
          <w:rFonts w:ascii="Calibri" w:eastAsia="MS PGothic" w:hAnsi="Calibri" w:cs="Calibri"/>
          <w:sz w:val="16"/>
          <w:szCs w:val="20"/>
          <w:lang w:val="sr-Cyrl-RS" w:eastAsia="ja-JP"/>
        </w:rPr>
        <w:t>*За период 2021–2024. године приказане су пројектоване вредности</w:t>
      </w:r>
    </w:p>
    <w:p w14:paraId="54AB1221" w14:textId="77777777" w:rsidR="001E3E7D" w:rsidRDefault="00A95901" w:rsidP="008265F0">
      <w:pPr>
        <w:spacing w:after="0"/>
        <w:jc w:val="center"/>
        <w:rPr>
          <w:noProof/>
          <w:lang w:val="sr-Cyrl-RS" w:eastAsia="sr-Cyrl-RS"/>
        </w:rPr>
      </w:pPr>
      <w:r>
        <w:rPr>
          <w:rFonts w:cstheme="minorHAnsi"/>
          <w:b/>
          <w:color w:val="002060"/>
          <w:lang w:val="sr-Cyrl-RS"/>
        </w:rPr>
        <w:br w:type="column"/>
      </w:r>
      <w:r w:rsidR="001E3E7D" w:rsidRPr="00D1094C">
        <w:rPr>
          <w:rFonts w:cstheme="minorHAnsi"/>
          <w:b/>
          <w:color w:val="002060"/>
          <w:lang w:val="sr-Cyrl-RS"/>
        </w:rPr>
        <w:t>Карактер и ефекти фискалне политике у периоду 2006–2024. године, % БДП*</w:t>
      </w:r>
    </w:p>
    <w:p w14:paraId="41E36BDB" w14:textId="77777777" w:rsidR="001E3E7D" w:rsidRPr="00EA3D8C" w:rsidRDefault="001E3E7D" w:rsidP="008265F0">
      <w:pPr>
        <w:rPr>
          <w:rFonts w:cstheme="minorHAnsi"/>
          <w:bCs/>
          <w:sz w:val="16"/>
          <w:szCs w:val="72"/>
          <w:lang w:val="sr-Cyrl-RS"/>
        </w:rPr>
      </w:pPr>
      <w:r>
        <w:rPr>
          <w:noProof/>
        </w:rPr>
        <w:drawing>
          <wp:inline distT="0" distB="0" distL="0" distR="0" wp14:anchorId="3BF2BE6C" wp14:editId="6A80142B">
            <wp:extent cx="2838450" cy="2245057"/>
            <wp:effectExtent l="0" t="0" r="0" b="317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4CAD91AA" w14:textId="77777777" w:rsidR="001E3E7D" w:rsidRPr="00EA3D8C" w:rsidRDefault="001E3E7D" w:rsidP="008265F0">
      <w:pPr>
        <w:spacing w:after="0" w:line="276" w:lineRule="auto"/>
        <w:jc w:val="left"/>
        <w:rPr>
          <w:rFonts w:ascii="Calibri" w:eastAsia="MS PGothic" w:hAnsi="Calibri" w:cs="Calibri"/>
          <w:sz w:val="16"/>
          <w:szCs w:val="20"/>
          <w:lang w:val="sr-Cyrl-RS" w:eastAsia="ja-JP"/>
        </w:rPr>
      </w:pPr>
      <w:r>
        <w:rPr>
          <w:rFonts w:ascii="Calibri" w:eastAsia="MS PGothic" w:hAnsi="Calibri" w:cs="Calibri"/>
          <w:sz w:val="16"/>
          <w:szCs w:val="20"/>
          <w:lang w:val="sr-Cyrl-RS" w:eastAsia="ja-JP"/>
        </w:rPr>
        <w:t>*За период 2021–2024</w:t>
      </w:r>
      <w:r w:rsidRPr="00EA3D8C">
        <w:rPr>
          <w:rFonts w:ascii="Calibri" w:eastAsia="MS PGothic" w:hAnsi="Calibri" w:cs="Calibri"/>
          <w:sz w:val="16"/>
          <w:szCs w:val="20"/>
          <w:lang w:val="sr-Cyrl-RS" w:eastAsia="ja-JP"/>
        </w:rPr>
        <w:t>. године приказане су пројектоване вредности.</w:t>
      </w:r>
    </w:p>
    <w:p w14:paraId="39BA102F" w14:textId="77777777" w:rsidR="001E3E7D" w:rsidRPr="00EA3D8C" w:rsidRDefault="001E3E7D" w:rsidP="008265F0">
      <w:pPr>
        <w:spacing w:after="0" w:line="276" w:lineRule="auto"/>
        <w:jc w:val="left"/>
        <w:rPr>
          <w:rFonts w:ascii="Calibri" w:eastAsia="MS PGothic" w:hAnsi="Calibri" w:cs="Calibri"/>
          <w:sz w:val="16"/>
          <w:szCs w:val="20"/>
          <w:lang w:val="sr-Cyrl-RS" w:eastAsia="ja-JP"/>
        </w:rPr>
        <w:sectPr w:rsidR="001E3E7D" w:rsidRPr="00EA3D8C" w:rsidSect="00AE40EB">
          <w:type w:val="continuous"/>
          <w:pgSz w:w="12240" w:h="15840" w:code="1"/>
          <w:pgMar w:top="1417" w:right="1417" w:bottom="1417" w:left="1417" w:header="720" w:footer="720" w:gutter="0"/>
          <w:cols w:num="2" w:space="720"/>
        </w:sectPr>
      </w:pPr>
    </w:p>
    <w:p w14:paraId="320BA45B" w14:textId="77777777" w:rsidR="001E3E7D" w:rsidRPr="00EA3D8C" w:rsidRDefault="001E3E7D" w:rsidP="008265F0">
      <w:pPr>
        <w:spacing w:after="120" w:line="276" w:lineRule="auto"/>
        <w:rPr>
          <w:lang w:val="sr-Cyrl-RS" w:eastAsia="ja-JP"/>
        </w:rPr>
        <w:sectPr w:rsidR="001E3E7D" w:rsidRPr="00EA3D8C" w:rsidSect="00AE40EB">
          <w:type w:val="continuous"/>
          <w:pgSz w:w="12240" w:h="15840" w:code="1"/>
          <w:pgMar w:top="1417" w:right="1417" w:bottom="1417" w:left="1417" w:header="720" w:footer="720" w:gutter="0"/>
          <w:cols w:space="720"/>
        </w:sectPr>
      </w:pPr>
    </w:p>
    <w:p w14:paraId="03AD0344" w14:textId="77777777" w:rsidR="001E3E7D" w:rsidRPr="00D1094C" w:rsidRDefault="001E3E7D" w:rsidP="008265F0">
      <w:pPr>
        <w:rPr>
          <w:lang w:val="sr-Cyrl-RS" w:eastAsia="ja-JP"/>
        </w:rPr>
      </w:pPr>
      <w:r w:rsidRPr="00D1094C">
        <w:rPr>
          <w:lang w:val="sr-Cyrl-RS" w:eastAsia="ja-JP"/>
        </w:rPr>
        <w:t xml:space="preserve">Структурна фискална позиција земље </w:t>
      </w:r>
      <w:r>
        <w:rPr>
          <w:lang w:val="sr-Cyrl-RS" w:eastAsia="ja-JP"/>
        </w:rPr>
        <w:t xml:space="preserve">није </w:t>
      </w:r>
      <w:r w:rsidRPr="00D1094C">
        <w:rPr>
          <w:lang w:val="sr-Cyrl-RS" w:eastAsia="ja-JP"/>
        </w:rPr>
        <w:t>значајно нарушена, због тога што су спроведене мере помоћи привреди из домена фискалне политике временски ограниченог карактера. Ипак, у наредном средњорочном периоду на кретање структурног фискалног резултата ће утицати пр</w:t>
      </w:r>
      <w:r w:rsidR="006C766D">
        <w:rPr>
          <w:lang w:val="sr-Cyrl-RS" w:eastAsia="ja-JP"/>
        </w:rPr>
        <w:t>е</w:t>
      </w:r>
      <w:r w:rsidRPr="00D1094C">
        <w:rPr>
          <w:lang w:val="sr-Cyrl-RS" w:eastAsia="ja-JP"/>
        </w:rPr>
        <w:t>н</w:t>
      </w:r>
      <w:r w:rsidRPr="00D1094C">
        <w:rPr>
          <w:lang w:eastAsia="ja-JP"/>
        </w:rPr>
        <w:t>e</w:t>
      </w:r>
      <w:r w:rsidRPr="00D1094C">
        <w:rPr>
          <w:lang w:val="sr-Cyrl-RS" w:eastAsia="ja-JP"/>
        </w:rPr>
        <w:t>те пореске обавезе из 2020. године у 2021. и 2022. годину. Уплата прихода по основу одлагања пореза и доприноса у 2020. години имаће привремени (неструктурни) ефекат на структурни биланс у 2021. и 2022. години. Услед наведеног, као и по основу значајног повећања расхода за инфраструктуру током 2021. године, долази до благог погоршања структурне фискалне позиције. Међутим, повећање удела јавних инвестиција у БДП, имаће и директан и индиректан утицај на убрзање привредног раста и у средњем и у дугом року.</w:t>
      </w:r>
    </w:p>
    <w:p w14:paraId="1F62F0C4" w14:textId="77777777" w:rsidR="001E3E7D" w:rsidRPr="00D1094C" w:rsidRDefault="001E3E7D" w:rsidP="008265F0">
      <w:pPr>
        <w:rPr>
          <w:rFonts w:ascii="Calibri" w:eastAsia="MS PGothic" w:hAnsi="Calibri" w:cs="Calibri"/>
          <w:szCs w:val="20"/>
          <w:lang w:val="sr-Cyrl-RS" w:eastAsia="ja-JP"/>
        </w:rPr>
      </w:pPr>
      <w:r w:rsidRPr="00D1094C">
        <w:rPr>
          <w:lang w:val="sr-Cyrl-RS" w:eastAsia="ja-JP"/>
        </w:rPr>
        <w:t>Како је фискални импулс дефинисан као разлика два узастопна циклично прилагођена (примарна) резултата, оцењује се да је</w:t>
      </w:r>
      <w:r w:rsidR="00103068">
        <w:rPr>
          <w:lang w:val="sr-Cyrl-RS" w:eastAsia="ja-JP"/>
        </w:rPr>
        <w:t xml:space="preserve"> фискална политика током 2018. </w:t>
      </w:r>
      <w:r w:rsidRPr="00D1094C">
        <w:rPr>
          <w:lang w:val="sr-Cyrl-RS" w:eastAsia="ja-JP"/>
        </w:rPr>
        <w:t xml:space="preserve">и 2019. године, у условима позитивног производног јаза, имала проциклични карактер. Са друге стране, фискална политика током 2020. године је изразито експанзивно-контрациклична, усмерена на ублажавање негативног економског </w:t>
      </w:r>
      <w:r w:rsidRPr="00D1094C">
        <w:rPr>
          <w:lang w:val="sr-Cyrl-RS" w:eastAsia="ja-JP"/>
        </w:rPr>
        <w:t>циклуса. Услед нешто мањег обима пакета мера економске подршке у 2021. години, фискална политика је умерено рестриктивна и по карактеру неутрална. У периоду од 2022. до 2024. године контрациклични карактер</w:t>
      </w:r>
      <w:r w:rsidRPr="00D1094C">
        <w:rPr>
          <w:rFonts w:ascii="Calibri" w:eastAsia="MS PGothic" w:hAnsi="Calibri" w:cs="Calibri"/>
          <w:szCs w:val="20"/>
          <w:lang w:val="sr-Cyrl-RS" w:eastAsia="ja-JP"/>
        </w:rPr>
        <w:t xml:space="preserve"> је нешто израженији, услед постављених циљева уравнотежења и стабилизације јавних финансија, у условима позитивног производног јаза.</w:t>
      </w:r>
    </w:p>
    <w:p w14:paraId="31BB575C" w14:textId="77777777" w:rsidR="001E3E7D" w:rsidRPr="006E3634" w:rsidRDefault="001E3E7D" w:rsidP="008265F0">
      <w:pPr>
        <w:spacing w:after="0"/>
        <w:jc w:val="center"/>
        <w:rPr>
          <w:noProof/>
          <w:vanish/>
          <w:lang w:val="sr-Cyrl-RS" w:eastAsia="sr-Cyrl-RS"/>
          <w:specVanish/>
        </w:rPr>
      </w:pPr>
      <w:r w:rsidRPr="00D1094C">
        <w:rPr>
          <w:rFonts w:cstheme="minorHAnsi"/>
          <w:b/>
          <w:color w:val="002060"/>
          <w:lang w:val="sr-Cyrl-RS"/>
        </w:rPr>
        <w:t>Карактер и ефекти фискалне политике у периоду 2006–2021. године, % БДП*</w:t>
      </w:r>
    </w:p>
    <w:p w14:paraId="7B133B30" w14:textId="77777777" w:rsidR="001E3E7D" w:rsidRPr="00EA3D8C" w:rsidRDefault="001E3E7D" w:rsidP="008265F0">
      <w:pPr>
        <w:jc w:val="center"/>
        <w:rPr>
          <w:rFonts w:cstheme="minorHAnsi"/>
          <w:bCs/>
          <w:sz w:val="16"/>
          <w:szCs w:val="72"/>
          <w:lang w:val="sr-Cyrl-RS"/>
        </w:rPr>
      </w:pPr>
      <w:r>
        <w:rPr>
          <w:noProof/>
          <w:lang w:val="sr-Cyrl-RS" w:eastAsia="sr-Cyrl-RS"/>
        </w:rPr>
        <w:t xml:space="preserve"> </w:t>
      </w:r>
      <w:r>
        <w:rPr>
          <w:noProof/>
        </w:rPr>
        <w:drawing>
          <wp:inline distT="0" distB="0" distL="0" distR="0" wp14:anchorId="4E9294C8" wp14:editId="68628A5B">
            <wp:extent cx="2757805" cy="2471596"/>
            <wp:effectExtent l="0" t="0" r="4445" b="508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2BD28751" w14:textId="77777777" w:rsidR="001E3E7D" w:rsidRPr="00EA3D8C" w:rsidRDefault="001E3E7D" w:rsidP="008265F0">
      <w:pPr>
        <w:spacing w:after="120"/>
        <w:rPr>
          <w:rFonts w:ascii="Calibri" w:eastAsia="MS PGothic" w:hAnsi="Calibri" w:cs="Calibri"/>
          <w:szCs w:val="20"/>
          <w:lang w:val="sr-Cyrl-RS" w:eastAsia="ja-JP"/>
        </w:rPr>
        <w:sectPr w:rsidR="001E3E7D" w:rsidRPr="00EA3D8C" w:rsidSect="00AE40EB">
          <w:type w:val="continuous"/>
          <w:pgSz w:w="12240" w:h="15840" w:code="1"/>
          <w:pgMar w:top="1417" w:right="1417" w:bottom="1417" w:left="1417" w:header="720" w:footer="720" w:gutter="0"/>
          <w:cols w:num="2" w:space="720"/>
        </w:sectPr>
      </w:pPr>
    </w:p>
    <w:p w14:paraId="469DF109" w14:textId="77777777" w:rsidR="001E3E7D" w:rsidRPr="00EA3D8C" w:rsidRDefault="001E3E7D" w:rsidP="008265F0">
      <w:pPr>
        <w:pStyle w:val="Heading2"/>
        <w:spacing w:before="0" w:after="240"/>
        <w:rPr>
          <w:rFonts w:asciiTheme="minorHAnsi" w:eastAsia="MS PGothic" w:hAnsiTheme="minorHAnsi" w:cstheme="minorHAnsi"/>
          <w:b/>
          <w:sz w:val="24"/>
          <w:lang w:val="sr-Cyrl-RS" w:eastAsia="ja-JP"/>
        </w:rPr>
        <w:sectPr w:rsidR="001E3E7D" w:rsidRPr="00EA3D8C" w:rsidSect="00AE40EB">
          <w:type w:val="continuous"/>
          <w:pgSz w:w="12240" w:h="15840" w:code="1"/>
          <w:pgMar w:top="1417" w:right="1417" w:bottom="1417" w:left="1417" w:header="720" w:footer="720" w:gutter="0"/>
          <w:cols w:space="720"/>
        </w:sectPr>
      </w:pPr>
    </w:p>
    <w:p w14:paraId="3434D278" w14:textId="77777777" w:rsidR="001E3E7D" w:rsidRPr="00EA3D8C" w:rsidRDefault="001E3E7D" w:rsidP="00FE1A26">
      <w:pPr>
        <w:pStyle w:val="Heading2"/>
        <w:spacing w:before="0" w:after="240"/>
        <w:jc w:val="center"/>
        <w:rPr>
          <w:rFonts w:asciiTheme="minorHAnsi" w:eastAsia="MS PGothic" w:hAnsiTheme="minorHAnsi" w:cstheme="minorHAnsi"/>
          <w:b/>
          <w:lang w:val="sr-Cyrl-RS" w:eastAsia="ja-JP"/>
        </w:rPr>
        <w:sectPr w:rsidR="001E3E7D" w:rsidRPr="00EA3D8C" w:rsidSect="00AE40EB">
          <w:type w:val="continuous"/>
          <w:pgSz w:w="12240" w:h="15840" w:code="1"/>
          <w:pgMar w:top="1417" w:right="1417" w:bottom="1417" w:left="1417" w:header="720" w:footer="720" w:gutter="0"/>
          <w:cols w:space="720"/>
        </w:sectPr>
      </w:pPr>
      <w:bookmarkStart w:id="41" w:name="_Toc56667081"/>
      <w:bookmarkStart w:id="42" w:name="_Toc73364973"/>
      <w:r w:rsidRPr="00EA3D8C">
        <w:rPr>
          <w:rFonts w:asciiTheme="minorHAnsi" w:eastAsia="MS PGothic" w:hAnsiTheme="minorHAnsi" w:cstheme="minorHAnsi"/>
          <w:b/>
          <w:sz w:val="24"/>
          <w:lang w:val="sr-Cyrl-RS" w:eastAsia="ja-JP"/>
        </w:rPr>
        <w:lastRenderedPageBreak/>
        <w:t>7. Програм за смањење дуга</w:t>
      </w:r>
      <w:bookmarkEnd w:id="38"/>
      <w:bookmarkEnd w:id="39"/>
      <w:bookmarkEnd w:id="40"/>
      <w:bookmarkEnd w:id="41"/>
      <w:bookmarkEnd w:id="42"/>
    </w:p>
    <w:p w14:paraId="697B0428" w14:textId="77777777" w:rsidR="001E3E7D" w:rsidRPr="007662F2" w:rsidRDefault="001E3E7D" w:rsidP="008265F0">
      <w:pPr>
        <w:rPr>
          <w:rFonts w:ascii="Calibri" w:eastAsia="Calibri" w:hAnsi="Calibri" w:cs="Calibri"/>
          <w:szCs w:val="20"/>
          <w:lang w:val="sr-Cyrl-RS"/>
        </w:rPr>
      </w:pPr>
      <w:r w:rsidRPr="007662F2">
        <w:rPr>
          <w:rFonts w:ascii="Calibri" w:eastAsia="MS PGothic" w:hAnsi="Calibri" w:cs="Calibri"/>
          <w:szCs w:val="20"/>
          <w:lang w:val="sr-Cyrl-RS" w:eastAsia="ja-JP"/>
        </w:rPr>
        <w:t>У складу са принципом фискалне одговорности, уколико дуг опште државе пређе 45% БДП, Влада је дужна да предложи мере којима ће се дуг приближити циљаном нивоу и вратити у одрживе оквире</w:t>
      </w:r>
      <w:r w:rsidRPr="007662F2">
        <w:rPr>
          <w:rFonts w:ascii="Calibri" w:eastAsia="Calibri" w:hAnsi="Calibri" w:cs="Calibri"/>
          <w:szCs w:val="20"/>
          <w:vertAlign w:val="superscript"/>
          <w:lang w:val="sr-Cyrl-RS"/>
        </w:rPr>
        <w:footnoteReference w:id="13"/>
      </w:r>
      <w:r w:rsidRPr="007662F2">
        <w:rPr>
          <w:rFonts w:ascii="Calibri" w:eastAsia="Calibri" w:hAnsi="Calibri" w:cs="Calibri"/>
          <w:szCs w:val="20"/>
          <w:lang w:val="sr-Cyrl-RS"/>
        </w:rPr>
        <w:t>.</w:t>
      </w:r>
      <w:r w:rsidRPr="007662F2">
        <w:rPr>
          <w:rFonts w:ascii="Calibri" w:eastAsia="Calibri" w:hAnsi="Calibri" w:cs="Calibri"/>
          <w:color w:val="2F5496" w:themeColor="accent1" w:themeShade="BF"/>
          <w:szCs w:val="20"/>
          <w:lang w:val="sr-Cyrl-RS"/>
        </w:rPr>
        <w:t xml:space="preserve"> </w:t>
      </w:r>
      <w:r w:rsidRPr="007662F2">
        <w:rPr>
          <w:rFonts w:ascii="Calibri" w:eastAsia="Calibri" w:hAnsi="Calibri" w:cs="Calibri"/>
          <w:szCs w:val="20"/>
          <w:lang w:val="sr-Cyrl-RS"/>
        </w:rPr>
        <w:t>Истовремено, Пактом за стабилност и раст је прописана горња граница учешћа јавног дуга у БДП од 60%, као и обавеза за земље чланице ЕУ да званичним документом представе кредибилан план достизања прописаног нивоа задовољавајућом брзином, уколико је ова граница прекорачена.</w:t>
      </w:r>
    </w:p>
    <w:p w14:paraId="2F5B6612" w14:textId="77777777" w:rsidR="001E3E7D" w:rsidRPr="007662F2" w:rsidRDefault="001E3E7D" w:rsidP="008265F0">
      <w:pPr>
        <w:jc w:val="center"/>
        <w:rPr>
          <w:rFonts w:cstheme="minorHAnsi"/>
          <w:b/>
          <w:color w:val="002060"/>
          <w:lang w:val="sr-Cyrl-RS"/>
        </w:rPr>
      </w:pPr>
      <w:r w:rsidRPr="007662F2">
        <w:rPr>
          <w:rFonts w:cstheme="minorHAnsi"/>
          <w:b/>
          <w:color w:val="002060"/>
          <w:lang w:val="sr-Cyrl-RS"/>
        </w:rPr>
        <w:t>Јавни дуг опште државе у периоду 2008–2021. године, % БДП</w:t>
      </w:r>
    </w:p>
    <w:p w14:paraId="60679DD3" w14:textId="77777777" w:rsidR="001E3E7D" w:rsidRPr="007662F2" w:rsidRDefault="001E3E7D" w:rsidP="008C562A">
      <w:pPr>
        <w:spacing w:after="0"/>
        <w:jc w:val="center"/>
        <w:rPr>
          <w:rFonts w:cstheme="minorHAnsi"/>
          <w:b/>
          <w:color w:val="002060"/>
          <w:lang w:val="sr-Cyrl-RS"/>
        </w:rPr>
      </w:pPr>
      <w:r w:rsidRPr="007662F2">
        <w:rPr>
          <w:noProof/>
        </w:rPr>
        <w:drawing>
          <wp:inline distT="0" distB="0" distL="0" distR="0" wp14:anchorId="2762ACC3" wp14:editId="0F8A774E">
            <wp:extent cx="2757805" cy="2281473"/>
            <wp:effectExtent l="0" t="0" r="4445" b="508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021E86F7" w14:textId="77777777" w:rsidR="001E3E7D" w:rsidRPr="007662F2" w:rsidRDefault="001E3E7D" w:rsidP="008265F0">
      <w:pPr>
        <w:spacing w:after="40" w:line="240" w:lineRule="auto"/>
        <w:rPr>
          <w:rFonts w:cstheme="minorHAnsi"/>
          <w:bCs/>
          <w:sz w:val="16"/>
          <w:szCs w:val="72"/>
          <w:lang w:val="sr-Cyrl-RS"/>
        </w:rPr>
      </w:pPr>
      <w:r w:rsidRPr="007662F2">
        <w:rPr>
          <w:rFonts w:ascii="Calibri" w:eastAsia="Calibri" w:hAnsi="Calibri" w:cs="Calibri"/>
          <w:sz w:val="16"/>
          <w:szCs w:val="16"/>
          <w:lang w:val="sr-Cyrl-RS"/>
        </w:rPr>
        <w:t xml:space="preserve">* </w:t>
      </w:r>
      <w:r w:rsidRPr="007662F2">
        <w:rPr>
          <w:rFonts w:cstheme="minorHAnsi"/>
          <w:bCs/>
          <w:sz w:val="16"/>
          <w:szCs w:val="72"/>
          <w:lang w:val="sr-Cyrl-RS"/>
        </w:rPr>
        <w:t>апроксимација локалног дуга</w:t>
      </w:r>
    </w:p>
    <w:p w14:paraId="682C6701" w14:textId="77777777" w:rsidR="001E3E7D" w:rsidRPr="007662F2" w:rsidRDefault="001E3E7D" w:rsidP="008265F0">
      <w:pPr>
        <w:spacing w:after="120" w:line="276" w:lineRule="auto"/>
        <w:rPr>
          <w:rFonts w:cstheme="minorHAnsi"/>
          <w:bCs/>
          <w:sz w:val="16"/>
          <w:szCs w:val="72"/>
          <w:lang w:val="sr-Cyrl-RS"/>
        </w:rPr>
      </w:pPr>
      <w:r w:rsidRPr="007662F2">
        <w:rPr>
          <w:rFonts w:cstheme="minorHAnsi"/>
          <w:bCs/>
          <w:sz w:val="16"/>
          <w:szCs w:val="72"/>
          <w:lang w:val="sr-Cyrl-RS"/>
        </w:rPr>
        <w:t>** процена за 202</w:t>
      </w:r>
      <w:r w:rsidRPr="007662F2">
        <w:rPr>
          <w:rFonts w:cstheme="minorHAnsi"/>
          <w:bCs/>
          <w:sz w:val="16"/>
          <w:szCs w:val="72"/>
        </w:rPr>
        <w:t>1</w:t>
      </w:r>
      <w:r w:rsidRPr="007662F2">
        <w:rPr>
          <w:rFonts w:cstheme="minorHAnsi"/>
          <w:bCs/>
          <w:sz w:val="16"/>
          <w:szCs w:val="72"/>
          <w:lang w:val="sr-Cyrl-RS"/>
        </w:rPr>
        <w:t>. годину</w:t>
      </w:r>
    </w:p>
    <w:p w14:paraId="0A7870D4"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 xml:space="preserve">У периоду од 2008. до 2014. године дефицит опште државе је значајно повећан уз истовремено експлозивну путању раста јавног дуга, при чему је однос дуга и БДП више него удвостручен. Мере фискалне консолидације усвојене крајем 2012. и током 2013. године делимично су ублажиле овај тренд, али је ниво јавног дуга и даље значајно растао. Смањивање примарног дефицита у периоду 2012–2014. године није било довољно да стабилизује учешће нивоа јавног дуга у БДП. Ефекти првог таласа фискалне консолидације, која се односила углавном на приходну страну, изостали су, услед повећаног обима сиве економије, карактеристичног у периоду након подизања пореских стопа. На расходној страни, </w:t>
      </w:r>
      <w:r w:rsidRPr="007662F2">
        <w:rPr>
          <w:rFonts w:ascii="Calibri" w:eastAsia="Calibri" w:hAnsi="Calibri" w:cs="Calibri"/>
          <w:szCs w:val="20"/>
          <w:lang w:val="sr-Cyrl-RS"/>
        </w:rPr>
        <w:t>високе камате и одређени једнократни расходи су додатно погоршавали фискалну позицију.</w:t>
      </w:r>
    </w:p>
    <w:p w14:paraId="498D28DE"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Мере фискалне консолидације донете крајем 2014. године спустиле су примарни дефицит и успориле раст јавног дуга већ током 2015. године. До смањења јавног дуга у БДП дошло је у 2016. години, годину дана раније него што је било предвиђено аранжманом са ММФ. У 2016. години остварен је примарни суфицит од 1,7% БДП, чиме су се коначно стекли услови за пад учешћа јавног дуга у БДП. Након тога, у 2017. години, остварени примарни фискални суфицит од 3,6% БДП доводи до још значајнијег пада учешћа дуга, за више од 10 п.п. БДП, на 58,6% БДП.</w:t>
      </w:r>
      <w:r w:rsidRPr="007662F2">
        <w:rPr>
          <w:lang w:val="sr-Cyrl-RS"/>
        </w:rPr>
        <w:t xml:space="preserve"> </w:t>
      </w:r>
      <w:r w:rsidRPr="007662F2">
        <w:rPr>
          <w:rFonts w:ascii="Calibri" w:eastAsia="Calibri" w:hAnsi="Calibri" w:cs="Calibri"/>
          <w:szCs w:val="20"/>
          <w:lang w:val="sr-Cyrl-RS"/>
        </w:rPr>
        <w:t>Током 2018. године настављен је тренд смањења учешћа јавног дуга у БДП на 54,4% БДП. Фискална релаксација током 2019. године није угрозила опадајућу путању јавног дуга. Позитиван примарни фискални резултат у 2019. години од 1,8% БДП утицао je на даље смањење јавног дуга за још 1,5 п.п. БДП.</w:t>
      </w:r>
    </w:p>
    <w:p w14:paraId="47659ACC" w14:textId="77777777" w:rsidR="001E3E7D" w:rsidRPr="00B523F9" w:rsidRDefault="001E3E7D" w:rsidP="00312CEA">
      <w:pPr>
        <w:spacing w:after="120"/>
        <w:rPr>
          <w:rFonts w:ascii="Calibri" w:eastAsia="Calibri" w:hAnsi="Calibri" w:cs="Calibri"/>
          <w:spacing w:val="-2"/>
          <w:szCs w:val="20"/>
          <w:lang w:val="sr-Cyrl-RS"/>
        </w:rPr>
      </w:pPr>
      <w:r w:rsidRPr="00B523F9">
        <w:rPr>
          <w:rFonts w:ascii="Calibri" w:eastAsia="Calibri" w:hAnsi="Calibri" w:cs="Calibri"/>
          <w:spacing w:val="-2"/>
          <w:szCs w:val="20"/>
          <w:lang w:val="sr-Cyrl-RS"/>
        </w:rPr>
        <w:t>Као што је речено у претходном делу овог документа, 2020.</w:t>
      </w:r>
      <w:r w:rsidRPr="00B523F9">
        <w:rPr>
          <w:rFonts w:ascii="Calibri" w:eastAsia="Calibri" w:hAnsi="Calibri" w:cs="Calibri"/>
          <w:spacing w:val="-2"/>
          <w:szCs w:val="20"/>
        </w:rPr>
        <w:t xml:space="preserve"> </w:t>
      </w:r>
      <w:r w:rsidRPr="00B523F9">
        <w:rPr>
          <w:rFonts w:ascii="Calibri" w:eastAsia="Calibri" w:hAnsi="Calibri" w:cs="Calibri"/>
          <w:spacing w:val="-2"/>
          <w:szCs w:val="20"/>
          <w:lang w:val="sr-Cyrl-RS"/>
        </w:rPr>
        <w:t xml:space="preserve">и 2021. годину обележила је једна од највећих здравствених и последично економских криза у последњих неколико деценија, </w:t>
      </w:r>
      <w:r w:rsidR="002023A9">
        <w:rPr>
          <w:rFonts w:ascii="Calibri" w:eastAsia="Calibri" w:hAnsi="Calibri" w:cs="Calibri"/>
          <w:spacing w:val="-2"/>
          <w:szCs w:val="20"/>
          <w:lang w:val="sr-Cyrl-RS"/>
        </w:rPr>
        <w:t>изазвана пандемијом COVID-19</w:t>
      </w:r>
      <w:r w:rsidRPr="00B523F9">
        <w:rPr>
          <w:rFonts w:ascii="Calibri" w:eastAsia="Calibri" w:hAnsi="Calibri" w:cs="Calibri"/>
          <w:spacing w:val="-2"/>
          <w:szCs w:val="20"/>
          <w:lang w:val="sr-Cyrl-RS"/>
        </w:rPr>
        <w:t>. Најважнији фактори који су утицали на кретања дуга током 2020. и 2021. године су ниво укупног и примарног фискалног дефицита, додатне потребе за финансирањем и отплата доспелог дела дуга. Остварени фискални дефицит од 8,1% БДП (примарни дефицит од 6,1% БДП) у претходној години и процењени дефицит од 6,9%</w:t>
      </w:r>
      <w:r w:rsidR="002023A9">
        <w:rPr>
          <w:rFonts w:ascii="Calibri" w:eastAsia="Calibri" w:hAnsi="Calibri" w:cs="Calibri"/>
          <w:spacing w:val="-2"/>
          <w:szCs w:val="20"/>
          <w:lang w:val="sr-Cyrl-RS"/>
        </w:rPr>
        <w:t xml:space="preserve"> </w:t>
      </w:r>
      <w:r w:rsidRPr="00B523F9">
        <w:rPr>
          <w:rFonts w:ascii="Calibri" w:eastAsia="Calibri" w:hAnsi="Calibri" w:cs="Calibri"/>
          <w:spacing w:val="-2"/>
          <w:szCs w:val="20"/>
          <w:lang w:val="sr-Cyrl-RS"/>
        </w:rPr>
        <w:t>БДП у текућој години, утицали су на то да се, до сада, опадајућа путања учешћа јавног дуга преокрене. Учешће јавног дуга опште државе у БДП достиже 60% на крају 2021. године. Фискалном стратегијом за наредни средњорочни период предвиђена је стабилизација јавних финансија и значајно мањи нивои дефицита који ће јавни дуг вратити у зону опадајућег тренда. Процес стабилизације јавних финансија ће бити постепен и одмерен како се сувише рестриктивним политикама на би нарушиле претпоставке убрзаног привредног раста.</w:t>
      </w:r>
    </w:p>
    <w:p w14:paraId="1FF06F42" w14:textId="77777777" w:rsidR="001E3E7D" w:rsidRPr="007662F2" w:rsidRDefault="001E3E7D" w:rsidP="00312CEA">
      <w:pPr>
        <w:spacing w:after="0"/>
        <w:jc w:val="center"/>
        <w:rPr>
          <w:rFonts w:cstheme="minorHAnsi"/>
          <w:b/>
          <w:color w:val="002060"/>
          <w:lang w:val="sr-Cyrl-RS"/>
        </w:rPr>
      </w:pPr>
      <w:r w:rsidRPr="007662F2">
        <w:rPr>
          <w:rFonts w:cstheme="minorHAnsi"/>
          <w:b/>
          <w:color w:val="002060"/>
          <w:lang w:val="sr-Cyrl-RS"/>
        </w:rPr>
        <w:lastRenderedPageBreak/>
        <w:t xml:space="preserve">Примарни резултат који стабилизује учешће дуга у БДП и остварени/пројектовани резултат*, </w:t>
      </w:r>
      <w:r w:rsidRPr="007662F2">
        <w:rPr>
          <w:rFonts w:cstheme="minorHAnsi"/>
          <w:b/>
          <w:color w:val="002060"/>
          <w:lang w:val="sr-Cyrl-RS"/>
        </w:rPr>
        <w:br w:type="textWrapping" w:clear="all"/>
        <w:t>% БДП</w:t>
      </w:r>
    </w:p>
    <w:p w14:paraId="65E90713" w14:textId="77777777" w:rsidR="001E3E7D" w:rsidRPr="007662F2" w:rsidRDefault="001E3E7D" w:rsidP="00312CEA">
      <w:pPr>
        <w:spacing w:after="0" w:line="276" w:lineRule="auto"/>
        <w:rPr>
          <w:rFonts w:cstheme="minorHAnsi"/>
          <w:b/>
          <w:color w:val="002060"/>
          <w:lang w:val="sr-Cyrl-RS"/>
        </w:rPr>
      </w:pPr>
      <w:r w:rsidRPr="007662F2">
        <w:rPr>
          <w:noProof/>
        </w:rPr>
        <w:drawing>
          <wp:inline distT="0" distB="0" distL="0" distR="0" wp14:anchorId="4E0FA33B" wp14:editId="48F5FB9B">
            <wp:extent cx="2757805" cy="212344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37C14469" w14:textId="77777777" w:rsidR="001E3E7D" w:rsidRPr="007662F2" w:rsidRDefault="001E3E7D" w:rsidP="008265F0">
      <w:pPr>
        <w:spacing w:after="40" w:line="240" w:lineRule="auto"/>
        <w:rPr>
          <w:rFonts w:cstheme="minorHAnsi"/>
          <w:bCs/>
          <w:sz w:val="16"/>
          <w:szCs w:val="72"/>
          <w:lang w:val="sr-Cyrl-RS"/>
        </w:rPr>
      </w:pPr>
      <w:r w:rsidRPr="007662F2">
        <w:rPr>
          <w:rFonts w:ascii="Calibri" w:eastAsia="Calibri" w:hAnsi="Calibri" w:cs="Calibri"/>
          <w:sz w:val="16"/>
          <w:szCs w:val="16"/>
          <w:lang w:val="sr-Cyrl-RS"/>
        </w:rPr>
        <w:t xml:space="preserve">* </w:t>
      </w:r>
      <w:r w:rsidRPr="007662F2">
        <w:rPr>
          <w:rFonts w:cstheme="minorHAnsi"/>
          <w:bCs/>
          <w:sz w:val="16"/>
          <w:szCs w:val="72"/>
          <w:lang w:val="sr-Cyrl-RS"/>
        </w:rPr>
        <w:t>за период 2021. до 2024. дате су пројектоване вредности</w:t>
      </w:r>
    </w:p>
    <w:p w14:paraId="0C6A4830" w14:textId="77777777" w:rsidR="001E3E7D" w:rsidRPr="006C766D" w:rsidRDefault="001E3E7D" w:rsidP="008265F0">
      <w:pPr>
        <w:spacing w:after="120" w:line="276" w:lineRule="auto"/>
        <w:rPr>
          <w:rFonts w:ascii="Calibri" w:eastAsia="MS PGothic" w:hAnsi="Calibri" w:cs="Calibri"/>
          <w:b/>
          <w:szCs w:val="20"/>
          <w:lang w:val="sr-Cyrl-RS" w:eastAsia="ja-JP"/>
        </w:rPr>
      </w:pPr>
      <w:r w:rsidRPr="007662F2">
        <w:rPr>
          <w:rFonts w:cstheme="minorHAnsi"/>
          <w:bCs/>
          <w:sz w:val="16"/>
          <w:szCs w:val="72"/>
          <w:lang w:val="sr-Cyrl-RS"/>
        </w:rPr>
        <w:t>Извор: Министарство финансија</w:t>
      </w:r>
    </w:p>
    <w:p w14:paraId="64601D52"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Анализом примарног стабилизационог јаза који је дефинисан као разлика између оствареног примарног резултата и примарног резултата који је неопходан да би се стабилизовало учешће јавног дуга у текућој години могуће је оценити постављене квантитативне фискалне лимите. Од 2016. године присутан је позитиван примарни стабилизациони јаз, а путања дуга преокренута. Током 2017. и 2018. године позитиван јаз се повећава и у том периоду је остварено највеће смањење учешћа дуга у БДП. Супротан тренд бележи се током 2020.</w:t>
      </w:r>
      <w:r w:rsidRPr="007662F2">
        <w:rPr>
          <w:rFonts w:ascii="Calibri" w:eastAsia="Calibri" w:hAnsi="Calibri" w:cs="Calibri"/>
          <w:szCs w:val="20"/>
        </w:rPr>
        <w:t xml:space="preserve"> </w:t>
      </w:r>
      <w:r w:rsidRPr="007662F2">
        <w:rPr>
          <w:rFonts w:ascii="Calibri" w:eastAsia="Calibri" w:hAnsi="Calibri" w:cs="Calibri"/>
          <w:szCs w:val="20"/>
          <w:lang w:val="sr-Cyrl-RS"/>
        </w:rPr>
        <w:t>и 2021. године кад се достиже највећа негативна вредност овог показатеља. У периоду од 2022–2024. године, у складу са фискалним оквиром датим у овом документу, пројектоване су позитивне вредности овог параметра.</w:t>
      </w:r>
    </w:p>
    <w:p w14:paraId="5651C25B"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Пројектована је динамика спуштања нивоа јавног дуга на 45% БДП, у складу са важећим фискалним правилима, а основни сценарио представљен овим фискалним оквиром предвиђа постепено смањивање фискалног дефицита на 1% БДП на крају 2024. године.</w:t>
      </w:r>
    </w:p>
    <w:p w14:paraId="199A08A9"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Управљање и одрживост јавног дуга ће се додатно обезбедити:</w:t>
      </w:r>
    </w:p>
    <w:p w14:paraId="454AE894" w14:textId="77777777" w:rsidR="001E3E7D" w:rsidRPr="007662F2" w:rsidRDefault="001E3E7D" w:rsidP="00312CEA">
      <w:pPr>
        <w:numPr>
          <w:ilvl w:val="0"/>
          <w:numId w:val="10"/>
        </w:numPr>
        <w:spacing w:after="60"/>
        <w:ind w:left="180" w:hanging="180"/>
        <w:rPr>
          <w:rFonts w:ascii="Calibri" w:eastAsia="Calibri" w:hAnsi="Calibri" w:cs="Calibri"/>
          <w:szCs w:val="20"/>
          <w:lang w:val="sr-Cyrl-RS"/>
        </w:rPr>
      </w:pPr>
      <w:r w:rsidRPr="007662F2">
        <w:rPr>
          <w:rFonts w:ascii="Calibri" w:eastAsia="Calibri" w:hAnsi="Calibri" w:cs="Calibri"/>
          <w:szCs w:val="20"/>
          <w:lang w:val="sr-Cyrl-RS"/>
        </w:rPr>
        <w:t>ограничењем издавања нових гаранција;</w:t>
      </w:r>
    </w:p>
    <w:p w14:paraId="65C93D8C" w14:textId="77777777" w:rsidR="001E3E7D" w:rsidRPr="007662F2" w:rsidRDefault="001E3E7D" w:rsidP="00312CEA">
      <w:pPr>
        <w:numPr>
          <w:ilvl w:val="0"/>
          <w:numId w:val="10"/>
        </w:numPr>
        <w:spacing w:after="60"/>
        <w:ind w:left="180" w:hanging="180"/>
        <w:rPr>
          <w:rFonts w:ascii="Calibri" w:eastAsia="Calibri" w:hAnsi="Calibri" w:cs="Calibri"/>
          <w:szCs w:val="20"/>
          <w:lang w:val="sr-Cyrl-RS"/>
        </w:rPr>
      </w:pPr>
      <w:r w:rsidRPr="007662F2">
        <w:rPr>
          <w:rFonts w:ascii="Calibri" w:eastAsia="Calibri" w:hAnsi="Calibri" w:cs="Calibri"/>
          <w:szCs w:val="20"/>
          <w:lang w:val="sr-Cyrl-RS"/>
        </w:rPr>
        <w:t>ограничењем закључивања нових пројектних зајмова у случајевима да претходно одобрени зајмови нису ефикасно коришћени;</w:t>
      </w:r>
    </w:p>
    <w:p w14:paraId="744AFE25" w14:textId="77777777" w:rsidR="001E3E7D" w:rsidRPr="007662F2" w:rsidRDefault="001E3E7D" w:rsidP="00312CEA">
      <w:pPr>
        <w:numPr>
          <w:ilvl w:val="0"/>
          <w:numId w:val="10"/>
        </w:numPr>
        <w:spacing w:after="60"/>
        <w:ind w:left="180" w:hanging="180"/>
        <w:rPr>
          <w:rFonts w:ascii="Calibri" w:eastAsia="Calibri" w:hAnsi="Calibri" w:cs="Calibri"/>
          <w:szCs w:val="20"/>
          <w:lang w:val="sr-Cyrl-RS"/>
        </w:rPr>
      </w:pPr>
      <w:r w:rsidRPr="007662F2">
        <w:rPr>
          <w:rFonts w:ascii="Calibri" w:eastAsia="Calibri" w:hAnsi="Calibri" w:cs="Calibri"/>
          <w:szCs w:val="20"/>
          <w:lang w:val="sr-Cyrl-RS"/>
        </w:rPr>
        <w:t>откупом једног дела скупог дуга коришћењем средстава из повољнијих зајмова или приватизационих прихода уколико за то постоје могућности;</w:t>
      </w:r>
    </w:p>
    <w:p w14:paraId="7C04CCEB" w14:textId="77777777" w:rsidR="001E3E7D" w:rsidRPr="007662F2" w:rsidRDefault="001E3E7D" w:rsidP="00312CEA">
      <w:pPr>
        <w:numPr>
          <w:ilvl w:val="0"/>
          <w:numId w:val="10"/>
        </w:numPr>
        <w:spacing w:after="60"/>
        <w:ind w:left="181" w:hanging="181"/>
        <w:rPr>
          <w:rFonts w:ascii="Calibri" w:eastAsia="Calibri" w:hAnsi="Calibri" w:cs="Calibri"/>
          <w:szCs w:val="20"/>
          <w:lang w:val="sr-Cyrl-RS"/>
        </w:rPr>
      </w:pPr>
      <w:r w:rsidRPr="007662F2">
        <w:rPr>
          <w:rFonts w:ascii="Calibri" w:eastAsia="Calibri" w:hAnsi="Calibri" w:cs="Calibri"/>
          <w:szCs w:val="20"/>
          <w:lang w:val="sr-Cyrl-RS"/>
        </w:rPr>
        <w:t>идентификацијом и бољим управљањем фискалним ризицима.</w:t>
      </w:r>
    </w:p>
    <w:p w14:paraId="5F3660C2" w14:textId="77777777" w:rsidR="001E3E7D" w:rsidRPr="006C766D" w:rsidRDefault="001E3E7D" w:rsidP="008265F0">
      <w:pPr>
        <w:rPr>
          <w:rFonts w:ascii="Calibri" w:eastAsia="Calibri" w:hAnsi="Calibri" w:cs="Calibri"/>
          <w:szCs w:val="20"/>
          <w:lang w:val="sr-Cyrl-RS"/>
        </w:rPr>
      </w:pPr>
      <w:r w:rsidRPr="006C766D">
        <w:rPr>
          <w:rFonts w:ascii="Calibri" w:eastAsia="Calibri" w:hAnsi="Calibri" w:cs="Calibri"/>
          <w:szCs w:val="20"/>
          <w:lang w:val="sr-Cyrl-RS"/>
        </w:rPr>
        <w:t>Законски предвиђено учешће јавног дуга у БДП од 45% биће достигнуто током 2029. године. Успех претходног програма структурног фискалног прилагођавања омогућио је смањење учешћа дуга од 2015. до 2019. године за 18,3 п.п. БДП. Овакве околности утицале су на могућност Републике Србије да без тешкоће обезбеди потребно финансирање фискалног дефицита током 2020. и 2021. године, као и несметану отплату доспелог дуга.</w:t>
      </w:r>
    </w:p>
    <w:p w14:paraId="442AE963"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Неизвесност у погледу тока и трајања пандемије на светском нивоу, као и предузетих здравствених мера захтева опрезно вођење фискалне политике у наредном периоду.</w:t>
      </w:r>
    </w:p>
    <w:p w14:paraId="3D485EEB"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Како је фискалним правилима предвиђена граница дуга од 45% БДП која се достиже током 2029. године, урађена је симулација кретања учешћа у случају варијације фактора који утичу на динамику дуга.</w:t>
      </w:r>
    </w:p>
    <w:p w14:paraId="1C6E430D" w14:textId="77777777" w:rsidR="001E3E7D" w:rsidRPr="007662F2" w:rsidRDefault="001E3E7D" w:rsidP="00B523F9">
      <w:pPr>
        <w:spacing w:after="60"/>
        <w:rPr>
          <w:rFonts w:ascii="Calibri" w:eastAsia="Calibri" w:hAnsi="Calibri" w:cs="Calibri"/>
          <w:szCs w:val="20"/>
          <w:lang w:val="sr-Cyrl-RS"/>
        </w:rPr>
      </w:pPr>
      <w:r w:rsidRPr="007662F2">
        <w:rPr>
          <w:rFonts w:ascii="Calibri" w:eastAsia="Calibri" w:hAnsi="Calibri" w:cs="Calibri"/>
          <w:szCs w:val="20"/>
          <w:lang w:val="sr-Cyrl-RS"/>
        </w:rPr>
        <w:t>Претпоставке у основном сценарију су:</w:t>
      </w:r>
    </w:p>
    <w:p w14:paraId="4D0F0FDB" w14:textId="77777777" w:rsidR="001E3E7D" w:rsidRPr="007662F2" w:rsidRDefault="001E3E7D" w:rsidP="001E3E7D">
      <w:pPr>
        <w:numPr>
          <w:ilvl w:val="0"/>
          <w:numId w:val="11"/>
        </w:numPr>
        <w:ind w:left="90" w:hanging="180"/>
        <w:contextualSpacing/>
        <w:rPr>
          <w:rFonts w:cs="Calibri"/>
          <w:bCs/>
          <w:szCs w:val="20"/>
          <w:lang w:val="sr-Cyrl-RS" w:eastAsia="ja-JP"/>
        </w:rPr>
      </w:pPr>
      <w:r w:rsidRPr="007662F2">
        <w:rPr>
          <w:rFonts w:cs="Calibri"/>
          <w:bCs/>
          <w:szCs w:val="20"/>
          <w:lang w:val="sr-Cyrl-RS" w:eastAsia="ja-JP"/>
        </w:rPr>
        <w:t>након оствареног високог нивоа фискалног дефицита у 2020. и 2021. години, у периоду од 2022. до 2024. године ниво општег и примарног фискалног резултата омогућава постепено смањење учешћа јавног дуга у БДП. Након тога, фискални дефицит је коригован на 0,5% БДП;</w:t>
      </w:r>
    </w:p>
    <w:p w14:paraId="55E01EFF" w14:textId="77777777" w:rsidR="001E3E7D" w:rsidRPr="007662F2" w:rsidRDefault="001E3E7D" w:rsidP="001E3E7D">
      <w:pPr>
        <w:numPr>
          <w:ilvl w:val="0"/>
          <w:numId w:val="11"/>
        </w:numPr>
        <w:ind w:left="90" w:hanging="180"/>
        <w:contextualSpacing/>
        <w:rPr>
          <w:rFonts w:cs="Calibri"/>
          <w:bCs/>
          <w:szCs w:val="20"/>
          <w:lang w:val="sr-Cyrl-RS" w:eastAsia="ja-JP"/>
        </w:rPr>
      </w:pPr>
      <w:r w:rsidRPr="007662F2">
        <w:rPr>
          <w:rFonts w:cs="Calibri"/>
          <w:bCs/>
          <w:szCs w:val="20"/>
          <w:lang w:val="sr-Cyrl-RS" w:eastAsia="ja-JP"/>
        </w:rPr>
        <w:t>спорији раст фискалних прихода у односу на номинални раст БДП услед промене структуре привреде, јачања инвестиционе активности и раста извоза. Не предвиђају се значајније промене у пореској политици, уз задржавање постојећег напора у борби против сиве економије;</w:t>
      </w:r>
    </w:p>
    <w:p w14:paraId="1211FFB2" w14:textId="77777777" w:rsidR="001E3E7D" w:rsidRPr="007662F2" w:rsidRDefault="001E3E7D" w:rsidP="001E3E7D">
      <w:pPr>
        <w:numPr>
          <w:ilvl w:val="0"/>
          <w:numId w:val="11"/>
        </w:numPr>
        <w:ind w:left="90" w:hanging="180"/>
        <w:contextualSpacing/>
        <w:rPr>
          <w:rFonts w:cs="Calibri"/>
          <w:bCs/>
          <w:szCs w:val="20"/>
          <w:lang w:val="sr-Cyrl-RS" w:eastAsia="ja-JP"/>
        </w:rPr>
      </w:pPr>
      <w:r w:rsidRPr="007662F2">
        <w:rPr>
          <w:rFonts w:cs="Calibri"/>
          <w:bCs/>
          <w:szCs w:val="20"/>
          <w:lang w:val="sr-Cyrl-RS" w:eastAsia="ja-JP"/>
        </w:rPr>
        <w:t>изостанак нето прираста издатих гаранција након 2023. године;</w:t>
      </w:r>
    </w:p>
    <w:p w14:paraId="578B0815" w14:textId="77777777" w:rsidR="001E3E7D" w:rsidRPr="00B523F9" w:rsidRDefault="001E3E7D" w:rsidP="001E3E7D">
      <w:pPr>
        <w:numPr>
          <w:ilvl w:val="0"/>
          <w:numId w:val="11"/>
        </w:numPr>
        <w:ind w:left="90" w:hanging="180"/>
        <w:contextualSpacing/>
        <w:rPr>
          <w:rFonts w:cs="Calibri"/>
          <w:szCs w:val="20"/>
          <w:lang w:val="sr-Cyrl-RS" w:eastAsia="ja-JP"/>
        </w:rPr>
      </w:pPr>
      <w:r w:rsidRPr="00B523F9">
        <w:rPr>
          <w:rFonts w:cs="Calibri"/>
          <w:bCs/>
          <w:szCs w:val="20"/>
          <w:lang w:val="sr-Cyrl-RS" w:eastAsia="ja-JP"/>
        </w:rPr>
        <w:t>просечна стопа реалног раста БДП од 4% у дугом року</w:t>
      </w:r>
      <w:r w:rsidRPr="00B523F9">
        <w:rPr>
          <w:rFonts w:cs="Calibri"/>
          <w:szCs w:val="20"/>
          <w:lang w:val="sr-Cyrl-RS" w:eastAsia="ja-JP"/>
        </w:rPr>
        <w:t>;</w:t>
      </w:r>
    </w:p>
    <w:p w14:paraId="0BC20538" w14:textId="77777777" w:rsidR="001E3E7D" w:rsidRPr="007662F2" w:rsidRDefault="001E3E7D" w:rsidP="001E3E7D">
      <w:pPr>
        <w:numPr>
          <w:ilvl w:val="0"/>
          <w:numId w:val="11"/>
        </w:numPr>
        <w:ind w:left="90" w:hanging="180"/>
        <w:contextualSpacing/>
        <w:rPr>
          <w:rFonts w:cs="Calibri"/>
          <w:szCs w:val="20"/>
          <w:lang w:val="sr-Cyrl-RS" w:eastAsia="ja-JP"/>
        </w:rPr>
      </w:pPr>
      <w:r w:rsidRPr="007662F2">
        <w:rPr>
          <w:rFonts w:cs="Calibri"/>
          <w:bCs/>
          <w:szCs w:val="20"/>
          <w:lang w:val="sr-Cyrl-RS" w:eastAsia="ja-JP"/>
        </w:rPr>
        <w:t>годишња инфлација од око 3% просечно у посматраном периоду</w:t>
      </w:r>
      <w:r w:rsidRPr="007662F2">
        <w:rPr>
          <w:rFonts w:cs="Calibri"/>
          <w:szCs w:val="20"/>
          <w:lang w:val="sr-Cyrl-RS" w:eastAsia="ja-JP"/>
        </w:rPr>
        <w:t>;</w:t>
      </w:r>
    </w:p>
    <w:p w14:paraId="2D4EE4ED" w14:textId="77777777" w:rsidR="001E3E7D" w:rsidRDefault="001E3E7D" w:rsidP="001E3E7D">
      <w:pPr>
        <w:numPr>
          <w:ilvl w:val="0"/>
          <w:numId w:val="11"/>
        </w:numPr>
        <w:ind w:left="90" w:hanging="181"/>
        <w:rPr>
          <w:rFonts w:cs="Calibri"/>
          <w:szCs w:val="20"/>
          <w:lang w:val="sr-Cyrl-RS" w:eastAsia="ja-JP"/>
        </w:rPr>
      </w:pPr>
      <w:r w:rsidRPr="007662F2">
        <w:rPr>
          <w:rFonts w:cs="Calibri"/>
          <w:bCs/>
          <w:szCs w:val="20"/>
          <w:lang w:val="sr-Cyrl-RS" w:eastAsia="ja-JP"/>
        </w:rPr>
        <w:lastRenderedPageBreak/>
        <w:t>изостанак значајних прилива од приватизације у посматраном периоду 2025–2029. године</w:t>
      </w:r>
      <w:r w:rsidRPr="007662F2">
        <w:rPr>
          <w:rFonts w:cs="Calibri"/>
          <w:szCs w:val="20"/>
          <w:lang w:val="sr-Cyrl-RS" w:eastAsia="ja-JP"/>
        </w:rPr>
        <w:t xml:space="preserve">. Евентуални већи приватизациони приходи </w:t>
      </w:r>
      <w:r w:rsidRPr="007662F2">
        <w:rPr>
          <w:rFonts w:cs="Calibri"/>
          <w:szCs w:val="20"/>
          <w:lang w:val="sr-Cyrl-RS" w:eastAsia="ja-JP"/>
        </w:rPr>
        <w:t>смањују потребу за финансирањем и додатно смањују учешће јавног дуга</w:t>
      </w:r>
      <w:r w:rsidR="00B523F9">
        <w:rPr>
          <w:rFonts w:cs="Calibri"/>
          <w:szCs w:val="20"/>
          <w:lang w:val="sr-Latn-RS" w:eastAsia="ja-JP"/>
        </w:rPr>
        <w:t>.</w:t>
      </w:r>
    </w:p>
    <w:p w14:paraId="46B118B0" w14:textId="77777777" w:rsidR="00B523F9" w:rsidRPr="007662F2" w:rsidRDefault="00B523F9" w:rsidP="001E3E7D">
      <w:pPr>
        <w:numPr>
          <w:ilvl w:val="0"/>
          <w:numId w:val="11"/>
        </w:numPr>
        <w:ind w:left="90" w:hanging="181"/>
        <w:rPr>
          <w:rFonts w:cs="Calibri"/>
          <w:szCs w:val="20"/>
          <w:lang w:val="sr-Cyrl-RS" w:eastAsia="ja-JP"/>
        </w:rPr>
        <w:sectPr w:rsidR="00B523F9" w:rsidRPr="007662F2" w:rsidSect="008265F0">
          <w:type w:val="continuous"/>
          <w:pgSz w:w="12240" w:h="15840" w:code="1"/>
          <w:pgMar w:top="1417" w:right="1417" w:bottom="1417" w:left="1417" w:header="720" w:footer="720" w:gutter="0"/>
          <w:cols w:num="2" w:space="720"/>
          <w15:footnoteColumns w:val="1"/>
        </w:sectPr>
      </w:pPr>
    </w:p>
    <w:p w14:paraId="130CE172" w14:textId="77777777" w:rsidR="001E3E7D" w:rsidRPr="00B523F9" w:rsidRDefault="001E3E7D" w:rsidP="008265F0">
      <w:pPr>
        <w:spacing w:after="0" w:line="240" w:lineRule="auto"/>
        <w:rPr>
          <w:rFonts w:ascii="Calibri" w:eastAsia="Calibri" w:hAnsi="Calibri" w:cs="Calibri"/>
          <w:b/>
          <w:color w:val="002060"/>
          <w:sz w:val="16"/>
          <w:szCs w:val="20"/>
          <w:lang w:val="sr-Cyrl-RS"/>
        </w:rPr>
        <w:sectPr w:rsidR="001E3E7D" w:rsidRPr="00B523F9" w:rsidSect="00AE40EB">
          <w:type w:val="continuous"/>
          <w:pgSz w:w="12240" w:h="15840" w:code="1"/>
          <w:pgMar w:top="1417" w:right="1417" w:bottom="1417" w:left="1417" w:header="720" w:footer="720" w:gutter="0"/>
          <w:cols w:space="720"/>
        </w:sectPr>
      </w:pPr>
    </w:p>
    <w:p w14:paraId="70318D28" w14:textId="77777777" w:rsidR="001E3E7D" w:rsidRPr="007662F2" w:rsidRDefault="001E3E7D" w:rsidP="008265F0">
      <w:pPr>
        <w:spacing w:after="120" w:line="240" w:lineRule="auto"/>
        <w:jc w:val="center"/>
        <w:rPr>
          <w:rFonts w:ascii="Calibri" w:eastAsia="Calibri" w:hAnsi="Calibri" w:cs="Calibri"/>
          <w:color w:val="002060"/>
          <w:szCs w:val="20"/>
          <w:lang w:val="sr-Cyrl-RS"/>
        </w:rPr>
      </w:pPr>
      <w:r>
        <w:rPr>
          <w:rFonts w:ascii="Calibri" w:eastAsia="Calibri" w:hAnsi="Calibri" w:cs="Calibri"/>
          <w:b/>
          <w:color w:val="002060"/>
          <w:szCs w:val="20"/>
          <w:lang w:val="sr-Cyrl-RS"/>
        </w:rPr>
        <w:t>Табела 22</w:t>
      </w:r>
      <w:r w:rsidRPr="007662F2">
        <w:rPr>
          <w:rFonts w:ascii="Calibri" w:eastAsia="Calibri" w:hAnsi="Calibri" w:cs="Calibri"/>
          <w:b/>
          <w:color w:val="002060"/>
          <w:szCs w:val="20"/>
          <w:lang w:val="sr-Cyrl-RS"/>
        </w:rPr>
        <w:t>. Симулација нивоа укупног дуга у основном сценарију до 2029. године</w:t>
      </w:r>
      <w:r w:rsidRPr="007662F2">
        <w:rPr>
          <w:rFonts w:ascii="Calibri" w:eastAsia="Calibri" w:hAnsi="Calibri" w:cs="Calibri"/>
          <w:color w:val="002060"/>
          <w:szCs w:val="20"/>
          <w:lang w:val="sr-Cyrl-RS"/>
        </w:rPr>
        <w:t xml:space="preserve">, </w:t>
      </w:r>
      <w:r w:rsidRPr="007662F2">
        <w:rPr>
          <w:rFonts w:ascii="Calibri" w:eastAsia="Calibri" w:hAnsi="Calibri" w:cs="Calibri"/>
          <w:b/>
          <w:color w:val="002060"/>
          <w:szCs w:val="20"/>
          <w:lang w:val="sr-Cyrl-RS"/>
        </w:rPr>
        <w:t>%</w:t>
      </w:r>
      <w:r w:rsidRPr="007662F2">
        <w:rPr>
          <w:rFonts w:ascii="Calibri" w:eastAsia="Calibri" w:hAnsi="Calibri" w:cs="Calibri"/>
          <w:color w:val="002060"/>
          <w:sz w:val="24"/>
          <w:szCs w:val="24"/>
          <w:lang w:val="sr-Cyrl-RS"/>
        </w:rPr>
        <w:t xml:space="preserve"> </w:t>
      </w:r>
      <w:r w:rsidRPr="007662F2">
        <w:rPr>
          <w:rFonts w:ascii="Calibri" w:eastAsia="Calibri" w:hAnsi="Calibri" w:cs="Calibri"/>
          <w:b/>
          <w:color w:val="002060"/>
          <w:szCs w:val="20"/>
          <w:lang w:val="sr-Cyrl-RS"/>
        </w:rPr>
        <w:t>БДП</w:t>
      </w:r>
    </w:p>
    <w:tbl>
      <w:tblPr>
        <w:tblStyle w:val="LightShading-Accent3382"/>
        <w:tblW w:w="5285" w:type="pct"/>
        <w:jc w:val="center"/>
        <w:tblLook w:val="04A0" w:firstRow="1" w:lastRow="0" w:firstColumn="1" w:lastColumn="0" w:noHBand="0" w:noVBand="1"/>
      </w:tblPr>
      <w:tblGrid>
        <w:gridCol w:w="2237"/>
        <w:gridCol w:w="770"/>
        <w:gridCol w:w="771"/>
        <w:gridCol w:w="770"/>
        <w:gridCol w:w="771"/>
        <w:gridCol w:w="771"/>
        <w:gridCol w:w="770"/>
        <w:gridCol w:w="771"/>
        <w:gridCol w:w="770"/>
        <w:gridCol w:w="771"/>
        <w:gridCol w:w="770"/>
      </w:tblGrid>
      <w:tr w:rsidR="001E3E7D" w:rsidRPr="007065E5" w14:paraId="4ECCE12C" w14:textId="77777777" w:rsidTr="008265F0">
        <w:trPr>
          <w:cnfStyle w:val="100000000000" w:firstRow="1" w:lastRow="0" w:firstColumn="0" w:lastColumn="0" w:oddVBand="0" w:evenVBand="0" w:oddHBand="0"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single" w:sz="4" w:space="0" w:color="002060"/>
              <w:bottom w:val="single" w:sz="4" w:space="0" w:color="002060"/>
            </w:tcBorders>
            <w:shd w:val="clear" w:color="auto" w:fill="auto"/>
            <w:vAlign w:val="center"/>
            <w:hideMark/>
          </w:tcPr>
          <w:p w14:paraId="380120F5" w14:textId="77777777" w:rsidR="001E3E7D" w:rsidRPr="007065E5" w:rsidRDefault="001E3E7D" w:rsidP="008265F0">
            <w:pPr>
              <w:spacing w:after="160" w:line="259" w:lineRule="auto"/>
              <w:ind w:right="-427"/>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Основни сценарио</w:t>
            </w:r>
          </w:p>
        </w:tc>
        <w:tc>
          <w:tcPr>
            <w:tcW w:w="387" w:type="pct"/>
            <w:tcBorders>
              <w:top w:val="single" w:sz="4" w:space="0" w:color="002060"/>
              <w:bottom w:val="single" w:sz="4" w:space="0" w:color="002060"/>
            </w:tcBorders>
            <w:shd w:val="clear" w:color="auto" w:fill="auto"/>
            <w:noWrap/>
            <w:vAlign w:val="center"/>
            <w:hideMark/>
          </w:tcPr>
          <w:p w14:paraId="1E5A205C"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2020</w:t>
            </w:r>
          </w:p>
        </w:tc>
        <w:tc>
          <w:tcPr>
            <w:tcW w:w="388" w:type="pct"/>
            <w:tcBorders>
              <w:top w:val="single" w:sz="4" w:space="0" w:color="002060"/>
              <w:bottom w:val="single" w:sz="4" w:space="0" w:color="002060"/>
            </w:tcBorders>
            <w:shd w:val="clear" w:color="auto" w:fill="auto"/>
            <w:noWrap/>
            <w:vAlign w:val="center"/>
            <w:hideMark/>
          </w:tcPr>
          <w:p w14:paraId="02983C99"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2021</w:t>
            </w:r>
          </w:p>
        </w:tc>
        <w:tc>
          <w:tcPr>
            <w:tcW w:w="387" w:type="pct"/>
            <w:tcBorders>
              <w:top w:val="single" w:sz="4" w:space="0" w:color="002060"/>
              <w:bottom w:val="single" w:sz="4" w:space="0" w:color="002060"/>
            </w:tcBorders>
            <w:shd w:val="clear" w:color="auto" w:fill="auto"/>
            <w:noWrap/>
            <w:vAlign w:val="center"/>
            <w:hideMark/>
          </w:tcPr>
          <w:p w14:paraId="25595E86"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2022</w:t>
            </w:r>
          </w:p>
        </w:tc>
        <w:tc>
          <w:tcPr>
            <w:tcW w:w="388" w:type="pct"/>
            <w:tcBorders>
              <w:top w:val="single" w:sz="4" w:space="0" w:color="002060"/>
              <w:bottom w:val="single" w:sz="4" w:space="0" w:color="002060"/>
            </w:tcBorders>
            <w:shd w:val="clear" w:color="auto" w:fill="auto"/>
            <w:noWrap/>
            <w:vAlign w:val="center"/>
            <w:hideMark/>
          </w:tcPr>
          <w:p w14:paraId="708C0336"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2023</w:t>
            </w:r>
          </w:p>
        </w:tc>
        <w:tc>
          <w:tcPr>
            <w:tcW w:w="388" w:type="pct"/>
            <w:tcBorders>
              <w:top w:val="single" w:sz="4" w:space="0" w:color="002060"/>
              <w:bottom w:val="single" w:sz="4" w:space="0" w:color="002060"/>
            </w:tcBorders>
            <w:shd w:val="clear" w:color="auto" w:fill="auto"/>
            <w:noWrap/>
            <w:vAlign w:val="center"/>
            <w:hideMark/>
          </w:tcPr>
          <w:p w14:paraId="466418DE"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2024</w:t>
            </w:r>
          </w:p>
        </w:tc>
        <w:tc>
          <w:tcPr>
            <w:tcW w:w="387" w:type="pct"/>
            <w:tcBorders>
              <w:top w:val="single" w:sz="4" w:space="0" w:color="002060"/>
              <w:bottom w:val="single" w:sz="4" w:space="0" w:color="002060"/>
            </w:tcBorders>
            <w:shd w:val="clear" w:color="auto" w:fill="auto"/>
            <w:noWrap/>
            <w:vAlign w:val="center"/>
            <w:hideMark/>
          </w:tcPr>
          <w:p w14:paraId="091AC602"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2025</w:t>
            </w:r>
          </w:p>
        </w:tc>
        <w:tc>
          <w:tcPr>
            <w:tcW w:w="388" w:type="pct"/>
            <w:tcBorders>
              <w:top w:val="single" w:sz="4" w:space="0" w:color="002060"/>
              <w:bottom w:val="single" w:sz="4" w:space="0" w:color="002060"/>
            </w:tcBorders>
            <w:shd w:val="clear" w:color="auto" w:fill="auto"/>
            <w:noWrap/>
            <w:vAlign w:val="center"/>
            <w:hideMark/>
          </w:tcPr>
          <w:p w14:paraId="632AE788"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2026</w:t>
            </w:r>
          </w:p>
        </w:tc>
        <w:tc>
          <w:tcPr>
            <w:tcW w:w="387" w:type="pct"/>
            <w:tcBorders>
              <w:top w:val="single" w:sz="4" w:space="0" w:color="002060"/>
              <w:bottom w:val="single" w:sz="4" w:space="0" w:color="002060"/>
            </w:tcBorders>
            <w:shd w:val="clear" w:color="auto" w:fill="auto"/>
            <w:noWrap/>
            <w:vAlign w:val="center"/>
            <w:hideMark/>
          </w:tcPr>
          <w:p w14:paraId="00013E14"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2027</w:t>
            </w:r>
          </w:p>
        </w:tc>
        <w:tc>
          <w:tcPr>
            <w:tcW w:w="388" w:type="pct"/>
            <w:tcBorders>
              <w:top w:val="single" w:sz="4" w:space="0" w:color="002060"/>
              <w:bottom w:val="single" w:sz="4" w:space="0" w:color="002060"/>
            </w:tcBorders>
            <w:shd w:val="clear" w:color="auto" w:fill="auto"/>
            <w:noWrap/>
            <w:vAlign w:val="center"/>
            <w:hideMark/>
          </w:tcPr>
          <w:p w14:paraId="4AB7276F"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2028</w:t>
            </w:r>
          </w:p>
        </w:tc>
        <w:tc>
          <w:tcPr>
            <w:tcW w:w="387" w:type="pct"/>
            <w:tcBorders>
              <w:top w:val="single" w:sz="4" w:space="0" w:color="002060"/>
              <w:bottom w:val="single" w:sz="4" w:space="0" w:color="002060"/>
            </w:tcBorders>
            <w:shd w:val="clear" w:color="auto" w:fill="auto"/>
            <w:noWrap/>
            <w:vAlign w:val="center"/>
            <w:hideMark/>
          </w:tcPr>
          <w:p w14:paraId="6F70A092" w14:textId="77777777" w:rsidR="001E3E7D" w:rsidRPr="007065E5" w:rsidRDefault="001E3E7D" w:rsidP="008265F0">
            <w:pPr>
              <w:spacing w:after="160" w:line="259" w:lineRule="auto"/>
              <w:jc w:val="right"/>
              <w:cnfStyle w:val="100000000000" w:firstRow="1" w:lastRow="0" w:firstColumn="0" w:lastColumn="0" w:oddVBand="0" w:evenVBand="0" w:oddHBand="0" w:evenHBand="0" w:firstRowFirstColumn="0" w:firstRowLastColumn="0" w:lastRowFirstColumn="0" w:lastRowLastColumn="0"/>
              <w:rPr>
                <w:rFonts w:ascii="Calibri" w:eastAsiaTheme="minorHAnsi" w:hAnsi="Calibri" w:cs="Calibri"/>
                <w:bCs w:val="0"/>
                <w:color w:val="002060"/>
                <w:sz w:val="18"/>
                <w:szCs w:val="18"/>
                <w:lang w:val="sr-Cyrl-RS"/>
              </w:rPr>
            </w:pPr>
            <w:r w:rsidRPr="007065E5">
              <w:rPr>
                <w:rFonts w:ascii="Calibri" w:eastAsiaTheme="minorHAnsi" w:hAnsi="Calibri" w:cs="Calibri"/>
                <w:b w:val="0"/>
                <w:bCs w:val="0"/>
                <w:color w:val="002060"/>
                <w:sz w:val="18"/>
                <w:szCs w:val="18"/>
                <w:lang w:val="sr-Cyrl-RS"/>
              </w:rPr>
              <w:t>2029</w:t>
            </w:r>
          </w:p>
        </w:tc>
      </w:tr>
      <w:tr w:rsidR="001E3E7D" w:rsidRPr="007065E5" w14:paraId="2A088AE5" w14:textId="77777777" w:rsidTr="008265F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single" w:sz="4" w:space="0" w:color="002060"/>
              <w:bottom w:val="nil"/>
            </w:tcBorders>
            <w:shd w:val="clear" w:color="auto" w:fill="auto"/>
            <w:noWrap/>
            <w:vAlign w:val="center"/>
            <w:hideMark/>
          </w:tcPr>
          <w:p w14:paraId="24E730A0"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Приходи</w:t>
            </w:r>
          </w:p>
        </w:tc>
        <w:tc>
          <w:tcPr>
            <w:tcW w:w="387" w:type="pct"/>
            <w:tcBorders>
              <w:top w:val="single" w:sz="4" w:space="0" w:color="002060"/>
              <w:bottom w:val="nil"/>
            </w:tcBorders>
            <w:shd w:val="clear" w:color="auto" w:fill="auto"/>
            <w:noWrap/>
            <w:hideMark/>
          </w:tcPr>
          <w:p w14:paraId="54412338"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41,3</w:t>
            </w:r>
          </w:p>
        </w:tc>
        <w:tc>
          <w:tcPr>
            <w:tcW w:w="388" w:type="pct"/>
            <w:tcBorders>
              <w:top w:val="single" w:sz="4" w:space="0" w:color="002060"/>
              <w:bottom w:val="nil"/>
            </w:tcBorders>
            <w:shd w:val="clear" w:color="auto" w:fill="auto"/>
            <w:noWrap/>
            <w:hideMark/>
          </w:tcPr>
          <w:p w14:paraId="61F104EA"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41,8</w:t>
            </w:r>
          </w:p>
        </w:tc>
        <w:tc>
          <w:tcPr>
            <w:tcW w:w="387" w:type="pct"/>
            <w:tcBorders>
              <w:top w:val="single" w:sz="4" w:space="0" w:color="002060"/>
              <w:bottom w:val="nil"/>
            </w:tcBorders>
            <w:shd w:val="clear" w:color="auto" w:fill="auto"/>
            <w:noWrap/>
            <w:hideMark/>
          </w:tcPr>
          <w:p w14:paraId="76568296"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41,8</w:t>
            </w:r>
          </w:p>
        </w:tc>
        <w:tc>
          <w:tcPr>
            <w:tcW w:w="388" w:type="pct"/>
            <w:tcBorders>
              <w:top w:val="single" w:sz="4" w:space="0" w:color="002060"/>
              <w:bottom w:val="nil"/>
            </w:tcBorders>
            <w:shd w:val="clear" w:color="auto" w:fill="auto"/>
            <w:noWrap/>
            <w:hideMark/>
          </w:tcPr>
          <w:p w14:paraId="6FDC9ED0"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40,8</w:t>
            </w:r>
          </w:p>
        </w:tc>
        <w:tc>
          <w:tcPr>
            <w:tcW w:w="388" w:type="pct"/>
            <w:tcBorders>
              <w:top w:val="single" w:sz="4" w:space="0" w:color="002060"/>
              <w:bottom w:val="nil"/>
            </w:tcBorders>
            <w:shd w:val="clear" w:color="auto" w:fill="auto"/>
            <w:noWrap/>
            <w:hideMark/>
          </w:tcPr>
          <w:p w14:paraId="7DC5882C"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40,6</w:t>
            </w:r>
          </w:p>
        </w:tc>
        <w:tc>
          <w:tcPr>
            <w:tcW w:w="387" w:type="pct"/>
            <w:tcBorders>
              <w:top w:val="single" w:sz="4" w:space="0" w:color="002060"/>
              <w:bottom w:val="nil"/>
            </w:tcBorders>
            <w:shd w:val="clear" w:color="auto" w:fill="auto"/>
            <w:noWrap/>
            <w:hideMark/>
          </w:tcPr>
          <w:p w14:paraId="1E05EE8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40,4</w:t>
            </w:r>
          </w:p>
        </w:tc>
        <w:tc>
          <w:tcPr>
            <w:tcW w:w="388" w:type="pct"/>
            <w:tcBorders>
              <w:top w:val="single" w:sz="4" w:space="0" w:color="002060"/>
              <w:bottom w:val="nil"/>
            </w:tcBorders>
            <w:shd w:val="clear" w:color="auto" w:fill="auto"/>
            <w:noWrap/>
            <w:hideMark/>
          </w:tcPr>
          <w:p w14:paraId="649BA1B4"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40,2</w:t>
            </w:r>
          </w:p>
        </w:tc>
        <w:tc>
          <w:tcPr>
            <w:tcW w:w="387" w:type="pct"/>
            <w:tcBorders>
              <w:top w:val="single" w:sz="4" w:space="0" w:color="002060"/>
              <w:bottom w:val="nil"/>
            </w:tcBorders>
            <w:shd w:val="clear" w:color="auto" w:fill="auto"/>
            <w:noWrap/>
            <w:hideMark/>
          </w:tcPr>
          <w:p w14:paraId="4197643C"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40,0</w:t>
            </w:r>
          </w:p>
        </w:tc>
        <w:tc>
          <w:tcPr>
            <w:tcW w:w="388" w:type="pct"/>
            <w:tcBorders>
              <w:top w:val="single" w:sz="4" w:space="0" w:color="002060"/>
              <w:bottom w:val="nil"/>
            </w:tcBorders>
            <w:shd w:val="clear" w:color="auto" w:fill="auto"/>
            <w:noWrap/>
            <w:hideMark/>
          </w:tcPr>
          <w:p w14:paraId="67ED3693"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39,7</w:t>
            </w:r>
          </w:p>
        </w:tc>
        <w:tc>
          <w:tcPr>
            <w:tcW w:w="387" w:type="pct"/>
            <w:tcBorders>
              <w:top w:val="single" w:sz="4" w:space="0" w:color="002060"/>
              <w:bottom w:val="nil"/>
            </w:tcBorders>
            <w:shd w:val="clear" w:color="auto" w:fill="auto"/>
            <w:noWrap/>
            <w:hideMark/>
          </w:tcPr>
          <w:p w14:paraId="12538B0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39,5</w:t>
            </w:r>
          </w:p>
        </w:tc>
      </w:tr>
      <w:tr w:rsidR="001E3E7D" w:rsidRPr="007065E5" w14:paraId="7EDA2E0D" w14:textId="77777777" w:rsidTr="008265F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left w:val="nil"/>
              <w:bottom w:val="nil"/>
              <w:right w:val="nil"/>
            </w:tcBorders>
            <w:shd w:val="clear" w:color="auto" w:fill="auto"/>
            <w:noWrap/>
            <w:vAlign w:val="center"/>
            <w:hideMark/>
          </w:tcPr>
          <w:p w14:paraId="24C52B64"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Расходи</w:t>
            </w:r>
          </w:p>
        </w:tc>
        <w:tc>
          <w:tcPr>
            <w:tcW w:w="387" w:type="pct"/>
            <w:tcBorders>
              <w:top w:val="nil"/>
              <w:left w:val="nil"/>
              <w:bottom w:val="nil"/>
              <w:right w:val="nil"/>
            </w:tcBorders>
            <w:shd w:val="clear" w:color="auto" w:fill="auto"/>
            <w:noWrap/>
            <w:hideMark/>
          </w:tcPr>
          <w:p w14:paraId="3B1E57A5"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49,4</w:t>
            </w:r>
          </w:p>
        </w:tc>
        <w:tc>
          <w:tcPr>
            <w:tcW w:w="388" w:type="pct"/>
            <w:tcBorders>
              <w:top w:val="nil"/>
              <w:left w:val="nil"/>
              <w:bottom w:val="nil"/>
              <w:right w:val="nil"/>
            </w:tcBorders>
            <w:shd w:val="clear" w:color="auto" w:fill="auto"/>
            <w:noWrap/>
            <w:hideMark/>
          </w:tcPr>
          <w:p w14:paraId="16153740"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48,7</w:t>
            </w:r>
          </w:p>
        </w:tc>
        <w:tc>
          <w:tcPr>
            <w:tcW w:w="387" w:type="pct"/>
            <w:tcBorders>
              <w:top w:val="nil"/>
              <w:left w:val="nil"/>
              <w:bottom w:val="nil"/>
              <w:right w:val="nil"/>
            </w:tcBorders>
            <w:shd w:val="clear" w:color="auto" w:fill="auto"/>
            <w:noWrap/>
            <w:hideMark/>
          </w:tcPr>
          <w:p w14:paraId="46F551B7"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44,7</w:t>
            </w:r>
          </w:p>
        </w:tc>
        <w:tc>
          <w:tcPr>
            <w:tcW w:w="388" w:type="pct"/>
            <w:tcBorders>
              <w:top w:val="nil"/>
              <w:left w:val="nil"/>
              <w:bottom w:val="nil"/>
              <w:right w:val="nil"/>
            </w:tcBorders>
            <w:shd w:val="clear" w:color="auto" w:fill="auto"/>
            <w:noWrap/>
            <w:hideMark/>
          </w:tcPr>
          <w:p w14:paraId="4C4CAD8D"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42,4</w:t>
            </w:r>
          </w:p>
        </w:tc>
        <w:tc>
          <w:tcPr>
            <w:tcW w:w="388" w:type="pct"/>
            <w:tcBorders>
              <w:top w:val="nil"/>
              <w:left w:val="nil"/>
              <w:bottom w:val="nil"/>
              <w:right w:val="nil"/>
            </w:tcBorders>
            <w:shd w:val="clear" w:color="auto" w:fill="auto"/>
            <w:noWrap/>
            <w:hideMark/>
          </w:tcPr>
          <w:p w14:paraId="34AACC6C"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41,6</w:t>
            </w:r>
          </w:p>
        </w:tc>
        <w:tc>
          <w:tcPr>
            <w:tcW w:w="387" w:type="pct"/>
            <w:tcBorders>
              <w:top w:val="nil"/>
              <w:left w:val="nil"/>
              <w:bottom w:val="nil"/>
              <w:right w:val="nil"/>
            </w:tcBorders>
            <w:shd w:val="clear" w:color="auto" w:fill="auto"/>
            <w:noWrap/>
            <w:hideMark/>
          </w:tcPr>
          <w:p w14:paraId="177108AE"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40,9</w:t>
            </w:r>
          </w:p>
        </w:tc>
        <w:tc>
          <w:tcPr>
            <w:tcW w:w="388" w:type="pct"/>
            <w:tcBorders>
              <w:top w:val="nil"/>
              <w:left w:val="nil"/>
              <w:bottom w:val="nil"/>
              <w:right w:val="nil"/>
            </w:tcBorders>
            <w:shd w:val="clear" w:color="auto" w:fill="auto"/>
            <w:noWrap/>
            <w:hideMark/>
          </w:tcPr>
          <w:p w14:paraId="6666AC96"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40,7</w:t>
            </w:r>
          </w:p>
        </w:tc>
        <w:tc>
          <w:tcPr>
            <w:tcW w:w="387" w:type="pct"/>
            <w:tcBorders>
              <w:top w:val="nil"/>
              <w:left w:val="nil"/>
              <w:bottom w:val="nil"/>
              <w:right w:val="nil"/>
            </w:tcBorders>
            <w:shd w:val="clear" w:color="auto" w:fill="auto"/>
            <w:noWrap/>
            <w:hideMark/>
          </w:tcPr>
          <w:p w14:paraId="0BF7EB3C"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40,5</w:t>
            </w:r>
          </w:p>
        </w:tc>
        <w:tc>
          <w:tcPr>
            <w:tcW w:w="388" w:type="pct"/>
            <w:tcBorders>
              <w:top w:val="nil"/>
              <w:left w:val="nil"/>
              <w:bottom w:val="nil"/>
              <w:right w:val="nil"/>
            </w:tcBorders>
            <w:shd w:val="clear" w:color="auto" w:fill="auto"/>
            <w:noWrap/>
            <w:hideMark/>
          </w:tcPr>
          <w:p w14:paraId="4108101F"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40,2</w:t>
            </w:r>
          </w:p>
        </w:tc>
        <w:tc>
          <w:tcPr>
            <w:tcW w:w="387" w:type="pct"/>
            <w:tcBorders>
              <w:top w:val="nil"/>
              <w:left w:val="nil"/>
              <w:bottom w:val="nil"/>
              <w:right w:val="nil"/>
            </w:tcBorders>
            <w:shd w:val="clear" w:color="auto" w:fill="auto"/>
            <w:noWrap/>
            <w:hideMark/>
          </w:tcPr>
          <w:p w14:paraId="6D5F5F5C"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40,0</w:t>
            </w:r>
          </w:p>
        </w:tc>
      </w:tr>
      <w:tr w:rsidR="001E3E7D" w:rsidRPr="007065E5" w14:paraId="0959887D" w14:textId="77777777" w:rsidTr="008265F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bottom w:val="nil"/>
            </w:tcBorders>
            <w:shd w:val="clear" w:color="auto" w:fill="auto"/>
            <w:noWrap/>
            <w:vAlign w:val="center"/>
            <w:hideMark/>
          </w:tcPr>
          <w:p w14:paraId="13259CA4" w14:textId="77777777" w:rsidR="001E3E7D" w:rsidRPr="007065E5" w:rsidRDefault="001E3E7D" w:rsidP="008265F0">
            <w:pPr>
              <w:spacing w:after="160" w:line="259" w:lineRule="auto"/>
              <w:rPr>
                <w:rFonts w:ascii="Calibri" w:eastAsia="Times New Roman" w:hAnsi="Calibri" w:cs="Calibri"/>
                <w:bCs w:val="0"/>
                <w:iCs/>
                <w:color w:val="002060"/>
                <w:sz w:val="18"/>
                <w:szCs w:val="18"/>
                <w:lang w:val="sr-Cyrl-RS"/>
              </w:rPr>
            </w:pPr>
            <w:r w:rsidRPr="007065E5">
              <w:rPr>
                <w:rFonts w:ascii="Calibri" w:eastAsia="Times New Roman" w:hAnsi="Calibri" w:cs="Calibri"/>
                <w:b w:val="0"/>
                <w:bCs w:val="0"/>
                <w:iCs/>
                <w:color w:val="002060"/>
                <w:sz w:val="18"/>
                <w:szCs w:val="18"/>
                <w:lang w:val="sr-Cyrl-RS"/>
              </w:rPr>
              <w:t>Пад учешћа расхода</w:t>
            </w:r>
          </w:p>
        </w:tc>
        <w:tc>
          <w:tcPr>
            <w:tcW w:w="387" w:type="pct"/>
            <w:tcBorders>
              <w:top w:val="nil"/>
              <w:bottom w:val="nil"/>
            </w:tcBorders>
            <w:shd w:val="clear" w:color="auto" w:fill="auto"/>
            <w:noWrap/>
            <w:hideMark/>
          </w:tcPr>
          <w:p w14:paraId="24F6F30E"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p>
        </w:tc>
        <w:tc>
          <w:tcPr>
            <w:tcW w:w="388" w:type="pct"/>
            <w:tcBorders>
              <w:top w:val="nil"/>
              <w:bottom w:val="nil"/>
            </w:tcBorders>
            <w:shd w:val="clear" w:color="auto" w:fill="auto"/>
            <w:noWrap/>
            <w:hideMark/>
          </w:tcPr>
          <w:p w14:paraId="30D731C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-0,7</w:t>
            </w:r>
          </w:p>
        </w:tc>
        <w:tc>
          <w:tcPr>
            <w:tcW w:w="387" w:type="pct"/>
            <w:tcBorders>
              <w:top w:val="nil"/>
              <w:bottom w:val="nil"/>
            </w:tcBorders>
            <w:shd w:val="clear" w:color="auto" w:fill="auto"/>
            <w:noWrap/>
            <w:hideMark/>
          </w:tcPr>
          <w:p w14:paraId="4A9CB8DE"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8" w:type="pct"/>
            <w:tcBorders>
              <w:top w:val="nil"/>
              <w:bottom w:val="nil"/>
            </w:tcBorders>
            <w:shd w:val="clear" w:color="auto" w:fill="auto"/>
            <w:noWrap/>
            <w:hideMark/>
          </w:tcPr>
          <w:p w14:paraId="796CEADF"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-2,3</w:t>
            </w:r>
          </w:p>
        </w:tc>
        <w:tc>
          <w:tcPr>
            <w:tcW w:w="388" w:type="pct"/>
            <w:tcBorders>
              <w:top w:val="nil"/>
              <w:bottom w:val="nil"/>
            </w:tcBorders>
            <w:shd w:val="clear" w:color="auto" w:fill="auto"/>
            <w:noWrap/>
            <w:hideMark/>
          </w:tcPr>
          <w:p w14:paraId="627B5F20"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-0,8</w:t>
            </w:r>
          </w:p>
        </w:tc>
        <w:tc>
          <w:tcPr>
            <w:tcW w:w="387" w:type="pct"/>
            <w:tcBorders>
              <w:top w:val="nil"/>
              <w:bottom w:val="nil"/>
            </w:tcBorders>
            <w:shd w:val="clear" w:color="auto" w:fill="auto"/>
            <w:noWrap/>
            <w:hideMark/>
          </w:tcPr>
          <w:p w14:paraId="31FD410B"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-0,7</w:t>
            </w:r>
          </w:p>
        </w:tc>
        <w:tc>
          <w:tcPr>
            <w:tcW w:w="388" w:type="pct"/>
            <w:tcBorders>
              <w:top w:val="nil"/>
              <w:bottom w:val="nil"/>
            </w:tcBorders>
            <w:shd w:val="clear" w:color="auto" w:fill="auto"/>
            <w:noWrap/>
            <w:hideMark/>
          </w:tcPr>
          <w:p w14:paraId="5BB5047B"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-0,2</w:t>
            </w:r>
          </w:p>
        </w:tc>
        <w:tc>
          <w:tcPr>
            <w:tcW w:w="387" w:type="pct"/>
            <w:tcBorders>
              <w:top w:val="nil"/>
              <w:bottom w:val="nil"/>
            </w:tcBorders>
            <w:shd w:val="clear" w:color="auto" w:fill="auto"/>
            <w:noWrap/>
            <w:hideMark/>
          </w:tcPr>
          <w:p w14:paraId="4A79D97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-0,2</w:t>
            </w:r>
          </w:p>
        </w:tc>
        <w:tc>
          <w:tcPr>
            <w:tcW w:w="388" w:type="pct"/>
            <w:tcBorders>
              <w:top w:val="nil"/>
              <w:bottom w:val="nil"/>
            </w:tcBorders>
            <w:shd w:val="clear" w:color="auto" w:fill="auto"/>
            <w:noWrap/>
            <w:hideMark/>
          </w:tcPr>
          <w:p w14:paraId="3F97C06F"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-0,2</w:t>
            </w:r>
          </w:p>
        </w:tc>
        <w:tc>
          <w:tcPr>
            <w:tcW w:w="387" w:type="pct"/>
            <w:tcBorders>
              <w:top w:val="nil"/>
              <w:bottom w:val="nil"/>
            </w:tcBorders>
            <w:shd w:val="clear" w:color="auto" w:fill="auto"/>
            <w:noWrap/>
            <w:hideMark/>
          </w:tcPr>
          <w:p w14:paraId="3BBE29E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-0,2</w:t>
            </w:r>
          </w:p>
        </w:tc>
      </w:tr>
      <w:tr w:rsidR="001E3E7D" w:rsidRPr="007065E5" w14:paraId="718074A7" w14:textId="77777777" w:rsidTr="008265F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left w:val="nil"/>
              <w:bottom w:val="nil"/>
              <w:right w:val="nil"/>
            </w:tcBorders>
            <w:shd w:val="clear" w:color="auto" w:fill="auto"/>
            <w:noWrap/>
            <w:vAlign w:val="center"/>
            <w:hideMark/>
          </w:tcPr>
          <w:p w14:paraId="4AD5DE87"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 xml:space="preserve">Фискални резултат </w:t>
            </w:r>
          </w:p>
        </w:tc>
        <w:tc>
          <w:tcPr>
            <w:tcW w:w="387" w:type="pct"/>
            <w:tcBorders>
              <w:top w:val="nil"/>
              <w:left w:val="nil"/>
              <w:bottom w:val="nil"/>
              <w:right w:val="nil"/>
            </w:tcBorders>
            <w:shd w:val="clear" w:color="auto" w:fill="auto"/>
            <w:noWrap/>
            <w:hideMark/>
          </w:tcPr>
          <w:p w14:paraId="09C6C6F3"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-8,1</w:t>
            </w:r>
          </w:p>
        </w:tc>
        <w:tc>
          <w:tcPr>
            <w:tcW w:w="388" w:type="pct"/>
            <w:tcBorders>
              <w:top w:val="nil"/>
              <w:left w:val="nil"/>
              <w:bottom w:val="nil"/>
              <w:right w:val="nil"/>
            </w:tcBorders>
            <w:shd w:val="clear" w:color="auto" w:fill="auto"/>
            <w:noWrap/>
            <w:hideMark/>
          </w:tcPr>
          <w:p w14:paraId="29CB0CF4"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-6,9</w:t>
            </w:r>
          </w:p>
        </w:tc>
        <w:tc>
          <w:tcPr>
            <w:tcW w:w="387" w:type="pct"/>
            <w:tcBorders>
              <w:top w:val="nil"/>
              <w:left w:val="nil"/>
              <w:bottom w:val="nil"/>
              <w:right w:val="nil"/>
            </w:tcBorders>
            <w:shd w:val="clear" w:color="auto" w:fill="auto"/>
            <w:noWrap/>
            <w:hideMark/>
          </w:tcPr>
          <w:p w14:paraId="6DBCBAB7"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-3,0</w:t>
            </w:r>
          </w:p>
        </w:tc>
        <w:tc>
          <w:tcPr>
            <w:tcW w:w="388" w:type="pct"/>
            <w:tcBorders>
              <w:top w:val="nil"/>
              <w:left w:val="nil"/>
              <w:bottom w:val="nil"/>
              <w:right w:val="nil"/>
            </w:tcBorders>
            <w:shd w:val="clear" w:color="auto" w:fill="auto"/>
            <w:noWrap/>
            <w:hideMark/>
          </w:tcPr>
          <w:p w14:paraId="7C53E2A8"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-1,5</w:t>
            </w:r>
          </w:p>
        </w:tc>
        <w:tc>
          <w:tcPr>
            <w:tcW w:w="388" w:type="pct"/>
            <w:tcBorders>
              <w:top w:val="nil"/>
              <w:left w:val="nil"/>
              <w:bottom w:val="nil"/>
              <w:right w:val="nil"/>
            </w:tcBorders>
            <w:shd w:val="clear" w:color="auto" w:fill="auto"/>
            <w:noWrap/>
            <w:hideMark/>
          </w:tcPr>
          <w:p w14:paraId="392B41B1"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-1,0</w:t>
            </w:r>
          </w:p>
        </w:tc>
        <w:tc>
          <w:tcPr>
            <w:tcW w:w="387" w:type="pct"/>
            <w:tcBorders>
              <w:top w:val="nil"/>
              <w:left w:val="nil"/>
              <w:bottom w:val="nil"/>
              <w:right w:val="nil"/>
            </w:tcBorders>
            <w:shd w:val="clear" w:color="auto" w:fill="auto"/>
            <w:noWrap/>
            <w:hideMark/>
          </w:tcPr>
          <w:p w14:paraId="4B83E41D"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-0,5</w:t>
            </w:r>
          </w:p>
        </w:tc>
        <w:tc>
          <w:tcPr>
            <w:tcW w:w="388" w:type="pct"/>
            <w:tcBorders>
              <w:top w:val="nil"/>
              <w:left w:val="nil"/>
              <w:bottom w:val="nil"/>
              <w:right w:val="nil"/>
            </w:tcBorders>
            <w:shd w:val="clear" w:color="auto" w:fill="auto"/>
            <w:noWrap/>
            <w:hideMark/>
          </w:tcPr>
          <w:p w14:paraId="1DD30AF2"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-0,5</w:t>
            </w:r>
          </w:p>
        </w:tc>
        <w:tc>
          <w:tcPr>
            <w:tcW w:w="387" w:type="pct"/>
            <w:tcBorders>
              <w:top w:val="nil"/>
              <w:left w:val="nil"/>
              <w:bottom w:val="nil"/>
              <w:right w:val="nil"/>
            </w:tcBorders>
            <w:shd w:val="clear" w:color="auto" w:fill="auto"/>
            <w:noWrap/>
            <w:hideMark/>
          </w:tcPr>
          <w:p w14:paraId="4457BAA8"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-0,5</w:t>
            </w:r>
          </w:p>
        </w:tc>
        <w:tc>
          <w:tcPr>
            <w:tcW w:w="388" w:type="pct"/>
            <w:tcBorders>
              <w:top w:val="nil"/>
              <w:left w:val="nil"/>
              <w:bottom w:val="nil"/>
              <w:right w:val="nil"/>
            </w:tcBorders>
            <w:shd w:val="clear" w:color="auto" w:fill="auto"/>
            <w:noWrap/>
            <w:hideMark/>
          </w:tcPr>
          <w:p w14:paraId="74A0A994"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-0,5</w:t>
            </w:r>
          </w:p>
        </w:tc>
        <w:tc>
          <w:tcPr>
            <w:tcW w:w="387" w:type="pct"/>
            <w:tcBorders>
              <w:top w:val="nil"/>
              <w:left w:val="nil"/>
              <w:bottom w:val="nil"/>
              <w:right w:val="nil"/>
            </w:tcBorders>
            <w:shd w:val="clear" w:color="auto" w:fill="auto"/>
            <w:noWrap/>
            <w:hideMark/>
          </w:tcPr>
          <w:p w14:paraId="529677D8"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-0,5</w:t>
            </w:r>
          </w:p>
        </w:tc>
      </w:tr>
      <w:tr w:rsidR="001E3E7D" w:rsidRPr="007065E5" w14:paraId="4F5118C8" w14:textId="77777777" w:rsidTr="008265F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bottom w:val="nil"/>
            </w:tcBorders>
            <w:shd w:val="clear" w:color="auto" w:fill="auto"/>
            <w:noWrap/>
            <w:vAlign w:val="center"/>
            <w:hideMark/>
          </w:tcPr>
          <w:p w14:paraId="68082D0B"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Примарни фис. резултат</w:t>
            </w:r>
          </w:p>
        </w:tc>
        <w:tc>
          <w:tcPr>
            <w:tcW w:w="387" w:type="pct"/>
            <w:tcBorders>
              <w:top w:val="nil"/>
              <w:bottom w:val="nil"/>
            </w:tcBorders>
            <w:shd w:val="clear" w:color="auto" w:fill="auto"/>
            <w:noWrap/>
            <w:hideMark/>
          </w:tcPr>
          <w:p w14:paraId="1CB4DAF0"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-6,1</w:t>
            </w:r>
          </w:p>
        </w:tc>
        <w:tc>
          <w:tcPr>
            <w:tcW w:w="388" w:type="pct"/>
            <w:tcBorders>
              <w:top w:val="nil"/>
              <w:bottom w:val="nil"/>
            </w:tcBorders>
            <w:shd w:val="clear" w:color="auto" w:fill="auto"/>
            <w:noWrap/>
            <w:hideMark/>
          </w:tcPr>
          <w:p w14:paraId="613FD7CB"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-5,0</w:t>
            </w:r>
          </w:p>
        </w:tc>
        <w:tc>
          <w:tcPr>
            <w:tcW w:w="387" w:type="pct"/>
            <w:tcBorders>
              <w:top w:val="nil"/>
              <w:bottom w:val="nil"/>
            </w:tcBorders>
            <w:shd w:val="clear" w:color="auto" w:fill="auto"/>
            <w:noWrap/>
            <w:hideMark/>
          </w:tcPr>
          <w:p w14:paraId="69465FD5"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-1,2</w:t>
            </w:r>
          </w:p>
        </w:tc>
        <w:tc>
          <w:tcPr>
            <w:tcW w:w="388" w:type="pct"/>
            <w:tcBorders>
              <w:top w:val="nil"/>
              <w:bottom w:val="nil"/>
            </w:tcBorders>
            <w:shd w:val="clear" w:color="auto" w:fill="auto"/>
            <w:noWrap/>
            <w:hideMark/>
          </w:tcPr>
          <w:p w14:paraId="4BD76D75"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0,1</w:t>
            </w:r>
          </w:p>
        </w:tc>
        <w:tc>
          <w:tcPr>
            <w:tcW w:w="388" w:type="pct"/>
            <w:tcBorders>
              <w:top w:val="nil"/>
              <w:bottom w:val="nil"/>
            </w:tcBorders>
            <w:shd w:val="clear" w:color="auto" w:fill="auto"/>
            <w:noWrap/>
            <w:hideMark/>
          </w:tcPr>
          <w:p w14:paraId="228EFDBE"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0,6</w:t>
            </w:r>
          </w:p>
        </w:tc>
        <w:tc>
          <w:tcPr>
            <w:tcW w:w="387" w:type="pct"/>
            <w:tcBorders>
              <w:top w:val="nil"/>
              <w:bottom w:val="nil"/>
            </w:tcBorders>
            <w:shd w:val="clear" w:color="auto" w:fill="auto"/>
            <w:noWrap/>
            <w:hideMark/>
          </w:tcPr>
          <w:p w14:paraId="62A92C80"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1,0</w:t>
            </w:r>
          </w:p>
        </w:tc>
        <w:tc>
          <w:tcPr>
            <w:tcW w:w="388" w:type="pct"/>
            <w:tcBorders>
              <w:top w:val="nil"/>
              <w:bottom w:val="nil"/>
            </w:tcBorders>
            <w:shd w:val="clear" w:color="auto" w:fill="auto"/>
            <w:noWrap/>
            <w:hideMark/>
          </w:tcPr>
          <w:p w14:paraId="0F1D1979"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0,9</w:t>
            </w:r>
          </w:p>
        </w:tc>
        <w:tc>
          <w:tcPr>
            <w:tcW w:w="387" w:type="pct"/>
            <w:tcBorders>
              <w:top w:val="nil"/>
              <w:bottom w:val="nil"/>
            </w:tcBorders>
            <w:shd w:val="clear" w:color="auto" w:fill="auto"/>
            <w:noWrap/>
            <w:hideMark/>
          </w:tcPr>
          <w:p w14:paraId="6A66EACE"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0,8</w:t>
            </w:r>
          </w:p>
        </w:tc>
        <w:tc>
          <w:tcPr>
            <w:tcW w:w="388" w:type="pct"/>
            <w:tcBorders>
              <w:top w:val="nil"/>
              <w:bottom w:val="nil"/>
            </w:tcBorders>
            <w:shd w:val="clear" w:color="auto" w:fill="auto"/>
            <w:noWrap/>
            <w:hideMark/>
          </w:tcPr>
          <w:p w14:paraId="094AD55A"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0,7</w:t>
            </w:r>
          </w:p>
        </w:tc>
        <w:tc>
          <w:tcPr>
            <w:tcW w:w="387" w:type="pct"/>
            <w:tcBorders>
              <w:top w:val="nil"/>
              <w:bottom w:val="nil"/>
            </w:tcBorders>
            <w:shd w:val="clear" w:color="auto" w:fill="auto"/>
            <w:noWrap/>
            <w:hideMark/>
          </w:tcPr>
          <w:p w14:paraId="16E7A27B"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0,6</w:t>
            </w:r>
          </w:p>
        </w:tc>
      </w:tr>
      <w:tr w:rsidR="001E3E7D" w:rsidRPr="007065E5" w14:paraId="544FA66B" w14:textId="77777777" w:rsidTr="008265F0">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left w:val="nil"/>
              <w:bottom w:val="nil"/>
              <w:right w:val="nil"/>
            </w:tcBorders>
            <w:shd w:val="clear" w:color="auto" w:fill="auto"/>
            <w:noWrap/>
            <w:vAlign w:val="center"/>
            <w:hideMark/>
          </w:tcPr>
          <w:p w14:paraId="75309129"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Јавни дуг у БДП</w:t>
            </w:r>
          </w:p>
        </w:tc>
        <w:tc>
          <w:tcPr>
            <w:tcW w:w="387" w:type="pct"/>
            <w:tcBorders>
              <w:top w:val="nil"/>
              <w:left w:val="nil"/>
              <w:bottom w:val="nil"/>
              <w:right w:val="nil"/>
            </w:tcBorders>
            <w:shd w:val="clear" w:color="auto" w:fill="auto"/>
            <w:noWrap/>
            <w:hideMark/>
          </w:tcPr>
          <w:p w14:paraId="633DD04C"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58,2</w:t>
            </w:r>
          </w:p>
        </w:tc>
        <w:tc>
          <w:tcPr>
            <w:tcW w:w="388" w:type="pct"/>
            <w:tcBorders>
              <w:top w:val="nil"/>
              <w:left w:val="nil"/>
              <w:bottom w:val="nil"/>
              <w:right w:val="nil"/>
            </w:tcBorders>
            <w:shd w:val="clear" w:color="auto" w:fill="auto"/>
            <w:noWrap/>
            <w:hideMark/>
          </w:tcPr>
          <w:p w14:paraId="556CDDEE"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60,0</w:t>
            </w:r>
          </w:p>
        </w:tc>
        <w:tc>
          <w:tcPr>
            <w:tcW w:w="387" w:type="pct"/>
            <w:tcBorders>
              <w:top w:val="nil"/>
              <w:left w:val="nil"/>
              <w:bottom w:val="nil"/>
              <w:right w:val="nil"/>
            </w:tcBorders>
            <w:shd w:val="clear" w:color="auto" w:fill="auto"/>
            <w:noWrap/>
            <w:hideMark/>
          </w:tcPr>
          <w:p w14:paraId="4C8AE9FF"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59,3</w:t>
            </w:r>
          </w:p>
        </w:tc>
        <w:tc>
          <w:tcPr>
            <w:tcW w:w="388" w:type="pct"/>
            <w:tcBorders>
              <w:top w:val="nil"/>
              <w:left w:val="nil"/>
              <w:bottom w:val="nil"/>
              <w:right w:val="nil"/>
            </w:tcBorders>
            <w:shd w:val="clear" w:color="auto" w:fill="auto"/>
            <w:noWrap/>
            <w:hideMark/>
          </w:tcPr>
          <w:p w14:paraId="083FC31E"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57,6</w:t>
            </w:r>
          </w:p>
        </w:tc>
        <w:tc>
          <w:tcPr>
            <w:tcW w:w="388" w:type="pct"/>
            <w:tcBorders>
              <w:top w:val="nil"/>
              <w:left w:val="nil"/>
              <w:bottom w:val="nil"/>
              <w:right w:val="nil"/>
            </w:tcBorders>
            <w:shd w:val="clear" w:color="auto" w:fill="auto"/>
            <w:noWrap/>
            <w:hideMark/>
          </w:tcPr>
          <w:p w14:paraId="112D0375"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55,5</w:t>
            </w:r>
          </w:p>
        </w:tc>
        <w:tc>
          <w:tcPr>
            <w:tcW w:w="387" w:type="pct"/>
            <w:tcBorders>
              <w:top w:val="nil"/>
              <w:left w:val="nil"/>
              <w:bottom w:val="nil"/>
              <w:right w:val="nil"/>
            </w:tcBorders>
            <w:shd w:val="clear" w:color="auto" w:fill="auto"/>
            <w:noWrap/>
            <w:hideMark/>
          </w:tcPr>
          <w:p w14:paraId="06EA63C4"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53,0</w:t>
            </w:r>
          </w:p>
        </w:tc>
        <w:tc>
          <w:tcPr>
            <w:tcW w:w="388" w:type="pct"/>
            <w:tcBorders>
              <w:top w:val="nil"/>
              <w:left w:val="nil"/>
              <w:bottom w:val="nil"/>
              <w:right w:val="nil"/>
            </w:tcBorders>
            <w:shd w:val="clear" w:color="auto" w:fill="auto"/>
            <w:noWrap/>
            <w:hideMark/>
          </w:tcPr>
          <w:p w14:paraId="69021BE2"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50,6</w:t>
            </w:r>
          </w:p>
        </w:tc>
        <w:tc>
          <w:tcPr>
            <w:tcW w:w="387" w:type="pct"/>
            <w:tcBorders>
              <w:top w:val="nil"/>
              <w:left w:val="nil"/>
              <w:bottom w:val="nil"/>
              <w:right w:val="nil"/>
            </w:tcBorders>
            <w:shd w:val="clear" w:color="auto" w:fill="auto"/>
            <w:noWrap/>
            <w:hideMark/>
          </w:tcPr>
          <w:p w14:paraId="10F4AA76"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48,3</w:t>
            </w:r>
          </w:p>
        </w:tc>
        <w:tc>
          <w:tcPr>
            <w:tcW w:w="388" w:type="pct"/>
            <w:tcBorders>
              <w:top w:val="nil"/>
              <w:left w:val="nil"/>
              <w:bottom w:val="nil"/>
              <w:right w:val="nil"/>
            </w:tcBorders>
            <w:shd w:val="clear" w:color="auto" w:fill="auto"/>
            <w:noWrap/>
            <w:hideMark/>
          </w:tcPr>
          <w:p w14:paraId="153C1FED"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46,1</w:t>
            </w:r>
          </w:p>
        </w:tc>
        <w:tc>
          <w:tcPr>
            <w:tcW w:w="387" w:type="pct"/>
            <w:tcBorders>
              <w:top w:val="nil"/>
              <w:left w:val="nil"/>
              <w:bottom w:val="nil"/>
              <w:right w:val="nil"/>
            </w:tcBorders>
            <w:shd w:val="clear" w:color="auto" w:fill="auto"/>
            <w:noWrap/>
            <w:hideMark/>
          </w:tcPr>
          <w:p w14:paraId="3EA17D45" w14:textId="77777777" w:rsidR="001E3E7D" w:rsidRPr="007065E5" w:rsidRDefault="001E3E7D" w:rsidP="008265F0">
            <w:pPr>
              <w:spacing w:after="160" w:line="259" w:lineRule="auto"/>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44,1</w:t>
            </w:r>
          </w:p>
        </w:tc>
      </w:tr>
      <w:tr w:rsidR="001E3E7D" w:rsidRPr="007065E5" w14:paraId="0FB93154" w14:textId="77777777" w:rsidTr="008265F0">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1125" w:type="pct"/>
            <w:tcBorders>
              <w:top w:val="nil"/>
              <w:bottom w:val="single" w:sz="4" w:space="0" w:color="002060"/>
            </w:tcBorders>
            <w:shd w:val="clear" w:color="auto" w:fill="auto"/>
            <w:noWrap/>
            <w:vAlign w:val="center"/>
            <w:hideMark/>
          </w:tcPr>
          <w:p w14:paraId="0EB0355C" w14:textId="77777777" w:rsidR="001E3E7D" w:rsidRPr="007065E5" w:rsidRDefault="001E3E7D" w:rsidP="008265F0">
            <w:pPr>
              <w:spacing w:after="160" w:line="259" w:lineRule="auto"/>
              <w:rPr>
                <w:rFonts w:ascii="Calibri" w:eastAsia="Times New Roman" w:hAnsi="Calibri" w:cs="Calibri"/>
                <w:bCs w:val="0"/>
                <w:color w:val="002060"/>
                <w:sz w:val="18"/>
                <w:szCs w:val="18"/>
                <w:lang w:val="sr-Cyrl-RS"/>
              </w:rPr>
            </w:pPr>
            <w:r w:rsidRPr="007065E5">
              <w:rPr>
                <w:rFonts w:ascii="Calibri" w:eastAsia="Times New Roman" w:hAnsi="Calibri" w:cs="Calibri"/>
                <w:b w:val="0"/>
                <w:bCs w:val="0"/>
                <w:color w:val="002060"/>
                <w:sz w:val="18"/>
                <w:szCs w:val="18"/>
                <w:lang w:val="sr-Cyrl-RS"/>
              </w:rPr>
              <w:t>БДП реални раст, %</w:t>
            </w:r>
          </w:p>
        </w:tc>
        <w:tc>
          <w:tcPr>
            <w:tcW w:w="387" w:type="pct"/>
            <w:tcBorders>
              <w:top w:val="nil"/>
              <w:bottom w:val="single" w:sz="4" w:space="0" w:color="002060"/>
            </w:tcBorders>
            <w:shd w:val="clear" w:color="auto" w:fill="auto"/>
            <w:noWrap/>
            <w:hideMark/>
          </w:tcPr>
          <w:p w14:paraId="18FBBFC6"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-1,0</w:t>
            </w:r>
          </w:p>
        </w:tc>
        <w:tc>
          <w:tcPr>
            <w:tcW w:w="388" w:type="pct"/>
            <w:tcBorders>
              <w:top w:val="nil"/>
              <w:bottom w:val="single" w:sz="4" w:space="0" w:color="002060"/>
            </w:tcBorders>
            <w:shd w:val="clear" w:color="auto" w:fill="auto"/>
            <w:noWrap/>
            <w:hideMark/>
          </w:tcPr>
          <w:p w14:paraId="0CF8CEFF"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6,0</w:t>
            </w:r>
          </w:p>
        </w:tc>
        <w:tc>
          <w:tcPr>
            <w:tcW w:w="387" w:type="pct"/>
            <w:tcBorders>
              <w:top w:val="nil"/>
              <w:bottom w:val="single" w:sz="4" w:space="0" w:color="002060"/>
            </w:tcBorders>
            <w:shd w:val="clear" w:color="auto" w:fill="auto"/>
            <w:noWrap/>
            <w:hideMark/>
          </w:tcPr>
          <w:p w14:paraId="4029CBBA"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8" w:type="pct"/>
            <w:tcBorders>
              <w:top w:val="nil"/>
              <w:bottom w:val="single" w:sz="4" w:space="0" w:color="002060"/>
            </w:tcBorders>
            <w:shd w:val="clear" w:color="auto" w:fill="auto"/>
            <w:noWrap/>
            <w:hideMark/>
          </w:tcPr>
          <w:p w14:paraId="1E79762A"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8" w:type="pct"/>
            <w:tcBorders>
              <w:top w:val="nil"/>
              <w:bottom w:val="single" w:sz="4" w:space="0" w:color="002060"/>
            </w:tcBorders>
            <w:shd w:val="clear" w:color="auto" w:fill="auto"/>
            <w:noWrap/>
            <w:hideMark/>
          </w:tcPr>
          <w:p w14:paraId="34B6E9B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7" w:type="pct"/>
            <w:tcBorders>
              <w:top w:val="nil"/>
              <w:bottom w:val="single" w:sz="4" w:space="0" w:color="002060"/>
            </w:tcBorders>
            <w:shd w:val="clear" w:color="auto" w:fill="auto"/>
            <w:noWrap/>
            <w:hideMark/>
          </w:tcPr>
          <w:p w14:paraId="68303398"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8" w:type="pct"/>
            <w:tcBorders>
              <w:top w:val="nil"/>
              <w:bottom w:val="single" w:sz="4" w:space="0" w:color="002060"/>
            </w:tcBorders>
            <w:shd w:val="clear" w:color="auto" w:fill="auto"/>
            <w:noWrap/>
            <w:hideMark/>
          </w:tcPr>
          <w:p w14:paraId="1C383792"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7" w:type="pct"/>
            <w:tcBorders>
              <w:top w:val="nil"/>
              <w:bottom w:val="single" w:sz="4" w:space="0" w:color="002060"/>
            </w:tcBorders>
            <w:shd w:val="clear" w:color="auto" w:fill="auto"/>
            <w:noWrap/>
            <w:hideMark/>
          </w:tcPr>
          <w:p w14:paraId="33B89E5A"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8" w:type="pct"/>
            <w:tcBorders>
              <w:top w:val="nil"/>
              <w:bottom w:val="single" w:sz="4" w:space="0" w:color="002060"/>
            </w:tcBorders>
            <w:shd w:val="clear" w:color="auto" w:fill="auto"/>
            <w:noWrap/>
            <w:hideMark/>
          </w:tcPr>
          <w:p w14:paraId="4C9FB305"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c>
          <w:tcPr>
            <w:tcW w:w="387" w:type="pct"/>
            <w:tcBorders>
              <w:top w:val="nil"/>
              <w:bottom w:val="single" w:sz="4" w:space="0" w:color="002060"/>
            </w:tcBorders>
            <w:shd w:val="clear" w:color="auto" w:fill="auto"/>
            <w:noWrap/>
            <w:hideMark/>
          </w:tcPr>
          <w:p w14:paraId="25A395DE" w14:textId="77777777" w:rsidR="001E3E7D" w:rsidRPr="007065E5" w:rsidRDefault="001E3E7D" w:rsidP="008265F0">
            <w:pPr>
              <w:spacing w:after="160" w:line="259" w:lineRule="auto"/>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Calibri"/>
                <w:color w:val="002060"/>
                <w:sz w:val="18"/>
                <w:szCs w:val="18"/>
                <w:lang w:val="sr-Cyrl-RS"/>
              </w:rPr>
            </w:pPr>
            <w:r w:rsidRPr="007065E5">
              <w:rPr>
                <w:rFonts w:asciiTheme="minorHAnsi" w:eastAsia="Times New Roman" w:hAnsiTheme="minorHAnsi" w:cs="Calibri"/>
                <w:color w:val="002060"/>
                <w:sz w:val="18"/>
                <w:szCs w:val="18"/>
                <w:lang w:val="sr-Cyrl-RS"/>
              </w:rPr>
              <w:t>4,0</w:t>
            </w:r>
          </w:p>
        </w:tc>
      </w:tr>
    </w:tbl>
    <w:p w14:paraId="4EA62886" w14:textId="77777777" w:rsidR="001E3E7D" w:rsidRPr="007662F2" w:rsidRDefault="001E3E7D" w:rsidP="00B523F9">
      <w:pPr>
        <w:spacing w:after="80"/>
        <w:jc w:val="left"/>
        <w:rPr>
          <w:rFonts w:ascii="Calibri" w:eastAsia="MS PGothic" w:hAnsi="Calibri" w:cs="Calibri"/>
          <w:sz w:val="16"/>
          <w:szCs w:val="16"/>
          <w:lang w:val="sr-Cyrl-RS" w:eastAsia="ja-JP"/>
        </w:rPr>
      </w:pPr>
      <w:r w:rsidRPr="007662F2">
        <w:rPr>
          <w:rFonts w:ascii="Calibri" w:eastAsia="MS PGothic" w:hAnsi="Calibri" w:cs="Calibri"/>
          <w:sz w:val="16"/>
          <w:szCs w:val="16"/>
          <w:lang w:val="sr-Cyrl-RS" w:eastAsia="ja-JP"/>
        </w:rPr>
        <w:t xml:space="preserve">Извор: </w:t>
      </w:r>
      <w:r w:rsidRPr="007662F2">
        <w:rPr>
          <w:rFonts w:ascii="Calibri" w:eastAsia="Calibri" w:hAnsi="Calibri" w:cs="Calibri"/>
          <w:sz w:val="16"/>
          <w:szCs w:val="20"/>
          <w:lang w:val="sr-Cyrl-RS"/>
        </w:rPr>
        <w:t>Министарство финансија</w:t>
      </w:r>
    </w:p>
    <w:p w14:paraId="576D81AF" w14:textId="77777777" w:rsidR="001E3E7D" w:rsidRPr="007662F2" w:rsidRDefault="001E3E7D" w:rsidP="00B523F9">
      <w:pPr>
        <w:spacing w:after="80"/>
        <w:rPr>
          <w:rFonts w:ascii="Calibri" w:eastAsia="Calibri" w:hAnsi="Calibri" w:cs="Calibri"/>
          <w:szCs w:val="20"/>
          <w:lang w:val="sr-Cyrl-RS" w:eastAsia="ja-JP"/>
        </w:rPr>
        <w:sectPr w:rsidR="001E3E7D" w:rsidRPr="007662F2" w:rsidSect="00AE40EB">
          <w:type w:val="continuous"/>
          <w:pgSz w:w="12240" w:h="15840" w:code="1"/>
          <w:pgMar w:top="1417" w:right="1417" w:bottom="1417" w:left="1417" w:header="720" w:footer="720" w:gutter="0"/>
          <w:cols w:space="720"/>
        </w:sectPr>
      </w:pPr>
    </w:p>
    <w:p w14:paraId="1F14EAB9"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 xml:space="preserve">Основним сценаријем предвиђено је спуштање јавног дуга на око 45% БДП у 2029. години. </w:t>
      </w:r>
      <w:r w:rsidRPr="007662F2">
        <w:rPr>
          <w:rFonts w:ascii="Calibri" w:eastAsia="Calibri" w:hAnsi="Calibri" w:cs="Calibri"/>
          <w:spacing w:val="-2"/>
          <w:szCs w:val="20"/>
          <w:lang w:val="sr-Cyrl-RS"/>
        </w:rPr>
        <w:t xml:space="preserve">На графикону су приказане симулације алтернативних сценарија кретања јавног дуга, у зависности од промена одређених претпоставки у основном сценарију. </w:t>
      </w:r>
      <w:r w:rsidRPr="007662F2">
        <w:rPr>
          <w:rFonts w:ascii="Calibri" w:eastAsia="Calibri" w:hAnsi="Calibri" w:cs="Calibri"/>
          <w:szCs w:val="20"/>
          <w:lang w:val="sr-Cyrl-RS"/>
        </w:rPr>
        <w:t>Ради бољег поређења, извршена је варијација само једне варијабле, као фактора ризика који утиче на ниво дуга.</w:t>
      </w:r>
    </w:p>
    <w:p w14:paraId="007D6E03" w14:textId="77777777" w:rsidR="001E3E7D" w:rsidRPr="007662F2" w:rsidRDefault="001E3E7D" w:rsidP="008265F0">
      <w:pPr>
        <w:rPr>
          <w:rFonts w:ascii="Calibri" w:eastAsia="Calibri" w:hAnsi="Calibri" w:cs="Calibri"/>
          <w:szCs w:val="20"/>
          <w:lang w:val="sr-Cyrl-RS"/>
        </w:rPr>
      </w:pPr>
      <w:r w:rsidRPr="007662F2">
        <w:rPr>
          <w:rFonts w:ascii="Calibri" w:eastAsia="Calibri" w:hAnsi="Calibri" w:cs="Calibri"/>
          <w:szCs w:val="20"/>
          <w:lang w:val="sr-Cyrl-RS"/>
        </w:rPr>
        <w:t>Сценарио ''успорени раст након 2024'' подразумева просечан реални раст БДП од око 0,7% у посматраном периоду, уз исти ниво фискалног дефицита у односу на основни сценарио. Ово не подразумева и исти ниво фискалног прилагођавања, јер је потребна већа акомодација на расходној страни у ситуацијама када се бележи нижи привредни раст. На крају 2029. године, јавни дуг према овом сценарију достиже ниво од 51,2% БДП. Једна од опасности коју носи сценарио продуженог успореног раста, лежи у томе што и поред одржавања нивоа фискалног дефицита на ниском нивоу, ниво јавног дуга не пада довољно брзо. Са друге стране, успорени раст, путем аутоматских стабилизатора, продукује више нивое фискалног дефицита, па су неопходна већа смањења расхода како би се задржала опадајућа путања учешћа јавног дуга. Присутан је ризик уласка у спиралу успореног раста и неопходност додатних мера штедње. И поред ових ризика, сценарио омогућава постепено смањење учешћа јавног дуга, али не и достизање нивоа од 45% у посматраном року, при осталим датим претпоставкама.</w:t>
      </w:r>
    </w:p>
    <w:p w14:paraId="66F22268" w14:textId="77777777" w:rsidR="001E3E7D" w:rsidRPr="007662F2" w:rsidRDefault="00B523F9" w:rsidP="00312CEA">
      <w:pPr>
        <w:spacing w:after="0"/>
        <w:jc w:val="center"/>
        <w:rPr>
          <w:rFonts w:cstheme="minorHAnsi"/>
          <w:b/>
          <w:color w:val="002060"/>
          <w:lang w:val="sr-Cyrl-RS"/>
        </w:rPr>
      </w:pPr>
      <w:r>
        <w:rPr>
          <w:rFonts w:cstheme="minorHAnsi"/>
          <w:b/>
          <w:color w:val="002060"/>
          <w:lang w:val="sr-Cyrl-RS"/>
        </w:rPr>
        <w:br w:type="column"/>
      </w:r>
      <w:r w:rsidR="001E3E7D" w:rsidRPr="007662F2">
        <w:rPr>
          <w:rFonts w:cstheme="minorHAnsi"/>
          <w:b/>
          <w:color w:val="002060"/>
          <w:lang w:val="sr-Cyrl-RS"/>
        </w:rPr>
        <w:t>Поређење различитих сценарија и утицај на висину јавног дуга, % БДП</w:t>
      </w:r>
    </w:p>
    <w:p w14:paraId="721EEE42" w14:textId="77777777" w:rsidR="001E3E7D" w:rsidRPr="007662F2" w:rsidRDefault="001E3E7D" w:rsidP="00312CEA">
      <w:pPr>
        <w:spacing w:after="0" w:line="276" w:lineRule="auto"/>
        <w:rPr>
          <w:lang w:val="sr-Cyrl-RS"/>
        </w:rPr>
      </w:pPr>
      <w:r w:rsidRPr="007662F2">
        <w:rPr>
          <w:noProof/>
        </w:rPr>
        <w:drawing>
          <wp:inline distT="0" distB="0" distL="0" distR="0" wp14:anchorId="1FC235BD" wp14:editId="7894519F">
            <wp:extent cx="2743200" cy="1815152"/>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7A756A9" w14:textId="77777777" w:rsidR="001E3E7D" w:rsidRPr="00B523F9" w:rsidRDefault="001E3E7D" w:rsidP="00B523F9">
      <w:pPr>
        <w:spacing w:after="120"/>
        <w:rPr>
          <w:rFonts w:ascii="Calibri" w:eastAsia="Calibri" w:hAnsi="Calibri" w:cs="Calibri"/>
          <w:spacing w:val="-4"/>
          <w:szCs w:val="20"/>
          <w:lang w:val="sr-Cyrl-RS"/>
        </w:rPr>
      </w:pPr>
      <w:r w:rsidRPr="00B523F9">
        <w:rPr>
          <w:rFonts w:ascii="Calibri" w:eastAsia="Calibri" w:hAnsi="Calibri" w:cs="Calibri"/>
          <w:spacing w:val="-4"/>
          <w:szCs w:val="20"/>
          <w:lang w:val="sr-Cyrl-RS"/>
        </w:rPr>
        <w:t>Сценарио „фискална експанзија након 2024. године” подразумева значајније одступање од садашњег средњорочно постављеног циља фискалне политике и достизање фискалног дефицита од 3%. У овом случају, учешће јавног дуга у БДП у највећој мери стагнира да би у 2029. години достигло 55,1% БДП. Јавни дуг не достиже законску границу од 45% БДП, а ниво испод 60% одржава се у целом посматраном периоду. И поред значајног погоршања фискалних перформанси, овај сценарио подразумева и даље присутан примарни фискални резултат који омогућава релативну стабилност учешћа дуга при датим позитивним стопама раста БДП.</w:t>
      </w:r>
    </w:p>
    <w:p w14:paraId="59B44E76" w14:textId="77777777" w:rsidR="001E3E7D" w:rsidRPr="006C766D" w:rsidRDefault="001E3E7D" w:rsidP="00B523F9">
      <w:pPr>
        <w:spacing w:after="120"/>
      </w:pPr>
      <w:r w:rsidRPr="00B523F9">
        <w:rPr>
          <w:rFonts w:ascii="Calibri" w:eastAsia="Calibri" w:hAnsi="Calibri" w:cs="Calibri"/>
          <w:spacing w:val="-2"/>
          <w:szCs w:val="20"/>
          <w:lang w:val="sr-Cyrl-RS"/>
        </w:rPr>
        <w:t>Сценарио који комбинује мањи реални раст БДП и подизање нивоа фискалног дефицита у просеку од 3% БДП има најнеповољнију путању јавног дуга. При томе једино у овом сценарију дуг има изразито растућу путању у периоду након 2024. године, а учешће јавног дуга почиње да убрзава ка нивоу значајно изнад 60% БДП на крају посматраног периода.</w:t>
      </w:r>
      <w:r w:rsidRPr="00EA3D8C">
        <w:rPr>
          <w:rFonts w:cstheme="minorHAnsi"/>
          <w:b/>
          <w:sz w:val="26"/>
          <w:szCs w:val="26"/>
          <w:lang w:val="sr-Cyrl-RS"/>
        </w:rPr>
        <w:br w:type="page"/>
      </w:r>
    </w:p>
    <w:p w14:paraId="7532E020" w14:textId="77777777" w:rsidR="00645E43" w:rsidRPr="002863EF" w:rsidRDefault="00645E43" w:rsidP="006C766D">
      <w:pPr>
        <w:spacing w:after="0"/>
        <w:rPr>
          <w:sz w:val="12"/>
          <w:lang w:val="sr-Cyrl-RS"/>
        </w:rPr>
      </w:pPr>
      <w:bookmarkStart w:id="43" w:name="_Toc56667082"/>
    </w:p>
    <w:p w14:paraId="3BCD34F8" w14:textId="77777777" w:rsidR="006C766D" w:rsidRPr="002863EF" w:rsidRDefault="006C766D" w:rsidP="006C766D">
      <w:pPr>
        <w:spacing w:after="0"/>
        <w:rPr>
          <w:sz w:val="12"/>
          <w:lang w:val="sr-Cyrl-RS"/>
        </w:rPr>
        <w:sectPr w:rsidR="006C766D" w:rsidRPr="002863EF" w:rsidSect="008265F0">
          <w:headerReference w:type="even" r:id="rId146"/>
          <w:footerReference w:type="even" r:id="rId147"/>
          <w:footerReference w:type="default" r:id="rId148"/>
          <w:headerReference w:type="first" r:id="rId149"/>
          <w:type w:val="continuous"/>
          <w:pgSz w:w="12240" w:h="15840" w:code="1"/>
          <w:pgMar w:top="1440" w:right="1440" w:bottom="1440" w:left="1440" w:header="720" w:footer="720" w:gutter="0"/>
          <w:cols w:num="2" w:space="720"/>
          <w:docGrid w:linePitch="360"/>
        </w:sectPr>
      </w:pPr>
    </w:p>
    <w:p w14:paraId="4A75E5FC" w14:textId="77777777" w:rsidR="001E3E7D" w:rsidRPr="00EA3D8C" w:rsidRDefault="001E3E7D" w:rsidP="002863EF">
      <w:pPr>
        <w:pStyle w:val="Heading1"/>
        <w:spacing w:before="0" w:after="240"/>
        <w:jc w:val="center"/>
        <w:rPr>
          <w:rFonts w:asciiTheme="minorHAnsi" w:hAnsiTheme="minorHAnsi" w:cstheme="minorHAnsi"/>
          <w:b/>
          <w:sz w:val="26"/>
          <w:szCs w:val="26"/>
          <w:lang w:val="sr-Cyrl-RS"/>
        </w:rPr>
      </w:pPr>
      <w:bookmarkStart w:id="44" w:name="_Toc73364974"/>
      <w:r w:rsidRPr="00EA3D8C">
        <w:rPr>
          <w:rFonts w:asciiTheme="minorHAnsi" w:hAnsiTheme="minorHAnsi" w:cstheme="minorHAnsi"/>
          <w:b/>
          <w:sz w:val="26"/>
          <w:szCs w:val="26"/>
          <w:lang w:val="sr-Cyrl-RS"/>
        </w:rPr>
        <w:t>III. СТРАТЕГИЈ</w:t>
      </w:r>
      <w:r>
        <w:rPr>
          <w:rFonts w:asciiTheme="minorHAnsi" w:hAnsiTheme="minorHAnsi" w:cstheme="minorHAnsi"/>
          <w:b/>
          <w:sz w:val="26"/>
          <w:szCs w:val="26"/>
          <w:lang w:val="sr-Cyrl-RS"/>
        </w:rPr>
        <w:t>А УПРАВЉАЊА ЈАВНИМ ДУГОМ ОД 2022. ДО 2024</w:t>
      </w:r>
      <w:r w:rsidRPr="00EA3D8C">
        <w:rPr>
          <w:rFonts w:asciiTheme="minorHAnsi" w:hAnsiTheme="minorHAnsi" w:cstheme="minorHAnsi"/>
          <w:b/>
          <w:sz w:val="26"/>
          <w:szCs w:val="26"/>
          <w:lang w:val="sr-Cyrl-RS"/>
        </w:rPr>
        <w:t>. ГОДИНЕ</w:t>
      </w:r>
      <w:bookmarkEnd w:id="11"/>
      <w:bookmarkEnd w:id="43"/>
      <w:bookmarkEnd w:id="44"/>
    </w:p>
    <w:p w14:paraId="2804D0DC" w14:textId="77777777" w:rsidR="001E3E7D" w:rsidRPr="00EA3D8C" w:rsidRDefault="001E3E7D" w:rsidP="006C766D">
      <w:pPr>
        <w:spacing w:after="120" w:line="276" w:lineRule="auto"/>
        <w:jc w:val="center"/>
        <w:rPr>
          <w:rFonts w:ascii="Calibri" w:eastAsia="Calibri" w:hAnsi="Calibri" w:cs="Calibri"/>
          <w:color w:val="2F5496" w:themeColor="accent1" w:themeShade="BF"/>
          <w:szCs w:val="20"/>
          <w:lang w:val="sr-Cyrl-RS"/>
        </w:rPr>
        <w:sectPr w:rsidR="001E3E7D" w:rsidRPr="00EA3D8C" w:rsidSect="00645E43">
          <w:type w:val="continuous"/>
          <w:pgSz w:w="12240" w:h="15840" w:code="1"/>
          <w:pgMar w:top="1440" w:right="1440" w:bottom="1440" w:left="1440" w:header="720" w:footer="720" w:gutter="0"/>
          <w:cols w:space="720"/>
          <w:docGrid w:linePitch="360"/>
        </w:sectPr>
      </w:pPr>
    </w:p>
    <w:p w14:paraId="5BCD595E"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Према Закону о јавном дугу, као правном основу задуживања Републике Србије, јавни дуг чине све директне обавезе Републике по основу задуживања, као и гаранције издате од Републике за задуживање јавних предузећа и јединица локалне самоуправе, као и других правних лица. </w:t>
      </w:r>
      <w:r w:rsidRPr="00A173E9">
        <w:rPr>
          <w:rFonts w:ascii="Calibri" w:eastAsia="Calibri" w:hAnsi="Calibri" w:cs="Calibri"/>
          <w:bCs/>
          <w:spacing w:val="-2"/>
          <w:szCs w:val="72"/>
          <w:lang w:val="sr-Cyrl-RS"/>
        </w:rPr>
        <w:t>Република се може задуживати у домаћој и страној валути, ради финансирања буџетског дефицита, дефицита текуће ликвидности, рефинансирања неизмиреног дуга, за финансирање инвестиционих пројеката, као и за извршавање обавеза по датим гаранцијама.</w:t>
      </w:r>
      <w:r w:rsidRPr="00A173E9">
        <w:rPr>
          <w:rFonts w:ascii="Calibri" w:eastAsia="Calibri" w:hAnsi="Calibri" w:cs="Calibri"/>
          <w:bCs/>
          <w:szCs w:val="72"/>
          <w:lang w:val="sr-Cyrl-RS"/>
        </w:rPr>
        <w:t xml:space="preserve"> Одредбама Закона о јавном дугу назначено је да јавни дуг представља безусловну и неопозиву обавезу Републике Србије у односу на отплату главнице, камате и осталих припадајућих трошкова.</w:t>
      </w:r>
    </w:p>
    <w:p w14:paraId="6FEA55FE"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За формулисање Стратегије за управљање јавним дугом коришћен је квантитативни приступ, идентификујући могућа ограничења кроз макро-економске показатеље, анализу трошкова и ризика и тржишних услова који утичу на управљање јавним дугом. У сврху анализе коришћени су инструменти финансирања доступни на домаћем и међународном финансијском тржишту. Стратегија управљања јавним дугом заснива се на принципима који дефинишу потребу за транспарентним и предвидивим процесом задуживања, уз перманентан развој тржишта државних хартија од вредности и прихватљив ниво изложености финансијским ризицима.</w:t>
      </w:r>
    </w:p>
    <w:p w14:paraId="0BF1F23B"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Анализирајући могуће стратегије задуживања, модел Светске банке MTDS указује да структура задуживања која се заснивала на хартијама од вредности емитованим у динарима и еврима, и делимично из концесионалних извора финансирања, представља најприхватљивију опцију са аспекта трошкова (ризика). Ситуација на међународном и домаћем финансијском тржишту, успешна примена мера фискалне консолидације уз добру координацију фискалне и монетарне политике довела је до значајног пада трошкова задуживања на динарским и евро деноминованим хартијама од вредности у последњих неколико година и смањивања ризико </w:t>
      </w:r>
      <w:r w:rsidRPr="00A173E9">
        <w:rPr>
          <w:rFonts w:ascii="Calibri" w:eastAsia="Calibri" w:hAnsi="Calibri" w:cs="Calibri"/>
          <w:bCs/>
          <w:szCs w:val="72"/>
          <w:lang w:val="sr-Cyrl-RS"/>
        </w:rPr>
        <w:t>премије за српске државне хартије од вредности на историјски минимум.</w:t>
      </w:r>
    </w:p>
    <w:p w14:paraId="5BE665C6"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Фискална стратегија предвиђа смањење јавног дуга општег нивоа државе до краја 2024. године на ниво од 55,5% БДП, при чему се у складу са Смерницама управљања јавним дугом дефинисаним од стране Светске банке и ММФ, у оквиру Стратегије управљања јавним дугом врши стрес-сценарио анализа утицаја промене девизног курса домаће валуте у односу на валуте у којима је деноминован јавни дуг Републике Србије.</w:t>
      </w:r>
    </w:p>
    <w:p w14:paraId="30DB3A71" w14:textId="77777777" w:rsidR="001E3E7D" w:rsidRPr="00A173E9" w:rsidRDefault="001E3E7D" w:rsidP="00A55F27">
      <w:pPr>
        <w:spacing w:line="254" w:lineRule="auto"/>
        <w:rPr>
          <w:rFonts w:ascii="Calibri" w:eastAsia="Calibri" w:hAnsi="Calibri" w:cs="Calibri"/>
          <w:bCs/>
          <w:szCs w:val="72"/>
          <w:lang w:val="sr-Latn-RS"/>
        </w:rPr>
      </w:pPr>
      <w:r w:rsidRPr="00A173E9">
        <w:rPr>
          <w:rFonts w:ascii="Calibri" w:eastAsia="Calibri" w:hAnsi="Calibri" w:cs="Calibri"/>
          <w:bCs/>
          <w:szCs w:val="72"/>
          <w:lang w:val="sr-Cyrl-RS"/>
        </w:rPr>
        <w:t>У последњих осам година учињен је значајан напредак у погледу повећања просечне рочности динарских државних хартија од вредности и смањења трошкова финансирања по основу овог вида задуживања, чиме је смањена изложеност ризику рефинансирања. Битно је напоменути да је у наведеном периоду просечна купонска стопа динарских државних хартија од вредности смањена са 13,68%, колико је износила на крају 2012. године, на 4,65% на крају марта 2021. године.</w:t>
      </w:r>
    </w:p>
    <w:p w14:paraId="655DCEE6"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Стратегијом управљања јавним дугом се дефинишу основне мере за даљи наставак развоја динарског тржишта државних хартија од вредности. Развојем овог тржишта очекује се да ће доћи до раста унутрашњег дуга и повећања његовог учешћа у укупном дугу, као и смањењу изложености јавног дуга према девизном ризику, што ће позитивно утицати на повећање кредитног рејтинга Републике Србије.</w:t>
      </w:r>
    </w:p>
    <w:p w14:paraId="5AD74331"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Након успешно спроведених мера фискалне консолидације у 2016. години је преокренута растућа путања кретања јавног дуга и учешће јавног дуга у БДП-у, те долази до пада учешћа са 70,0% БДП-а колико је износило на централном нивоу власти крају 2015. године на 67,7% на крају 2016. године. Током 2017. године дошло је до још значајнијег пада на 57,8% БДП. Тренд је настављен и током 2018. године када удео јавног дуга у БДП пада на 53,6% док се на крају 2019. године учешће јавног дуга у БДП додатно смањује на 52,0% БДП-а. Услед потребе да се финансирају мере подршке привреди и грађанима како би се смањио утицај </w:t>
      </w:r>
      <w:r w:rsidRPr="00A173E9">
        <w:rPr>
          <w:rFonts w:ascii="Calibri" w:eastAsia="Calibri" w:hAnsi="Calibri" w:cs="Calibri"/>
          <w:bCs/>
          <w:szCs w:val="72"/>
          <w:lang w:val="sr-Cyrl-RS"/>
        </w:rPr>
        <w:lastRenderedPageBreak/>
        <w:t xml:space="preserve">кризе изазване пандемијом вируса COVID-19, од априла 2020. године долази до благог раста јавног дуга и на крају 2020. године </w:t>
      </w:r>
      <w:r w:rsidRPr="00A173E9">
        <w:rPr>
          <w:rFonts w:ascii="Calibri" w:eastAsia="Calibri" w:hAnsi="Calibri" w:cs="Calibri"/>
          <w:bCs/>
          <w:szCs w:val="72"/>
          <w:lang w:val="sr-Latn-RS"/>
        </w:rPr>
        <w:t xml:space="preserve">његово учешће у БДП је износило 57,4%, док је </w:t>
      </w:r>
      <w:r w:rsidRPr="00A173E9">
        <w:rPr>
          <w:rFonts w:ascii="Calibri" w:eastAsia="Calibri" w:hAnsi="Calibri" w:cs="Calibri"/>
          <w:bCs/>
          <w:szCs w:val="72"/>
          <w:lang w:val="sr-Cyrl-RS"/>
        </w:rPr>
        <w:t>на крају марта 2021. године учешће смањено на 55,7%.</w:t>
      </w:r>
    </w:p>
    <w:p w14:paraId="0F398F63"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Услед појачане контроле издавања гаранција претходних година је преполовљен гарантовани јавни дуг, који је пао са 2,8 милијарде EUR колико је из</w:t>
      </w:r>
      <w:r w:rsidR="00A55F27">
        <w:rPr>
          <w:rFonts w:ascii="Calibri" w:eastAsia="Calibri" w:hAnsi="Calibri" w:cs="Calibri"/>
          <w:bCs/>
          <w:szCs w:val="72"/>
          <w:lang w:val="sr-Cyrl-RS"/>
        </w:rPr>
        <w:t xml:space="preserve">носио на крају 2013. године на </w:t>
      </w:r>
      <w:r w:rsidRPr="00A173E9">
        <w:rPr>
          <w:rFonts w:ascii="Calibri" w:eastAsia="Calibri" w:hAnsi="Calibri" w:cs="Calibri"/>
          <w:bCs/>
          <w:szCs w:val="72"/>
          <w:lang w:val="sr-Cyrl-RS"/>
        </w:rPr>
        <w:t>1,4 милијарди EUR на крају марта 2021. године.</w:t>
      </w:r>
    </w:p>
    <w:p w14:paraId="2E3E819D"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Позитивни фискални резултати које остварује Република Србија потврђени су и повећањем кредитног рејтинга у 2019.</w:t>
      </w:r>
      <w:r w:rsidRPr="00A173E9">
        <w:rPr>
          <w:rFonts w:ascii="Calibri" w:eastAsia="Calibri" w:hAnsi="Calibri" w:cs="Calibri"/>
          <w:bCs/>
          <w:szCs w:val="72"/>
          <w:lang w:val="sr-Latn-RS"/>
        </w:rPr>
        <w:t xml:space="preserve"> </w:t>
      </w:r>
      <w:r w:rsidRPr="00A173E9">
        <w:rPr>
          <w:rFonts w:ascii="Calibri" w:eastAsia="Calibri" w:hAnsi="Calibri" w:cs="Calibri"/>
          <w:bCs/>
          <w:szCs w:val="72"/>
          <w:lang w:val="sr-Cyrl-RS"/>
        </w:rPr>
        <w:t xml:space="preserve">године </w:t>
      </w:r>
      <w:r w:rsidR="00103068">
        <w:rPr>
          <w:rFonts w:ascii="Calibri" w:eastAsia="Calibri" w:hAnsi="Calibri" w:cs="Calibri"/>
          <w:bCs/>
          <w:szCs w:val="72"/>
          <w:lang w:val="sr-Cyrl-RS"/>
        </w:rPr>
        <w:t>од стране две рејтинг агенције.</w:t>
      </w:r>
      <w:r w:rsidRPr="00A173E9">
        <w:rPr>
          <w:rFonts w:ascii="Calibri" w:eastAsia="Calibri" w:hAnsi="Calibri" w:cs="Calibri"/>
          <w:bCs/>
          <w:szCs w:val="72"/>
          <w:lang w:val="sr-Cyrl-RS"/>
        </w:rPr>
        <w:t xml:space="preserve"> Fitch Ratings и Standard and Poor’s су повећале рејтинг Србије на ББ+ са ББ, док је рејтинг агенција Moody’s поправила изглед за повећање кредитног рејтинга Републике Србије са стабилног на позитивни. Рејтинг агенције су током 2020. године великом броју земаља смањиле кредитни рејтинг, док је Република Србија остала у групи земаља којима је кредитни рејтинг остао непромењен. Услед веома успешног одговора на кризу изазвану пандемијом вируса COVID-19 и очувања макроекономске стабилности током јако тешке и изазовне 2020. године, рејтинг агенција Moody’s је у марту 2021. године повећала кредитни рејтинг Републике Србије на Ба2 са Ба3.</w:t>
      </w:r>
    </w:p>
    <w:p w14:paraId="2EFF23CD"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Република Србија је током 2020. године у два наврата емитовала еврообвезнице да би финансирала пакет мера помоћи привреди и грађанима како би се минимизирао утицај кризе изазване пандемијом вируса COVID-19 и превремено отплатиле раније </w:t>
      </w:r>
      <w:r w:rsidR="00F752BB">
        <w:rPr>
          <w:rFonts w:ascii="Calibri" w:eastAsia="Calibri" w:hAnsi="Calibri" w:cs="Calibri"/>
          <w:bCs/>
          <w:szCs w:val="72"/>
          <w:lang w:val="sr-Cyrl-RS"/>
        </w:rPr>
        <w:t xml:space="preserve">емитоване скупе еврообвезнице. </w:t>
      </w:r>
      <w:r w:rsidRPr="00A173E9">
        <w:rPr>
          <w:rFonts w:ascii="Calibri" w:eastAsia="Calibri" w:hAnsi="Calibri" w:cs="Calibri"/>
          <w:bCs/>
          <w:szCs w:val="72"/>
          <w:lang w:val="sr-Cyrl-RS"/>
        </w:rPr>
        <w:t>Прва емисија еврообвезница је била 7. маја 2020. године, у еврима, у најделикатнијем тренутку у првом таласу пандемије, у укупном износу од 2,0 милијарде EUR. Купо</w:t>
      </w:r>
      <w:r w:rsidR="00F752BB">
        <w:rPr>
          <w:rFonts w:ascii="Calibri" w:eastAsia="Calibri" w:hAnsi="Calibri" w:cs="Calibri"/>
          <w:bCs/>
          <w:szCs w:val="72"/>
          <w:lang w:val="sr-Cyrl-RS"/>
        </w:rPr>
        <w:t xml:space="preserve">нска стопа је износила 3,125%, </w:t>
      </w:r>
      <w:r w:rsidRPr="00A173E9">
        <w:rPr>
          <w:rFonts w:ascii="Calibri" w:eastAsia="Calibri" w:hAnsi="Calibri" w:cs="Calibri"/>
          <w:bCs/>
          <w:szCs w:val="72"/>
          <w:lang w:val="sr-Cyrl-RS"/>
        </w:rPr>
        <w:t xml:space="preserve">доспева 2027. године и листирана је на Лондонској берзи, једном од највећих и најрепрезентативнијих тржишта на свету. Друга емисија еврообвезница је била 1. децембра 2020. године, у укупном износу од 1,2 милијарде америчких долара са доспећем 2030. године. Купонска стопа је износила 2,125%, а финална каматна стопа у еврима, након реализације хеџинг трансакције 1,066%. Повратак на доларско тржиште хартија, и нова емисија деноминована у доларима, омогућава Србији да </w:t>
      </w:r>
      <w:r w:rsidRPr="00A173E9">
        <w:rPr>
          <w:rFonts w:ascii="Calibri" w:eastAsia="Calibri" w:hAnsi="Calibri" w:cs="Calibri"/>
          <w:bCs/>
          <w:szCs w:val="72"/>
          <w:lang w:val="sr-Cyrl-RS"/>
        </w:rPr>
        <w:t xml:space="preserve">остане присутна у индексу обвезница тржишта у развоју – EMBI Index, чиме се осигурава њена видљивост на америчком тржишту капитала, као и на широј међународној инвестиционој мапи. Средствима емисије еврообвезница из децембра 2020. године извршeна je превремена отплата 900 милиона долара еврообвезница емитованих 2011. године, од укупно 1,6 милијарде долара колико је доспевало у септембру 2021. године, тако да сада преостали износ до доспећа 28. септембра 2021. године износи 700 милиона долара. Превремено су откупљене обвезнице које су биле емитоване по купонској стопи од чак 7,25%. Република Србија је 24. фебруара 2021. године успешно искористила још увек повољне услове на међународном финансијском тржишту и по први пут емитовала дванаестогодишње државне обвезнице деноминоване у еврима у износу од једне милијарде евра </w:t>
      </w:r>
      <w:r w:rsidRPr="00A173E9">
        <w:rPr>
          <w:rFonts w:ascii="Calibri" w:eastAsia="Calibri" w:hAnsi="Calibri" w:cs="Times New Roman"/>
          <w:lang w:val="sr-Cyrl-RS"/>
        </w:rPr>
        <w:t>по купонској стопи од 1,65% и на тај начин додатно повећала рочност дуга.</w:t>
      </w:r>
    </w:p>
    <w:p w14:paraId="0D0D390E"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Водећи се најбољом међународном праксом активног управљања јавним дугом, Република Србија је у дец</w:t>
      </w:r>
      <w:r w:rsidR="00103068">
        <w:rPr>
          <w:rFonts w:ascii="Calibri" w:eastAsia="Calibri" w:hAnsi="Calibri" w:cs="Calibri"/>
          <w:bCs/>
          <w:szCs w:val="72"/>
          <w:lang w:val="sr-Cyrl-RS"/>
        </w:rPr>
        <w:t xml:space="preserve">ембру 2020. године по први пут </w:t>
      </w:r>
      <w:r w:rsidRPr="00A173E9">
        <w:rPr>
          <w:rFonts w:ascii="Calibri" w:eastAsia="Calibri" w:hAnsi="Calibri" w:cs="Calibri"/>
          <w:bCs/>
          <w:szCs w:val="72"/>
          <w:lang w:val="sr-Cyrl-RS"/>
        </w:rPr>
        <w:t xml:space="preserve">реализовала хеџинг трансакцију, тј. коришћење финансијских деривата у сврху заштите од девизног и каматног ризика, у складу са међународно препознатим </w:t>
      </w:r>
      <w:r w:rsidRPr="00A173E9">
        <w:rPr>
          <w:rFonts w:ascii="Calibri" w:eastAsia="Calibri" w:hAnsi="Calibri" w:cs="Calibri"/>
          <w:bCs/>
          <w:szCs w:val="72"/>
          <w:lang w:val="sr-Latn-RS"/>
        </w:rPr>
        <w:t>ISDA</w:t>
      </w:r>
      <w:r w:rsidRPr="00A173E9">
        <w:rPr>
          <w:rFonts w:ascii="Calibri" w:eastAsia="Calibri" w:hAnsi="Calibri" w:cs="Calibri"/>
          <w:bCs/>
          <w:szCs w:val="72"/>
          <w:lang w:val="sr-Cyrl-RS"/>
        </w:rPr>
        <w:t xml:space="preserve"> стандардима (</w:t>
      </w:r>
      <w:r w:rsidRPr="006C766D">
        <w:rPr>
          <w:rFonts w:ascii="Calibri" w:eastAsia="Calibri" w:hAnsi="Calibri" w:cs="Calibri"/>
          <w:bCs/>
          <w:i/>
          <w:szCs w:val="72"/>
          <w:lang w:val="en-GB"/>
        </w:rPr>
        <w:t>International Swaps and Derivatives Association</w:t>
      </w:r>
      <w:r w:rsidRPr="00A173E9">
        <w:rPr>
          <w:rFonts w:ascii="Calibri" w:eastAsia="Calibri" w:hAnsi="Calibri" w:cs="Calibri"/>
          <w:bCs/>
          <w:szCs w:val="72"/>
          <w:lang w:val="sr-Cyrl-RS"/>
        </w:rPr>
        <w:t>), односно унакрсна валутна своп трансакција којом су обавезе по основу емитоване обвезнице конвертоване из америчких долара у евре по значајно нижој финалној каматној стопи. Своје обавезе по основу емисије деноминоване у доларима, у износу од 1,2 милијарди</w:t>
      </w:r>
      <w:r w:rsidRPr="00A173E9">
        <w:rPr>
          <w:rFonts w:ascii="Calibri" w:eastAsia="Calibri" w:hAnsi="Calibri" w:cs="Calibri"/>
          <w:bCs/>
          <w:szCs w:val="72"/>
          <w:lang w:val="sr-Latn-RS"/>
        </w:rPr>
        <w:t xml:space="preserve"> USD</w:t>
      </w:r>
      <w:r w:rsidRPr="00A173E9">
        <w:rPr>
          <w:rFonts w:ascii="Calibri" w:eastAsia="Calibri" w:hAnsi="Calibri" w:cs="Calibri"/>
          <w:bCs/>
          <w:szCs w:val="72"/>
          <w:lang w:val="sr-Cyrl-RS"/>
        </w:rPr>
        <w:t>, Република Србија ће исплаћивати у еврима по купонској стопи од 1,066% на номиналну вредност емисије након конвер</w:t>
      </w:r>
      <w:r w:rsidR="00103068">
        <w:rPr>
          <w:rFonts w:ascii="Calibri" w:eastAsia="Calibri" w:hAnsi="Calibri" w:cs="Calibri"/>
          <w:bCs/>
          <w:szCs w:val="72"/>
          <w:lang w:val="sr-Cyrl-RS"/>
        </w:rPr>
        <w:t xml:space="preserve">зије од 1,016 милијарди евра. </w:t>
      </w:r>
      <w:r w:rsidRPr="00A173E9">
        <w:rPr>
          <w:rFonts w:ascii="Calibri" w:eastAsia="Calibri" w:hAnsi="Calibri" w:cs="Calibri"/>
          <w:bCs/>
          <w:szCs w:val="72"/>
          <w:lang w:val="sr-Cyrl-RS"/>
        </w:rPr>
        <w:t xml:space="preserve">Искоришћен </w:t>
      </w:r>
      <w:r w:rsidR="006C766D">
        <w:rPr>
          <w:rFonts w:ascii="Calibri" w:eastAsia="Calibri" w:hAnsi="Calibri" w:cs="Calibri"/>
          <w:bCs/>
          <w:szCs w:val="72"/>
          <w:lang w:val="sr-Cyrl-RS"/>
        </w:rPr>
        <w:t>је</w:t>
      </w:r>
      <w:r w:rsidRPr="00A173E9">
        <w:rPr>
          <w:rFonts w:ascii="Calibri" w:eastAsia="Calibri" w:hAnsi="Calibri" w:cs="Calibri"/>
          <w:bCs/>
          <w:szCs w:val="72"/>
          <w:lang w:val="sr-Cyrl-RS"/>
        </w:rPr>
        <w:t xml:space="preserve"> повољни односа курса евра и америчког долара у датом тренутку као и тренутне дивергенције између доларских и еурских каматних стопа на међународном тржишту капитала и постигнута је најповољнија цена задуживања, уз оптимизацију валутне структуре јавног дуга, а све у циљу заштите од ризика промене девизног курса. На овај начин остварене су додатне уштеде од око 11,6 милијарди динара. Током фебруара 2021. године реализована је друга своп трансакција, којом је обавеза по основу Споразума о репрограму дуга између Републике </w:t>
      </w:r>
      <w:r w:rsidRPr="00A173E9">
        <w:rPr>
          <w:rFonts w:ascii="Calibri" w:eastAsia="Calibri" w:hAnsi="Calibri" w:cs="Calibri"/>
          <w:bCs/>
          <w:szCs w:val="72"/>
          <w:lang w:val="sr-Cyrl-RS"/>
        </w:rPr>
        <w:lastRenderedPageBreak/>
        <w:t>Србије и Kuwait Investment Authority конвертована из америчких долара у евре, по значајно нижој каматној стопи. Обавезе по основу наведеног репрограмираног зајма, уговорене у доларима по каматној стопи од 1,5%, Република Србија ће исплаћивати у еврима по каматној стопи од 0,393%, чиме ће се остварити уштеда у износу од око 16,5 милиона евра.</w:t>
      </w:r>
    </w:p>
    <w:p w14:paraId="4F528FCC"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Током 2020. године настављено је са емисијама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обвезница на домаћем тржишту, што је довело до тога да ће доћи до укључивања обвезница Републике Србије у J.P.Morgan GBI-EM Index од јуна 2021. године. Емитоване су обвезнице рочности 5,5 и 12,5 година у RSD номиналнe вредности од по 100 милијарди динара, чији обими су повећани на по 150 милијарди током 2021. године.</w:t>
      </w:r>
    </w:p>
    <w:p w14:paraId="2D636A6A"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У 2019. години Република Србија је извршила превремени откуп раније емитованих државних хартија од вредности на домаћем тржишту путем редовних аукција на којима је откупила државне обвезнице деноминоване у динарима са високим купонским стопама 4,5% на обвезнице рочности 3 године и 10,0% </w:t>
      </w:r>
      <w:r w:rsidR="00103068">
        <w:rPr>
          <w:rFonts w:ascii="Calibri" w:eastAsia="Calibri" w:hAnsi="Calibri" w:cs="Calibri"/>
          <w:bCs/>
          <w:szCs w:val="72"/>
          <w:lang w:val="sr-Cyrl-RS"/>
        </w:rPr>
        <w:t>на обвезнице рочности 7 година,</w:t>
      </w:r>
      <w:r w:rsidRPr="00A173E9">
        <w:rPr>
          <w:rFonts w:ascii="Calibri" w:eastAsia="Calibri" w:hAnsi="Calibri" w:cs="Calibri"/>
          <w:bCs/>
          <w:szCs w:val="72"/>
          <w:lang w:val="sr-Cyrl-RS"/>
        </w:rPr>
        <w:t xml:space="preserve"> у укупном износу од 35,1 милијарде RSD. Са истом праксом је настављено и у 2020. години када је превремено откупљено 10,2 милијарде RSD обвезница са високим купонским стопама. Путем наведених аукција, настављено активно управљање јавним дугом у циљу замене дуга са краћим роком доспећа и вишим каматним стопама дугом дуже рочности са мањим трошковима задуживања. Истовремено, пружена је могућност инвеститорима који активно улажу у домаће хартије од вредности да продуже рочност својих инвестиција и наставе инвестирање у земљи, што је од велике важности за даљи развој тржишта капитала и емисије државних обвезница у будућности.</w:t>
      </w:r>
    </w:p>
    <w:p w14:paraId="59F62E29"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Валутни ризик је додатно смањен током 2020. године. Удео јавног дуга у домаћој валути у укупном јавном дугу централног нивоа власти је на крају 2008. године</w:t>
      </w:r>
      <w:r w:rsidR="00A55F27">
        <w:rPr>
          <w:rFonts w:ascii="Calibri" w:eastAsia="Calibri" w:hAnsi="Calibri" w:cs="Calibri"/>
          <w:bCs/>
          <w:szCs w:val="72"/>
          <w:lang w:val="sr-Cyrl-RS"/>
        </w:rPr>
        <w:t xml:space="preserve"> износио само 2,6%, а до краја </w:t>
      </w:r>
      <w:r w:rsidR="00103068">
        <w:rPr>
          <w:rFonts w:ascii="Calibri" w:eastAsia="Calibri" w:hAnsi="Calibri" w:cs="Calibri"/>
          <w:bCs/>
          <w:szCs w:val="72"/>
          <w:lang w:val="sr-Cyrl-RS"/>
        </w:rPr>
        <w:t xml:space="preserve">2020. године је порастао на </w:t>
      </w:r>
      <w:r w:rsidRPr="00A173E9">
        <w:rPr>
          <w:rFonts w:ascii="Calibri" w:eastAsia="Calibri" w:hAnsi="Calibri" w:cs="Calibri"/>
          <w:bCs/>
          <w:szCs w:val="72"/>
          <w:lang w:val="sr-Cyrl-RS"/>
        </w:rPr>
        <w:t xml:space="preserve">30,5%. Расту динарског дуга су пре свега допринеле емисије динарских државних хартија од вредности на домаћем тржишту хартија од вредности. Током 2019. и 2020. године је извршен превремени откуп скупих </w:t>
      </w:r>
      <w:r w:rsidRPr="00A173E9">
        <w:rPr>
          <w:rFonts w:ascii="Calibri" w:eastAsia="Calibri" w:hAnsi="Calibri" w:cs="Calibri"/>
          <w:bCs/>
          <w:szCs w:val="72"/>
          <w:lang w:val="sr-Cyrl-RS"/>
        </w:rPr>
        <w:t>еврообвезница емитованих у 2011. и 2013. години у америчким доларима, а током фебруара 2020. године редовна отплата доларске обвезнице емитоване у 2013. години. У децембру 2020. године је закључена и прва хеџинг транс</w:t>
      </w:r>
      <w:r w:rsidR="00B7729C">
        <w:rPr>
          <w:rFonts w:ascii="Calibri" w:eastAsia="Calibri" w:hAnsi="Calibri" w:cs="Calibri"/>
          <w:bCs/>
          <w:szCs w:val="72"/>
          <w:lang w:val="sr-Cyrl-RS"/>
        </w:rPr>
        <w:t>а</w:t>
      </w:r>
      <w:r w:rsidRPr="00A173E9">
        <w:rPr>
          <w:rFonts w:ascii="Calibri" w:eastAsia="Calibri" w:hAnsi="Calibri" w:cs="Calibri"/>
          <w:bCs/>
          <w:szCs w:val="72"/>
          <w:lang w:val="sr-Cyrl-RS"/>
        </w:rPr>
        <w:t>кција којом је емитована еврообвезница у америчким долар</w:t>
      </w:r>
      <w:r w:rsidR="00103068">
        <w:rPr>
          <w:rFonts w:ascii="Calibri" w:eastAsia="Calibri" w:hAnsi="Calibri" w:cs="Calibri"/>
          <w:bCs/>
          <w:szCs w:val="72"/>
          <w:lang w:val="sr-Cyrl-RS"/>
        </w:rPr>
        <w:t>има, одмах конвертована у евре.</w:t>
      </w:r>
      <w:r w:rsidRPr="00A173E9">
        <w:rPr>
          <w:rFonts w:ascii="Calibri" w:eastAsia="Calibri" w:hAnsi="Calibri" w:cs="Calibri"/>
          <w:bCs/>
          <w:szCs w:val="72"/>
          <w:lang w:val="sr-Cyrl-RS"/>
        </w:rPr>
        <w:t xml:space="preserve"> У фебруару 2021. године је закључена још једна хеџинг трансакција којом су обавезе у америчким доларима конвертоване у евре . Захваљујући овим трансакцијама дошло је до пада учешћа доларског дуга у укупном јавном дугу са 33,9% колико је износило на крају 2016. године на 12,3% на крају марта 2021. године.</w:t>
      </w:r>
    </w:p>
    <w:p w14:paraId="5455C9F0"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Трошкови задуживања су такође снижени током 2020. године. Учешће трошкова камата у БДП-у је пало са 2,9% колико је износило 2015. године на нешто испод 2,0% у 2020. години. До овога је пре свега дошло услед пада каматних стопа на домаћем тржишту хартија од вредности које је у највећој мери проузроковано растом поверења инвеститора, након предузетих мера фискалне консолидације. Просечно пондерисана каматна стопа на јавни дуг је пала са 5,70% колико је износила на крају 2014. године на 2,86% колико је износила на крају марта 2021. године. Просечна купонска стопа на динарске државне хартије од вредности смањена је са 1</w:t>
      </w:r>
      <w:r w:rsidRPr="00A173E9">
        <w:rPr>
          <w:rFonts w:ascii="Calibri" w:eastAsia="Calibri" w:hAnsi="Calibri" w:cs="Calibri"/>
          <w:bCs/>
          <w:szCs w:val="72"/>
          <w:lang w:val="sr-Latn-RS"/>
        </w:rPr>
        <w:t>3</w:t>
      </w:r>
      <w:r w:rsidRPr="00A173E9">
        <w:rPr>
          <w:rFonts w:ascii="Calibri" w:eastAsia="Calibri" w:hAnsi="Calibri" w:cs="Calibri"/>
          <w:bCs/>
          <w:szCs w:val="72"/>
          <w:lang w:val="sr-Cyrl-RS"/>
        </w:rPr>
        <w:t>,6</w:t>
      </w:r>
      <w:r w:rsidRPr="00A173E9">
        <w:rPr>
          <w:rFonts w:ascii="Calibri" w:eastAsia="Calibri" w:hAnsi="Calibri" w:cs="Calibri"/>
          <w:bCs/>
          <w:szCs w:val="72"/>
          <w:lang w:val="sr-Latn-RS"/>
        </w:rPr>
        <w:t>8</w:t>
      </w:r>
      <w:r w:rsidRPr="00A173E9">
        <w:rPr>
          <w:rFonts w:ascii="Calibri" w:eastAsia="Calibri" w:hAnsi="Calibri" w:cs="Calibri"/>
          <w:bCs/>
          <w:szCs w:val="72"/>
          <w:lang w:val="sr-Cyrl-RS"/>
        </w:rPr>
        <w:t>% колико је изн</w:t>
      </w:r>
      <w:r w:rsidR="00103068">
        <w:rPr>
          <w:rFonts w:ascii="Calibri" w:eastAsia="Calibri" w:hAnsi="Calibri" w:cs="Calibri"/>
          <w:bCs/>
          <w:szCs w:val="72"/>
          <w:lang w:val="sr-Cyrl-RS"/>
        </w:rPr>
        <w:t xml:space="preserve">осила на крају 2012. године на </w:t>
      </w:r>
      <w:r w:rsidRPr="00A173E9">
        <w:rPr>
          <w:rFonts w:ascii="Calibri" w:eastAsia="Calibri" w:hAnsi="Calibri" w:cs="Calibri"/>
          <w:bCs/>
          <w:szCs w:val="72"/>
          <w:lang w:val="sr-Cyrl-RS"/>
        </w:rPr>
        <w:t>4,</w:t>
      </w:r>
      <w:r w:rsidRPr="00A173E9">
        <w:rPr>
          <w:rFonts w:ascii="Calibri" w:eastAsia="Calibri" w:hAnsi="Calibri" w:cs="Calibri"/>
          <w:bCs/>
          <w:szCs w:val="72"/>
          <w:lang w:val="sr-Latn-RS"/>
        </w:rPr>
        <w:t>65</w:t>
      </w:r>
      <w:r w:rsidRPr="00A173E9">
        <w:rPr>
          <w:rFonts w:ascii="Calibri" w:eastAsia="Calibri" w:hAnsi="Calibri" w:cs="Calibri"/>
          <w:bCs/>
          <w:szCs w:val="72"/>
          <w:lang w:val="sr-Cyrl-RS"/>
        </w:rPr>
        <w:t>% на крају марта 2021. године.</w:t>
      </w:r>
    </w:p>
    <w:p w14:paraId="7A30DD5E" w14:textId="77777777" w:rsidR="001E3E7D" w:rsidRPr="00A173E9"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Захваљујући средствима од продаје Комерцијалне банке, у децембру 2020. године је превремено отплаћен целокупни преостали износ од 172,7 милиона евра зајма уговореног са Владом Републике Азербејџан за изградњу аутопута Е-763 – Љиг-Прељина. Каматна стопа на зајам је била висока и износила 4,0%, тако да је превременом отплатом начињена уштеда од око 25,9 милиона евра.</w:t>
      </w:r>
    </w:p>
    <w:p w14:paraId="3FA94F8B" w14:textId="77777777" w:rsidR="00A55F27" w:rsidRDefault="001E3E7D" w:rsidP="00A55F27">
      <w:pPr>
        <w:spacing w:line="254"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На крају марта 2021. године укупно стање јавног дуга општег нивоа државе износило је 3.353,4 млрд динара, односно 56,5% БДП. Од тога се на директне обавезе односило 3.144,3 млрд динара, на индиректне обавезе 164,7 млрд динара, док се 34,9 млрд динара односи на негарантовани дуг јединица локалне самоуправе и 9,5 млрд динара на негарантовани дуг ЈП „Путеви Србије” и предузећа </w:t>
      </w:r>
      <w:r w:rsidR="00684EE4" w:rsidRPr="00A173E9">
        <w:rPr>
          <w:rFonts w:ascii="Calibri" w:eastAsia="Calibri" w:hAnsi="Calibri" w:cs="Calibri"/>
          <w:bCs/>
          <w:szCs w:val="72"/>
          <w:lang w:val="sr-Cyrl-RS"/>
        </w:rPr>
        <w:t>„</w:t>
      </w:r>
      <w:r w:rsidRPr="00A173E9">
        <w:rPr>
          <w:rFonts w:ascii="Calibri" w:eastAsia="Calibri" w:hAnsi="Calibri" w:cs="Calibri"/>
          <w:bCs/>
          <w:szCs w:val="72"/>
          <w:lang w:val="sr-Cyrl-RS"/>
        </w:rPr>
        <w:t>Коридори Србије</w:t>
      </w:r>
      <w:r w:rsidR="00684EE4" w:rsidRPr="00A173E9">
        <w:rPr>
          <w:rFonts w:ascii="Calibri" w:eastAsia="Calibri" w:hAnsi="Calibri" w:cs="Calibri"/>
          <w:bCs/>
          <w:szCs w:val="72"/>
          <w:lang w:val="sr-Cyrl-RS"/>
        </w:rPr>
        <w:t>”</w:t>
      </w:r>
      <w:r w:rsidRPr="00A173E9">
        <w:rPr>
          <w:rFonts w:ascii="Calibri" w:eastAsia="Calibri" w:hAnsi="Calibri" w:cs="Calibri"/>
          <w:bCs/>
          <w:szCs w:val="72"/>
          <w:lang w:val="sr-Cyrl-RS"/>
        </w:rPr>
        <w:t xml:space="preserve"> д.о.о.</w:t>
      </w:r>
    </w:p>
    <w:p w14:paraId="5D5D4CA7" w14:textId="77777777" w:rsidR="006C766D" w:rsidRDefault="006C766D" w:rsidP="00A55F27">
      <w:pPr>
        <w:spacing w:line="254" w:lineRule="auto"/>
        <w:rPr>
          <w:rFonts w:ascii="Calibri" w:eastAsia="Calibri" w:hAnsi="Calibri" w:cs="Calibri"/>
          <w:bCs/>
          <w:szCs w:val="72"/>
          <w:lang w:val="sr-Cyrl-RS"/>
        </w:rPr>
        <w:sectPr w:rsidR="006C766D" w:rsidSect="008265F0">
          <w:type w:val="continuous"/>
          <w:pgSz w:w="12240" w:h="15840"/>
          <w:pgMar w:top="1440" w:right="1440" w:bottom="1440" w:left="1440" w:header="720" w:footer="720" w:gutter="0"/>
          <w:cols w:num="2" w:space="720"/>
        </w:sectPr>
      </w:pPr>
    </w:p>
    <w:p w14:paraId="5F52959B" w14:textId="77777777" w:rsidR="00A55F27" w:rsidRDefault="001E3E7D" w:rsidP="00A55F27">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lastRenderedPageBreak/>
        <w:t>Учешће јавног дуга општег нивоа државе у БДП,%</w:t>
      </w:r>
    </w:p>
    <w:p w14:paraId="7E424D92" w14:textId="77777777" w:rsidR="00A55F27"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noProof/>
        </w:rPr>
        <w:drawing>
          <wp:inline distT="0" distB="0" distL="0" distR="0" wp14:anchorId="6D0C4947" wp14:editId="0B642733">
            <wp:extent cx="3667125" cy="2381250"/>
            <wp:effectExtent l="0" t="0" r="0" b="0"/>
            <wp:docPr id="5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50A6DA51"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Табела 2</w:t>
      </w:r>
      <w:r w:rsidR="00FA5A89">
        <w:rPr>
          <w:rFonts w:ascii="Calibri" w:eastAsia="Calibri" w:hAnsi="Calibri" w:cs="Times New Roman"/>
          <w:b/>
          <w:color w:val="002060"/>
          <w:lang w:val="sr-Latn-RS"/>
        </w:rPr>
        <w:t>3</w:t>
      </w:r>
      <w:r w:rsidRPr="00A173E9">
        <w:rPr>
          <w:rFonts w:ascii="Calibri" w:eastAsia="Calibri" w:hAnsi="Calibri" w:cs="Times New Roman"/>
          <w:b/>
          <w:color w:val="002060"/>
          <w:lang w:val="sr-Cyrl-RS"/>
        </w:rPr>
        <w:t xml:space="preserve">. </w:t>
      </w:r>
      <w:r w:rsidRPr="00A173E9">
        <w:rPr>
          <w:rFonts w:ascii="Calibri" w:eastAsia="Calibri" w:hAnsi="Calibri" w:cs="Times New Roman"/>
          <w:b/>
          <w:bCs/>
          <w:color w:val="002060"/>
          <w:lang w:val="sr-Cyrl-RS"/>
        </w:rPr>
        <w:t xml:space="preserve">Јавни дуг општег нивоа државе Републике Србије у периоду </w:t>
      </w:r>
      <w:r w:rsidRPr="00A173E9">
        <w:rPr>
          <w:rFonts w:ascii="Calibri" w:eastAsia="Calibri" w:hAnsi="Calibri" w:cs="Times New Roman"/>
          <w:b/>
          <w:bCs/>
          <w:color w:val="002060"/>
          <w:lang w:val="sr-Cyrl-RS"/>
        </w:rPr>
        <w:br w:type="textWrapping" w:clear="all"/>
        <w:t>крај 201</w:t>
      </w:r>
      <w:r w:rsidRPr="00A173E9">
        <w:rPr>
          <w:rFonts w:ascii="Calibri" w:eastAsia="Calibri" w:hAnsi="Calibri" w:cs="Times New Roman"/>
          <w:b/>
          <w:bCs/>
          <w:color w:val="002060"/>
          <w:lang w:val="sr-Latn-RS"/>
        </w:rPr>
        <w:t>8</w:t>
      </w:r>
      <w:r w:rsidRPr="00A173E9">
        <w:rPr>
          <w:rFonts w:ascii="Calibri" w:eastAsia="Calibri" w:hAnsi="Calibri" w:cs="Times New Roman"/>
          <w:b/>
          <w:bCs/>
          <w:color w:val="002060"/>
          <w:lang w:val="sr-Cyrl-RS"/>
        </w:rPr>
        <w:t>–31. март 2021. године</w:t>
      </w:r>
    </w:p>
    <w:tbl>
      <w:tblPr>
        <w:tblStyle w:val="LightShading-Accent12121"/>
        <w:tblW w:w="5000" w:type="pct"/>
        <w:tblInd w:w="0" w:type="dxa"/>
        <w:tblLook w:val="04A0" w:firstRow="1" w:lastRow="0" w:firstColumn="1" w:lastColumn="0" w:noHBand="0" w:noVBand="1"/>
      </w:tblPr>
      <w:tblGrid>
        <w:gridCol w:w="4046"/>
        <w:gridCol w:w="1328"/>
        <w:gridCol w:w="1330"/>
        <w:gridCol w:w="1327"/>
        <w:gridCol w:w="1329"/>
      </w:tblGrid>
      <w:tr w:rsidR="001E3E7D" w:rsidRPr="00A173E9" w14:paraId="62BB7874" w14:textId="77777777" w:rsidTr="008265F0">
        <w:trPr>
          <w:cnfStyle w:val="100000000000" w:firstRow="1" w:lastRow="0" w:firstColumn="0" w:lastColumn="0" w:oddVBand="0" w:evenVBand="0" w:oddHBand="0" w:evenHBand="0" w:firstRowFirstColumn="0" w:firstRowLastColumn="0" w:lastRowFirstColumn="0" w:lastRowLastColumn="0"/>
          <w:trHeight w:val="14"/>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002060"/>
              <w:bottom w:val="single" w:sz="4" w:space="0" w:color="FFFFFF" w:themeColor="background1"/>
            </w:tcBorders>
            <w:noWrap/>
            <w:hideMark/>
          </w:tcPr>
          <w:p w14:paraId="2C122E11" w14:textId="77777777" w:rsidR="001E3E7D" w:rsidRPr="00A173E9" w:rsidRDefault="001E3E7D" w:rsidP="008265F0">
            <w:pPr>
              <w:jc w:val="center"/>
              <w:rPr>
                <w:rFonts w:ascii="Calibri" w:hAnsi="Calibri" w:cs="Calibri"/>
                <w:color w:val="002060"/>
                <w:sz w:val="18"/>
                <w:szCs w:val="18"/>
                <w:lang w:val="sr-Cyrl-RS"/>
              </w:rPr>
            </w:pPr>
            <w:bookmarkStart w:id="45" w:name="_Hlk529193448"/>
            <w:r w:rsidRPr="00A173E9">
              <w:rPr>
                <w:rFonts w:ascii="Calibri" w:hAnsi="Calibri" w:cs="Calibri"/>
                <w:color w:val="002060"/>
                <w:sz w:val="18"/>
                <w:szCs w:val="18"/>
                <w:lang w:val="sr-Cyrl-RS"/>
              </w:rPr>
              <w:t> </w:t>
            </w:r>
          </w:p>
        </w:tc>
        <w:tc>
          <w:tcPr>
            <w:tcW w:w="709" w:type="pct"/>
            <w:tcBorders>
              <w:top w:val="single" w:sz="4" w:space="0" w:color="002060"/>
              <w:bottom w:val="single" w:sz="4" w:space="0" w:color="002060"/>
            </w:tcBorders>
            <w:vAlign w:val="center"/>
            <w:hideMark/>
          </w:tcPr>
          <w:p w14:paraId="507E1772"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2018</w:t>
            </w:r>
          </w:p>
        </w:tc>
        <w:tc>
          <w:tcPr>
            <w:tcW w:w="710" w:type="pct"/>
            <w:tcBorders>
              <w:top w:val="single" w:sz="4" w:space="0" w:color="002060"/>
              <w:bottom w:val="single" w:sz="4" w:space="0" w:color="002060"/>
            </w:tcBorders>
            <w:vAlign w:val="center"/>
            <w:hideMark/>
          </w:tcPr>
          <w:p w14:paraId="10563F04"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2019</w:t>
            </w:r>
          </w:p>
        </w:tc>
        <w:tc>
          <w:tcPr>
            <w:tcW w:w="709" w:type="pct"/>
            <w:tcBorders>
              <w:top w:val="single" w:sz="4" w:space="0" w:color="002060"/>
              <w:bottom w:val="single" w:sz="4" w:space="0" w:color="002060"/>
            </w:tcBorders>
            <w:noWrap/>
            <w:vAlign w:val="center"/>
            <w:hideMark/>
          </w:tcPr>
          <w:p w14:paraId="57BC44AF"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2020</w:t>
            </w:r>
          </w:p>
        </w:tc>
        <w:tc>
          <w:tcPr>
            <w:tcW w:w="710" w:type="pct"/>
            <w:tcBorders>
              <w:top w:val="single" w:sz="4" w:space="0" w:color="002060"/>
              <w:bottom w:val="single" w:sz="4" w:space="0" w:color="002060"/>
            </w:tcBorders>
            <w:noWrap/>
            <w:vAlign w:val="center"/>
            <w:hideMark/>
          </w:tcPr>
          <w:p w14:paraId="6CA3CB4F"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202</w:t>
            </w:r>
            <w:r w:rsidRPr="00A173E9">
              <w:rPr>
                <w:rFonts w:ascii="Calibri" w:hAnsi="Calibri" w:cs="Calibri"/>
                <w:color w:val="002060"/>
                <w:sz w:val="18"/>
                <w:szCs w:val="18"/>
                <w:lang w:val="sr-Latn-RS"/>
              </w:rPr>
              <w:t>1</w:t>
            </w:r>
            <w:r w:rsidRPr="00A173E9">
              <w:rPr>
                <w:rFonts w:ascii="Calibri" w:hAnsi="Calibri" w:cs="Calibri"/>
                <w:color w:val="002060"/>
                <w:sz w:val="18"/>
                <w:szCs w:val="18"/>
                <w:lang w:val="sr-Cyrl-RS"/>
              </w:rPr>
              <w:t>/III</w:t>
            </w:r>
          </w:p>
        </w:tc>
      </w:tr>
      <w:tr w:rsidR="001E3E7D" w:rsidRPr="00A173E9" w14:paraId="4CE4E4EA" w14:textId="77777777" w:rsidTr="001D4D24">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2161" w:type="pct"/>
            <w:tcBorders>
              <w:top w:val="single" w:sz="4" w:space="0" w:color="FFFFFF" w:themeColor="background1"/>
              <w:bottom w:val="nil"/>
            </w:tcBorders>
            <w:shd w:val="clear" w:color="auto" w:fill="E7E6E6" w:themeFill="background2"/>
            <w:noWrap/>
            <w:vAlign w:val="center"/>
            <w:hideMark/>
          </w:tcPr>
          <w:p w14:paraId="4D08E390"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Јавни дуг (у млрд динара)</w:t>
            </w:r>
          </w:p>
        </w:tc>
        <w:tc>
          <w:tcPr>
            <w:tcW w:w="709" w:type="pct"/>
            <w:tcBorders>
              <w:top w:val="single" w:sz="4" w:space="0" w:color="002060"/>
              <w:bottom w:val="nil"/>
            </w:tcBorders>
            <w:shd w:val="clear" w:color="auto" w:fill="E7E6E6" w:themeFill="background2"/>
            <w:vAlign w:val="center"/>
            <w:hideMark/>
          </w:tcPr>
          <w:p w14:paraId="690EFAF4"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2.757,3</w:t>
            </w:r>
          </w:p>
        </w:tc>
        <w:tc>
          <w:tcPr>
            <w:tcW w:w="710" w:type="pct"/>
            <w:tcBorders>
              <w:top w:val="single" w:sz="4" w:space="0" w:color="002060"/>
              <w:bottom w:val="nil"/>
            </w:tcBorders>
            <w:shd w:val="clear" w:color="auto" w:fill="E7E6E6" w:themeFill="background2"/>
            <w:vAlign w:val="center"/>
            <w:hideMark/>
          </w:tcPr>
          <w:p w14:paraId="7EBE5534"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2.864,0</w:t>
            </w:r>
          </w:p>
        </w:tc>
        <w:tc>
          <w:tcPr>
            <w:tcW w:w="709" w:type="pct"/>
            <w:tcBorders>
              <w:top w:val="single" w:sz="4" w:space="0" w:color="002060"/>
              <w:bottom w:val="nil"/>
            </w:tcBorders>
            <w:shd w:val="clear" w:color="auto" w:fill="E7E6E6" w:themeFill="background2"/>
            <w:noWrap/>
            <w:vAlign w:val="center"/>
            <w:hideMark/>
          </w:tcPr>
          <w:p w14:paraId="66D7A1AD"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3.181,2</w:t>
            </w:r>
          </w:p>
        </w:tc>
        <w:tc>
          <w:tcPr>
            <w:tcW w:w="710" w:type="pct"/>
            <w:tcBorders>
              <w:top w:val="single" w:sz="4" w:space="0" w:color="002060"/>
              <w:bottom w:val="nil"/>
            </w:tcBorders>
            <w:shd w:val="clear" w:color="auto" w:fill="E7E6E6" w:themeFill="background2"/>
            <w:noWrap/>
            <w:vAlign w:val="center"/>
            <w:hideMark/>
          </w:tcPr>
          <w:p w14:paraId="7962585D"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3.353,4</w:t>
            </w:r>
          </w:p>
        </w:tc>
      </w:tr>
      <w:tr w:rsidR="001E3E7D" w:rsidRPr="00A173E9" w14:paraId="2795FF6F" w14:textId="77777777" w:rsidTr="008265F0">
        <w:trPr>
          <w:trHeight w:val="252"/>
        </w:trPr>
        <w:tc>
          <w:tcPr>
            <w:cnfStyle w:val="001000000000" w:firstRow="0" w:lastRow="0" w:firstColumn="1" w:lastColumn="0" w:oddVBand="0" w:evenVBand="0" w:oddHBand="0" w:evenHBand="0" w:firstRowFirstColumn="0" w:firstRowLastColumn="0" w:lastRowFirstColumn="0" w:lastRowLastColumn="0"/>
            <w:tcW w:w="2161" w:type="pct"/>
            <w:tcBorders>
              <w:top w:val="nil"/>
              <w:left w:val="nil"/>
              <w:bottom w:val="nil"/>
              <w:right w:val="nil"/>
            </w:tcBorders>
            <w:noWrap/>
            <w:vAlign w:val="center"/>
            <w:hideMark/>
          </w:tcPr>
          <w:p w14:paraId="042ECC0A"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Јавни дуг (у мил. евра)</w:t>
            </w:r>
          </w:p>
        </w:tc>
        <w:tc>
          <w:tcPr>
            <w:tcW w:w="709" w:type="pct"/>
            <w:tcBorders>
              <w:top w:val="nil"/>
              <w:left w:val="nil"/>
              <w:bottom w:val="nil"/>
              <w:right w:val="nil"/>
            </w:tcBorders>
            <w:vAlign w:val="center"/>
            <w:hideMark/>
          </w:tcPr>
          <w:p w14:paraId="125645BF"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23.328,4</w:t>
            </w:r>
          </w:p>
        </w:tc>
        <w:tc>
          <w:tcPr>
            <w:tcW w:w="710" w:type="pct"/>
            <w:tcBorders>
              <w:top w:val="nil"/>
              <w:left w:val="nil"/>
              <w:bottom w:val="nil"/>
              <w:right w:val="nil"/>
            </w:tcBorders>
            <w:vAlign w:val="center"/>
            <w:hideMark/>
          </w:tcPr>
          <w:p w14:paraId="12BE6703"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24.354,9</w:t>
            </w:r>
          </w:p>
        </w:tc>
        <w:tc>
          <w:tcPr>
            <w:tcW w:w="709" w:type="pct"/>
            <w:tcBorders>
              <w:top w:val="nil"/>
              <w:left w:val="nil"/>
              <w:bottom w:val="nil"/>
              <w:right w:val="nil"/>
            </w:tcBorders>
            <w:noWrap/>
            <w:vAlign w:val="center"/>
            <w:hideMark/>
          </w:tcPr>
          <w:p w14:paraId="2D82A187"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27.055,8</w:t>
            </w:r>
          </w:p>
        </w:tc>
        <w:tc>
          <w:tcPr>
            <w:tcW w:w="710" w:type="pct"/>
            <w:tcBorders>
              <w:top w:val="nil"/>
              <w:left w:val="nil"/>
              <w:bottom w:val="nil"/>
              <w:right w:val="nil"/>
            </w:tcBorders>
            <w:noWrap/>
            <w:vAlign w:val="center"/>
            <w:hideMark/>
          </w:tcPr>
          <w:p w14:paraId="077B7DCE"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28.520,2</w:t>
            </w:r>
          </w:p>
        </w:tc>
      </w:tr>
      <w:tr w:rsidR="001E3E7D" w:rsidRPr="00A173E9" w14:paraId="27AEDB8E" w14:textId="77777777" w:rsidTr="001D4D24">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161" w:type="pct"/>
            <w:tcBorders>
              <w:top w:val="nil"/>
              <w:bottom w:val="single" w:sz="4" w:space="0" w:color="002060"/>
            </w:tcBorders>
            <w:shd w:val="clear" w:color="auto" w:fill="E7E6E6" w:themeFill="background2"/>
            <w:noWrap/>
            <w:vAlign w:val="center"/>
            <w:hideMark/>
          </w:tcPr>
          <w:p w14:paraId="4075169F"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Јавни дуг (у мил. долара)</w:t>
            </w:r>
          </w:p>
        </w:tc>
        <w:tc>
          <w:tcPr>
            <w:tcW w:w="709" w:type="pct"/>
            <w:tcBorders>
              <w:top w:val="nil"/>
              <w:bottom w:val="single" w:sz="4" w:space="0" w:color="002060"/>
            </w:tcBorders>
            <w:shd w:val="clear" w:color="auto" w:fill="E7E6E6" w:themeFill="background2"/>
            <w:vAlign w:val="center"/>
            <w:hideMark/>
          </w:tcPr>
          <w:p w14:paraId="66F1AEAC"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26.669,1</w:t>
            </w:r>
          </w:p>
        </w:tc>
        <w:tc>
          <w:tcPr>
            <w:tcW w:w="710" w:type="pct"/>
            <w:tcBorders>
              <w:top w:val="nil"/>
              <w:bottom w:val="single" w:sz="4" w:space="0" w:color="002060"/>
            </w:tcBorders>
            <w:shd w:val="clear" w:color="auto" w:fill="E7E6E6" w:themeFill="background2"/>
            <w:vAlign w:val="center"/>
            <w:hideMark/>
          </w:tcPr>
          <w:p w14:paraId="60C6DF50"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27.296,9</w:t>
            </w:r>
          </w:p>
        </w:tc>
        <w:tc>
          <w:tcPr>
            <w:tcW w:w="709" w:type="pct"/>
            <w:tcBorders>
              <w:top w:val="nil"/>
              <w:bottom w:val="single" w:sz="4" w:space="0" w:color="002060"/>
            </w:tcBorders>
            <w:shd w:val="clear" w:color="auto" w:fill="E7E6E6" w:themeFill="background2"/>
            <w:noWrap/>
            <w:vAlign w:val="center"/>
            <w:hideMark/>
          </w:tcPr>
          <w:p w14:paraId="4871F04E"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33.254,3</w:t>
            </w:r>
          </w:p>
        </w:tc>
        <w:tc>
          <w:tcPr>
            <w:tcW w:w="710" w:type="pct"/>
            <w:tcBorders>
              <w:top w:val="nil"/>
              <w:bottom w:val="single" w:sz="4" w:space="0" w:color="002060"/>
            </w:tcBorders>
            <w:shd w:val="clear" w:color="auto" w:fill="E7E6E6" w:themeFill="background2"/>
            <w:noWrap/>
            <w:vAlign w:val="center"/>
            <w:hideMark/>
          </w:tcPr>
          <w:p w14:paraId="561CBDEC"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33.391,4</w:t>
            </w:r>
          </w:p>
        </w:tc>
      </w:tr>
      <w:bookmarkEnd w:id="45"/>
    </w:tbl>
    <w:p w14:paraId="7A29A1BC" w14:textId="77777777" w:rsidR="001E3E7D" w:rsidRPr="00A173E9" w:rsidRDefault="001E3E7D" w:rsidP="008265F0">
      <w:pPr>
        <w:spacing w:after="100" w:line="256" w:lineRule="auto"/>
        <w:rPr>
          <w:rFonts w:ascii="Calibri" w:eastAsia="Calibri" w:hAnsi="Calibri" w:cs="Times New Roman"/>
          <w:b/>
          <w:lang w:val="sr-Cyrl-RS"/>
        </w:rPr>
      </w:pPr>
    </w:p>
    <w:p w14:paraId="2A2EB09E" w14:textId="77777777" w:rsidR="001E3E7D" w:rsidRPr="00A173E9" w:rsidRDefault="001E3E7D" w:rsidP="008265F0">
      <w:pPr>
        <w:spacing w:after="0" w:line="256" w:lineRule="auto"/>
        <w:jc w:val="left"/>
        <w:rPr>
          <w:rFonts w:ascii="Calibri" w:eastAsia="Calibri" w:hAnsi="Calibri" w:cs="Calibri"/>
          <w:bCs/>
          <w:sz w:val="10"/>
          <w:szCs w:val="10"/>
          <w:lang w:val="sr-Cyrl-RS"/>
        </w:rPr>
        <w:sectPr w:rsidR="001E3E7D" w:rsidRPr="00A173E9">
          <w:type w:val="continuous"/>
          <w:pgSz w:w="12240" w:h="15840"/>
          <w:pgMar w:top="1440" w:right="1440" w:bottom="1440" w:left="1440" w:header="720" w:footer="720" w:gutter="0"/>
          <w:cols w:space="720"/>
        </w:sectPr>
      </w:pPr>
    </w:p>
    <w:p w14:paraId="5C3A7909" w14:textId="77777777" w:rsidR="001E3E7D" w:rsidRPr="00A173E9" w:rsidRDefault="001E3E7D" w:rsidP="008265F0">
      <w:pPr>
        <w:spacing w:after="120"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У </w:t>
      </w:r>
      <w:r w:rsidR="006C766D">
        <w:rPr>
          <w:rFonts w:ascii="Calibri" w:eastAsia="Calibri" w:hAnsi="Calibri" w:cs="Calibri"/>
          <w:bCs/>
          <w:szCs w:val="72"/>
          <w:lang w:val="sr-Cyrl-RS"/>
        </w:rPr>
        <w:t>прва</w:t>
      </w:r>
      <w:r w:rsidRPr="00A173E9">
        <w:rPr>
          <w:rFonts w:ascii="Calibri" w:eastAsia="Calibri" w:hAnsi="Calibri" w:cs="Calibri"/>
          <w:bCs/>
          <w:szCs w:val="72"/>
          <w:lang w:val="sr-Cyrl-RS"/>
        </w:rPr>
        <w:t xml:space="preserve"> три месеца 2021. године, услед потребе да се финансирају мере подршке </w:t>
      </w:r>
      <w:r w:rsidRPr="00A173E9">
        <w:rPr>
          <w:rFonts w:ascii="Calibri" w:eastAsia="Calibri" w:hAnsi="Calibri" w:cs="Calibri"/>
          <w:bCs/>
          <w:spacing w:val="-2"/>
          <w:szCs w:val="72"/>
          <w:lang w:val="sr-Cyrl-RS"/>
        </w:rPr>
        <w:t>привреди и грађанима за борбу против пандемије изазване коронавирусом COVID-19,</w:t>
      </w:r>
      <w:r w:rsidRPr="00A173E9">
        <w:rPr>
          <w:rFonts w:ascii="Calibri" w:eastAsia="Calibri" w:hAnsi="Calibri" w:cs="Calibri"/>
          <w:bCs/>
          <w:szCs w:val="72"/>
          <w:lang w:val="sr-Cyrl-RS"/>
        </w:rPr>
        <w:t xml:space="preserve"> приметан је благи раст јавног дуга централног нивоа власти у валутама са највећим учешћем у јавном дугу, тј. у еврима и динарима. Услед задуживања на домаћем тржишту хартија од вредности које се током 2020. и у првом кварталу 2021. године доминантно обављало у динарима дошло је до раста јавног дуга у динарима. Дошло је до раста дуга и у еврима, услед емисије еврообвезница Србија </w:t>
      </w:r>
      <w:r w:rsidRPr="00A173E9">
        <w:rPr>
          <w:rFonts w:ascii="Calibri" w:eastAsia="Calibri" w:hAnsi="Calibri" w:cs="Calibri"/>
          <w:bCs/>
          <w:szCs w:val="72"/>
          <w:lang w:val="sr-Cyrl-RS"/>
        </w:rPr>
        <w:t xml:space="preserve">2027 и Србија 2030 током 2020. године, као и Србија 2033 у марту 2021. године. У фебруару 2020. године отплаћен је преостали износ од 210,3 мил. америчких долара еврообвезнице Србија 2020. Исте године је и обвезница Србија 2030 која је издата у америчким доларима одмах конвертована у евре, тј. у циљу смањења валутног ризика Република Србија је закључила </w:t>
      </w:r>
      <w:r w:rsidRPr="00A173E9">
        <w:rPr>
          <w:rFonts w:ascii="Calibri" w:eastAsia="Calibri" w:hAnsi="Calibri" w:cs="Calibri"/>
          <w:bCs/>
          <w:szCs w:val="72"/>
          <w:lang w:val="sr-Latn-RS"/>
        </w:rPr>
        <w:t>swap</w:t>
      </w:r>
      <w:r w:rsidR="00103068">
        <w:rPr>
          <w:rFonts w:ascii="Calibri" w:eastAsia="Calibri" w:hAnsi="Calibri" w:cs="Calibri"/>
          <w:bCs/>
          <w:szCs w:val="72"/>
          <w:lang w:val="sr-Cyrl-RS"/>
        </w:rPr>
        <w:t xml:space="preserve"> трансакцију. У фебруару 2021. је закључена још једна </w:t>
      </w:r>
      <w:r w:rsidRPr="00A173E9">
        <w:rPr>
          <w:rFonts w:ascii="Calibri" w:eastAsia="Calibri" w:hAnsi="Calibri" w:cs="Calibri"/>
          <w:bCs/>
          <w:szCs w:val="72"/>
          <w:lang w:val="sr-Latn-RS"/>
        </w:rPr>
        <w:t>swap</w:t>
      </w:r>
      <w:r w:rsidRPr="00A173E9">
        <w:rPr>
          <w:rFonts w:ascii="Calibri" w:eastAsia="Calibri" w:hAnsi="Calibri" w:cs="Calibri"/>
          <w:bCs/>
          <w:szCs w:val="72"/>
          <w:lang w:val="sr-Cyrl-RS"/>
        </w:rPr>
        <w:t xml:space="preserve"> трансакција и додатно смањен дуг у америчким доларима.</w:t>
      </w:r>
    </w:p>
    <w:p w14:paraId="4A422DBA" w14:textId="77777777" w:rsidR="001E3E7D" w:rsidRPr="00A173E9" w:rsidRDefault="001E3E7D" w:rsidP="008265F0">
      <w:pPr>
        <w:spacing w:after="0" w:line="256" w:lineRule="auto"/>
        <w:jc w:val="left"/>
        <w:rPr>
          <w:rFonts w:ascii="Calibri" w:eastAsia="Calibri" w:hAnsi="Calibri" w:cs="Calibri"/>
          <w:bCs/>
          <w:szCs w:val="72"/>
          <w:lang w:val="sr-Cyrl-RS"/>
        </w:rPr>
        <w:sectPr w:rsidR="001E3E7D" w:rsidRPr="00A173E9">
          <w:type w:val="continuous"/>
          <w:pgSz w:w="12240" w:h="15840"/>
          <w:pgMar w:top="1440" w:right="1440" w:bottom="1440" w:left="1440" w:header="720" w:footer="720" w:gutter="0"/>
          <w:cols w:num="2" w:space="720"/>
        </w:sectPr>
      </w:pPr>
    </w:p>
    <w:p w14:paraId="67E12224" w14:textId="77777777" w:rsidR="001E3E7D" w:rsidRPr="006C766D" w:rsidRDefault="001E3E7D" w:rsidP="008265F0">
      <w:pPr>
        <w:spacing w:line="256" w:lineRule="auto"/>
        <w:jc w:val="center"/>
        <w:rPr>
          <w:rFonts w:ascii="Calibri" w:eastAsia="Calibri" w:hAnsi="Calibri" w:cs="Times New Roman"/>
          <w:b/>
          <w:color w:val="002060"/>
          <w:sz w:val="14"/>
          <w:lang w:val="sr-Cyrl-RS"/>
        </w:rPr>
      </w:pPr>
    </w:p>
    <w:p w14:paraId="42E7BCA8"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Табела 2</w:t>
      </w:r>
      <w:r w:rsidR="00FA5A89">
        <w:rPr>
          <w:rFonts w:ascii="Calibri" w:eastAsia="Calibri" w:hAnsi="Calibri" w:cs="Times New Roman"/>
          <w:b/>
          <w:color w:val="002060"/>
          <w:lang w:val="sr-Latn-RS"/>
        </w:rPr>
        <w:t>4</w:t>
      </w:r>
      <w:r w:rsidRPr="00A173E9">
        <w:rPr>
          <w:rFonts w:ascii="Calibri" w:eastAsia="Calibri" w:hAnsi="Calibri" w:cs="Times New Roman"/>
          <w:b/>
          <w:color w:val="002060"/>
          <w:lang w:val="sr-Cyrl-RS"/>
        </w:rPr>
        <w:t xml:space="preserve">. Стање јавног дуга централног нивоа државе по оригиналним валутама у периоду </w:t>
      </w:r>
      <w:r w:rsidRPr="00A173E9">
        <w:rPr>
          <w:rFonts w:ascii="Calibri" w:eastAsia="Calibri" w:hAnsi="Calibri" w:cs="Times New Roman"/>
          <w:b/>
          <w:color w:val="002060"/>
          <w:lang w:val="sr-Cyrl-RS"/>
        </w:rPr>
        <w:br/>
        <w:t>крај 2018–31. март 2021. године, у милионима</w:t>
      </w:r>
    </w:p>
    <w:tbl>
      <w:tblPr>
        <w:tblStyle w:val="LightShading-Accent12121"/>
        <w:tblW w:w="5000" w:type="pct"/>
        <w:tblInd w:w="-48" w:type="dxa"/>
        <w:tblLook w:val="04A0" w:firstRow="1" w:lastRow="0" w:firstColumn="1" w:lastColumn="0" w:noHBand="0" w:noVBand="1"/>
      </w:tblPr>
      <w:tblGrid>
        <w:gridCol w:w="3230"/>
        <w:gridCol w:w="1532"/>
        <w:gridCol w:w="1534"/>
        <w:gridCol w:w="1531"/>
        <w:gridCol w:w="1533"/>
      </w:tblGrid>
      <w:tr w:rsidR="001E3E7D" w:rsidRPr="00A173E9" w14:paraId="6E28BD15" w14:textId="77777777" w:rsidTr="008265F0">
        <w:trPr>
          <w:cnfStyle w:val="100000000000" w:firstRow="1" w:lastRow="0" w:firstColumn="0" w:lastColumn="0" w:oddVBand="0" w:evenVBand="0" w:oddHBand="0"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002060"/>
              <w:bottom w:val="single" w:sz="4" w:space="0" w:color="FFFFFF" w:themeColor="background1"/>
            </w:tcBorders>
            <w:noWrap/>
            <w:hideMark/>
          </w:tcPr>
          <w:p w14:paraId="4F3D635B"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 </w:t>
            </w:r>
          </w:p>
        </w:tc>
        <w:tc>
          <w:tcPr>
            <w:tcW w:w="818" w:type="pct"/>
            <w:tcBorders>
              <w:top w:val="single" w:sz="4" w:space="0" w:color="002060"/>
              <w:bottom w:val="single" w:sz="4" w:space="0" w:color="002060"/>
            </w:tcBorders>
            <w:noWrap/>
            <w:hideMark/>
          </w:tcPr>
          <w:p w14:paraId="01196A3C"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2018</w:t>
            </w:r>
          </w:p>
        </w:tc>
        <w:tc>
          <w:tcPr>
            <w:tcW w:w="819" w:type="pct"/>
            <w:tcBorders>
              <w:top w:val="single" w:sz="4" w:space="0" w:color="002060"/>
              <w:bottom w:val="single" w:sz="4" w:space="0" w:color="002060"/>
            </w:tcBorders>
            <w:noWrap/>
            <w:hideMark/>
          </w:tcPr>
          <w:p w14:paraId="470D40E9"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2019</w:t>
            </w:r>
          </w:p>
        </w:tc>
        <w:tc>
          <w:tcPr>
            <w:tcW w:w="818" w:type="pct"/>
            <w:tcBorders>
              <w:top w:val="single" w:sz="4" w:space="0" w:color="002060"/>
              <w:bottom w:val="single" w:sz="4" w:space="0" w:color="002060"/>
            </w:tcBorders>
            <w:noWrap/>
            <w:hideMark/>
          </w:tcPr>
          <w:p w14:paraId="627FFE90"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2020</w:t>
            </w:r>
          </w:p>
        </w:tc>
        <w:tc>
          <w:tcPr>
            <w:tcW w:w="819" w:type="pct"/>
            <w:tcBorders>
              <w:top w:val="single" w:sz="4" w:space="0" w:color="002060"/>
              <w:bottom w:val="single" w:sz="4" w:space="0" w:color="002060"/>
            </w:tcBorders>
            <w:noWrap/>
            <w:hideMark/>
          </w:tcPr>
          <w:p w14:paraId="6355D066"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2021/III</w:t>
            </w:r>
          </w:p>
        </w:tc>
      </w:tr>
      <w:tr w:rsidR="001E3E7D" w:rsidRPr="00A173E9" w14:paraId="5C67545A"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single" w:sz="4" w:space="0" w:color="FFFFFF" w:themeColor="background1"/>
              <w:bottom w:val="nil"/>
            </w:tcBorders>
            <w:shd w:val="clear" w:color="auto" w:fill="E7E6E6" w:themeFill="background2"/>
            <w:noWrap/>
            <w:hideMark/>
          </w:tcPr>
          <w:p w14:paraId="2BEABB47"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EUR</w:t>
            </w:r>
          </w:p>
        </w:tc>
        <w:tc>
          <w:tcPr>
            <w:tcW w:w="818" w:type="pct"/>
            <w:tcBorders>
              <w:top w:val="single" w:sz="4" w:space="0" w:color="002060"/>
              <w:bottom w:val="nil"/>
            </w:tcBorders>
            <w:shd w:val="clear" w:color="auto" w:fill="E7E6E6" w:themeFill="background2"/>
            <w:noWrap/>
            <w:hideMark/>
          </w:tcPr>
          <w:p w14:paraId="671F54F4"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9.216,7</w:t>
            </w:r>
          </w:p>
        </w:tc>
        <w:tc>
          <w:tcPr>
            <w:tcW w:w="819" w:type="pct"/>
            <w:tcBorders>
              <w:top w:val="single" w:sz="4" w:space="0" w:color="002060"/>
              <w:bottom w:val="nil"/>
            </w:tcBorders>
            <w:shd w:val="clear" w:color="auto" w:fill="E7E6E6" w:themeFill="background2"/>
            <w:noWrap/>
            <w:hideMark/>
          </w:tcPr>
          <w:p w14:paraId="380AFD64"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10.582,5</w:t>
            </w:r>
          </w:p>
        </w:tc>
        <w:tc>
          <w:tcPr>
            <w:tcW w:w="818" w:type="pct"/>
            <w:tcBorders>
              <w:top w:val="single" w:sz="4" w:space="0" w:color="002060"/>
              <w:bottom w:val="nil"/>
            </w:tcBorders>
            <w:shd w:val="clear" w:color="auto" w:fill="E7E6E6" w:themeFill="background2"/>
            <w:noWrap/>
            <w:hideMark/>
          </w:tcPr>
          <w:p w14:paraId="18A7BC9F"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13.222,5</w:t>
            </w:r>
          </w:p>
        </w:tc>
        <w:tc>
          <w:tcPr>
            <w:tcW w:w="819" w:type="pct"/>
            <w:tcBorders>
              <w:top w:val="single" w:sz="4" w:space="0" w:color="002060"/>
              <w:bottom w:val="nil"/>
            </w:tcBorders>
            <w:shd w:val="clear" w:color="auto" w:fill="E7E6E6" w:themeFill="background2"/>
            <w:noWrap/>
            <w:hideMark/>
          </w:tcPr>
          <w:p w14:paraId="75FBEAB0"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14.254,7</w:t>
            </w:r>
          </w:p>
        </w:tc>
      </w:tr>
      <w:tr w:rsidR="001E3E7D" w:rsidRPr="00A173E9" w14:paraId="6E4A00AE" w14:textId="77777777" w:rsidTr="008265F0">
        <w:trPr>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031BE8A0"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USD</w:t>
            </w:r>
          </w:p>
        </w:tc>
        <w:tc>
          <w:tcPr>
            <w:tcW w:w="818" w:type="pct"/>
            <w:tcBorders>
              <w:top w:val="nil"/>
              <w:left w:val="nil"/>
              <w:bottom w:val="nil"/>
              <w:right w:val="nil"/>
            </w:tcBorders>
            <w:noWrap/>
            <w:hideMark/>
          </w:tcPr>
          <w:p w14:paraId="60B7F320"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6.963,9</w:t>
            </w:r>
          </w:p>
        </w:tc>
        <w:tc>
          <w:tcPr>
            <w:tcW w:w="819" w:type="pct"/>
            <w:tcBorders>
              <w:top w:val="nil"/>
              <w:left w:val="nil"/>
              <w:bottom w:val="nil"/>
              <w:right w:val="nil"/>
            </w:tcBorders>
            <w:noWrap/>
            <w:hideMark/>
          </w:tcPr>
          <w:p w14:paraId="0BF70AE4"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5.397,3</w:t>
            </w:r>
          </w:p>
        </w:tc>
        <w:tc>
          <w:tcPr>
            <w:tcW w:w="818" w:type="pct"/>
            <w:tcBorders>
              <w:top w:val="nil"/>
              <w:left w:val="nil"/>
              <w:bottom w:val="nil"/>
              <w:right w:val="nil"/>
            </w:tcBorders>
            <w:noWrap/>
            <w:hideMark/>
          </w:tcPr>
          <w:p w14:paraId="1F698567"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4.323,9</w:t>
            </w:r>
          </w:p>
        </w:tc>
        <w:tc>
          <w:tcPr>
            <w:tcW w:w="819" w:type="pct"/>
            <w:tcBorders>
              <w:top w:val="nil"/>
              <w:left w:val="nil"/>
              <w:bottom w:val="nil"/>
              <w:right w:val="nil"/>
            </w:tcBorders>
            <w:noWrap/>
            <w:hideMark/>
          </w:tcPr>
          <w:p w14:paraId="2E2F7937"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4.042,4</w:t>
            </w:r>
          </w:p>
        </w:tc>
      </w:tr>
      <w:tr w:rsidR="001E3E7D" w:rsidRPr="00A173E9" w14:paraId="15FE23AA"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2808FAEA"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RSD</w:t>
            </w:r>
          </w:p>
        </w:tc>
        <w:tc>
          <w:tcPr>
            <w:tcW w:w="818" w:type="pct"/>
            <w:tcBorders>
              <w:top w:val="nil"/>
              <w:bottom w:val="nil"/>
            </w:tcBorders>
            <w:shd w:val="clear" w:color="auto" w:fill="E7E6E6" w:themeFill="background2"/>
            <w:noWrap/>
            <w:hideMark/>
          </w:tcPr>
          <w:p w14:paraId="7B8EA577"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708.389,1</w:t>
            </w:r>
          </w:p>
        </w:tc>
        <w:tc>
          <w:tcPr>
            <w:tcW w:w="819" w:type="pct"/>
            <w:tcBorders>
              <w:top w:val="nil"/>
              <w:bottom w:val="nil"/>
            </w:tcBorders>
            <w:shd w:val="clear" w:color="auto" w:fill="E7E6E6" w:themeFill="background2"/>
            <w:noWrap/>
            <w:hideMark/>
          </w:tcPr>
          <w:p w14:paraId="2A6ECADB"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781.250,4</w:t>
            </w:r>
          </w:p>
        </w:tc>
        <w:tc>
          <w:tcPr>
            <w:tcW w:w="818" w:type="pct"/>
            <w:tcBorders>
              <w:top w:val="nil"/>
              <w:bottom w:val="nil"/>
            </w:tcBorders>
            <w:shd w:val="clear" w:color="auto" w:fill="E7E6E6" w:themeFill="background2"/>
            <w:noWrap/>
            <w:hideMark/>
          </w:tcPr>
          <w:p w14:paraId="7768FA83"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957.952,2</w:t>
            </w:r>
          </w:p>
        </w:tc>
        <w:tc>
          <w:tcPr>
            <w:tcW w:w="819" w:type="pct"/>
            <w:tcBorders>
              <w:top w:val="nil"/>
              <w:bottom w:val="nil"/>
            </w:tcBorders>
            <w:shd w:val="clear" w:color="auto" w:fill="E7E6E6" w:themeFill="background2"/>
            <w:noWrap/>
            <w:hideMark/>
          </w:tcPr>
          <w:p w14:paraId="115F7452"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1.010.064,7</w:t>
            </w:r>
          </w:p>
        </w:tc>
      </w:tr>
      <w:tr w:rsidR="001E3E7D" w:rsidRPr="00A173E9" w14:paraId="27978CD5" w14:textId="77777777" w:rsidTr="008265F0">
        <w:trPr>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nil"/>
              <w:right w:val="nil"/>
            </w:tcBorders>
            <w:noWrap/>
            <w:hideMark/>
          </w:tcPr>
          <w:p w14:paraId="51AAFB3C" w14:textId="77777777" w:rsidR="001E3E7D" w:rsidRPr="00A173E9" w:rsidRDefault="001E3E7D" w:rsidP="008265F0">
            <w:pPr>
              <w:spacing w:line="240" w:lineRule="auto"/>
              <w:rPr>
                <w:rFonts w:ascii="Calibri" w:hAnsi="Calibri" w:cs="Calibri"/>
                <w:color w:val="002060"/>
                <w:sz w:val="18"/>
                <w:szCs w:val="18"/>
                <w:lang w:val="sr-Latn-RS"/>
              </w:rPr>
            </w:pPr>
            <w:r w:rsidRPr="00A173E9">
              <w:rPr>
                <w:rFonts w:ascii="Calibri" w:hAnsi="Calibri" w:cs="Calibri"/>
                <w:color w:val="002060"/>
                <w:sz w:val="18"/>
                <w:szCs w:val="18"/>
                <w:lang w:val="sr-Cyrl-RS"/>
              </w:rPr>
              <w:t>CHF</w:t>
            </w:r>
          </w:p>
        </w:tc>
        <w:tc>
          <w:tcPr>
            <w:tcW w:w="818" w:type="pct"/>
            <w:tcBorders>
              <w:top w:val="nil"/>
              <w:left w:val="nil"/>
              <w:bottom w:val="nil"/>
              <w:right w:val="nil"/>
            </w:tcBorders>
            <w:noWrap/>
            <w:hideMark/>
          </w:tcPr>
          <w:p w14:paraId="27751BC4"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120,7</w:t>
            </w:r>
          </w:p>
        </w:tc>
        <w:tc>
          <w:tcPr>
            <w:tcW w:w="819" w:type="pct"/>
            <w:tcBorders>
              <w:top w:val="nil"/>
              <w:left w:val="nil"/>
              <w:bottom w:val="nil"/>
              <w:right w:val="nil"/>
            </w:tcBorders>
            <w:noWrap/>
            <w:hideMark/>
          </w:tcPr>
          <w:p w14:paraId="52B7086A"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110,5</w:t>
            </w:r>
          </w:p>
        </w:tc>
        <w:tc>
          <w:tcPr>
            <w:tcW w:w="818" w:type="pct"/>
            <w:tcBorders>
              <w:top w:val="nil"/>
              <w:left w:val="nil"/>
              <w:bottom w:val="nil"/>
              <w:right w:val="nil"/>
            </w:tcBorders>
            <w:noWrap/>
            <w:hideMark/>
          </w:tcPr>
          <w:p w14:paraId="52CABF05"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90,3</w:t>
            </w:r>
          </w:p>
        </w:tc>
        <w:tc>
          <w:tcPr>
            <w:tcW w:w="819" w:type="pct"/>
            <w:tcBorders>
              <w:top w:val="nil"/>
              <w:left w:val="nil"/>
              <w:bottom w:val="nil"/>
              <w:right w:val="nil"/>
            </w:tcBorders>
            <w:noWrap/>
            <w:hideMark/>
          </w:tcPr>
          <w:p w14:paraId="470F0DF7"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83,9</w:t>
            </w:r>
          </w:p>
        </w:tc>
      </w:tr>
      <w:tr w:rsidR="001E3E7D" w:rsidRPr="00A173E9" w14:paraId="489418A0" w14:textId="77777777" w:rsidTr="001D4D24">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1725" w:type="pct"/>
            <w:tcBorders>
              <w:top w:val="nil"/>
              <w:bottom w:val="nil"/>
            </w:tcBorders>
            <w:shd w:val="clear" w:color="auto" w:fill="E7E6E6" w:themeFill="background2"/>
            <w:noWrap/>
            <w:hideMark/>
          </w:tcPr>
          <w:p w14:paraId="7C028185"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Специјална права вучења</w:t>
            </w:r>
          </w:p>
        </w:tc>
        <w:tc>
          <w:tcPr>
            <w:tcW w:w="818" w:type="pct"/>
            <w:tcBorders>
              <w:top w:val="nil"/>
              <w:bottom w:val="nil"/>
            </w:tcBorders>
            <w:shd w:val="clear" w:color="auto" w:fill="E7E6E6" w:themeFill="background2"/>
            <w:noWrap/>
            <w:hideMark/>
          </w:tcPr>
          <w:p w14:paraId="072FC9B9"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618,1</w:t>
            </w:r>
          </w:p>
        </w:tc>
        <w:tc>
          <w:tcPr>
            <w:tcW w:w="819" w:type="pct"/>
            <w:tcBorders>
              <w:top w:val="nil"/>
              <w:bottom w:val="nil"/>
            </w:tcBorders>
            <w:shd w:val="clear" w:color="auto" w:fill="E7E6E6" w:themeFill="background2"/>
            <w:noWrap/>
            <w:hideMark/>
          </w:tcPr>
          <w:p w14:paraId="4F5A822B"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570,4</w:t>
            </w:r>
          </w:p>
        </w:tc>
        <w:tc>
          <w:tcPr>
            <w:tcW w:w="818" w:type="pct"/>
            <w:tcBorders>
              <w:top w:val="nil"/>
              <w:bottom w:val="nil"/>
            </w:tcBorders>
            <w:shd w:val="clear" w:color="auto" w:fill="E7E6E6" w:themeFill="background2"/>
            <w:noWrap/>
            <w:hideMark/>
          </w:tcPr>
          <w:p w14:paraId="5E407BCB"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522,7</w:t>
            </w:r>
          </w:p>
        </w:tc>
        <w:tc>
          <w:tcPr>
            <w:tcW w:w="819" w:type="pct"/>
            <w:tcBorders>
              <w:top w:val="nil"/>
              <w:bottom w:val="nil"/>
            </w:tcBorders>
            <w:shd w:val="clear" w:color="auto" w:fill="E7E6E6" w:themeFill="background2"/>
            <w:noWrap/>
            <w:hideMark/>
          </w:tcPr>
          <w:p w14:paraId="6ADA0238" w14:textId="77777777" w:rsidR="001E3E7D" w:rsidRPr="00A173E9" w:rsidRDefault="001E3E7D" w:rsidP="008265F0">
            <w:pPr>
              <w:spacing w:line="240" w:lineRule="auto"/>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506,9</w:t>
            </w:r>
          </w:p>
        </w:tc>
      </w:tr>
      <w:tr w:rsidR="001E3E7D" w:rsidRPr="00A173E9" w14:paraId="15091820" w14:textId="77777777" w:rsidTr="008265F0">
        <w:trPr>
          <w:trHeight w:val="288"/>
        </w:trPr>
        <w:tc>
          <w:tcPr>
            <w:cnfStyle w:val="001000000000" w:firstRow="0" w:lastRow="0" w:firstColumn="1" w:lastColumn="0" w:oddVBand="0" w:evenVBand="0" w:oddHBand="0" w:evenHBand="0" w:firstRowFirstColumn="0" w:firstRowLastColumn="0" w:lastRowFirstColumn="0" w:lastRowLastColumn="0"/>
            <w:tcW w:w="1725" w:type="pct"/>
            <w:tcBorders>
              <w:top w:val="nil"/>
              <w:left w:val="nil"/>
              <w:bottom w:val="single" w:sz="4" w:space="0" w:color="002060"/>
              <w:right w:val="nil"/>
            </w:tcBorders>
            <w:noWrap/>
            <w:hideMark/>
          </w:tcPr>
          <w:p w14:paraId="74819CBF"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Друге валуте (у RSD)</w:t>
            </w:r>
          </w:p>
        </w:tc>
        <w:tc>
          <w:tcPr>
            <w:tcW w:w="818" w:type="pct"/>
            <w:tcBorders>
              <w:top w:val="nil"/>
              <w:left w:val="nil"/>
              <w:bottom w:val="single" w:sz="4" w:space="0" w:color="002060"/>
              <w:right w:val="nil"/>
            </w:tcBorders>
            <w:noWrap/>
            <w:hideMark/>
          </w:tcPr>
          <w:p w14:paraId="2B67376F"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100.910,4</w:t>
            </w:r>
          </w:p>
        </w:tc>
        <w:tc>
          <w:tcPr>
            <w:tcW w:w="819" w:type="pct"/>
            <w:tcBorders>
              <w:top w:val="nil"/>
              <w:left w:val="nil"/>
              <w:bottom w:val="single" w:sz="4" w:space="0" w:color="002060"/>
              <w:right w:val="nil"/>
            </w:tcBorders>
            <w:noWrap/>
            <w:hideMark/>
          </w:tcPr>
          <w:p w14:paraId="31C67478"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128.958,8</w:t>
            </w:r>
          </w:p>
        </w:tc>
        <w:tc>
          <w:tcPr>
            <w:tcW w:w="818" w:type="pct"/>
            <w:tcBorders>
              <w:top w:val="nil"/>
              <w:left w:val="nil"/>
              <w:bottom w:val="single" w:sz="4" w:space="0" w:color="002060"/>
              <w:right w:val="nil"/>
            </w:tcBorders>
            <w:noWrap/>
            <w:hideMark/>
          </w:tcPr>
          <w:p w14:paraId="256EDC96"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127.674,8</w:t>
            </w:r>
          </w:p>
        </w:tc>
        <w:tc>
          <w:tcPr>
            <w:tcW w:w="819" w:type="pct"/>
            <w:tcBorders>
              <w:top w:val="nil"/>
              <w:left w:val="nil"/>
              <w:bottom w:val="single" w:sz="4" w:space="0" w:color="002060"/>
              <w:right w:val="nil"/>
            </w:tcBorders>
            <w:noWrap/>
            <w:hideMark/>
          </w:tcPr>
          <w:p w14:paraId="29113ACA" w14:textId="77777777" w:rsidR="001E3E7D" w:rsidRPr="00A173E9" w:rsidRDefault="001E3E7D" w:rsidP="008265F0">
            <w:pPr>
              <w:spacing w:line="240" w:lineRule="auto"/>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135.805,8</w:t>
            </w:r>
          </w:p>
        </w:tc>
      </w:tr>
    </w:tbl>
    <w:p w14:paraId="18EF34B5" w14:textId="77777777" w:rsidR="001E3E7D" w:rsidRPr="00A173E9" w:rsidRDefault="001E3E7D" w:rsidP="008265F0">
      <w:pPr>
        <w:spacing w:after="0" w:line="256" w:lineRule="auto"/>
        <w:jc w:val="left"/>
        <w:rPr>
          <w:rFonts w:ascii="Calibri" w:eastAsia="Calibri" w:hAnsi="Calibri" w:cs="Calibri"/>
          <w:sz w:val="14"/>
          <w:lang w:val="sr-Cyrl-RS"/>
        </w:rPr>
        <w:sectPr w:rsidR="001E3E7D" w:rsidRPr="00A173E9">
          <w:type w:val="continuous"/>
          <w:pgSz w:w="12240" w:h="15840"/>
          <w:pgMar w:top="1440" w:right="1440" w:bottom="1440" w:left="1440" w:header="720" w:footer="720" w:gutter="0"/>
          <w:cols w:space="720"/>
        </w:sectPr>
      </w:pPr>
    </w:p>
    <w:p w14:paraId="2BC5B64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lastRenderedPageBreak/>
        <w:t>У складу са тежњом да се смањи изложеност валутном ризику, продужи рочност и настави са развојем нових инструмената задуживања на домаћем финансијском тржишту, основни извор финансирања у периоду 2018–2021. године су емисије динарских хартија од вредности, што је утицало на повећање учешћа јавног дуга централног нивоа власти у динарима са 26,0% на крају 2018. године на 30,5% јавног дуга Републике Србије на крају марта 2021. године, односно са 708,4 млрд динара колико је износио јавни дуг у динарима на крају 2018. године на 1.010,1 млрд динара на крају марта 2021. године.</w:t>
      </w:r>
    </w:p>
    <w:p w14:paraId="5AEDC5C9"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Према подацима од 31. марта 2021. године, највећи део јавног дуга општег нивоа државе Републике Србије је и даље деноминован у еврима и износи 51,2%. Затим су највише заступљени динар са 30,2% и амерички долар са 12,1%. Остатак дуга је деноминован у специјалним правима вучења 2,2% и осталим валутама 4,3%. Захваљујући континуираном развоју домаћег тржишта хартија од вредности и постепеном повећању обима емисија у домаћој валути, дошло је до значајног раста учешћа дуга у домаћој валути у претходним годинама, које је на крају 2011. године износило само 16,4%. Државне обвезнице емитоване у динарима на домаћем тржишту током 2020. године чиниле чак 8</w:t>
      </w:r>
      <w:r w:rsidRPr="00A173E9">
        <w:rPr>
          <w:rFonts w:ascii="Calibri" w:eastAsia="Calibri" w:hAnsi="Calibri" w:cs="Calibri"/>
          <w:bCs/>
          <w:szCs w:val="72"/>
          <w:lang w:val="sr-Latn-RS"/>
        </w:rPr>
        <w:t>7</w:t>
      </w:r>
      <w:r w:rsidRPr="00A173E9">
        <w:rPr>
          <w:rFonts w:ascii="Calibri" w:eastAsia="Calibri" w:hAnsi="Calibri" w:cs="Calibri"/>
          <w:bCs/>
          <w:szCs w:val="72"/>
          <w:lang w:val="sr-Cyrl-RS"/>
        </w:rPr>
        <w:t>,</w:t>
      </w:r>
      <w:r w:rsidRPr="00A173E9">
        <w:rPr>
          <w:rFonts w:ascii="Calibri" w:eastAsia="Calibri" w:hAnsi="Calibri" w:cs="Calibri"/>
          <w:bCs/>
          <w:szCs w:val="72"/>
          <w:lang w:val="sr-Latn-RS"/>
        </w:rPr>
        <w:t>2</w:t>
      </w:r>
      <w:r w:rsidRPr="00A173E9">
        <w:rPr>
          <w:rFonts w:ascii="Calibri" w:eastAsia="Calibri" w:hAnsi="Calibri" w:cs="Calibri"/>
          <w:bCs/>
          <w:szCs w:val="72"/>
          <w:lang w:val="sr-Cyrl-RS"/>
        </w:rPr>
        <w:t>% укупне реализације.</w:t>
      </w:r>
    </w:p>
    <w:p w14:paraId="6EC9989E"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Валутна структура дуга општег нивоа државе у периоду од 2018. до 31. марта 2021. године</w:t>
      </w:r>
    </w:p>
    <w:p w14:paraId="46F0D51E" w14:textId="77777777" w:rsidR="001E3E7D" w:rsidRPr="00A173E9" w:rsidRDefault="001E3E7D" w:rsidP="008265F0">
      <w:pPr>
        <w:spacing w:line="256" w:lineRule="auto"/>
        <w:rPr>
          <w:rFonts w:ascii="Calibri" w:eastAsia="Calibri" w:hAnsi="Calibri" w:cs="Times New Roman"/>
          <w:b/>
          <w:lang w:val="sr-Cyrl-RS"/>
        </w:rPr>
      </w:pPr>
      <w:r w:rsidRPr="00A173E9">
        <w:rPr>
          <w:rFonts w:ascii="Calibri" w:eastAsia="Calibri" w:hAnsi="Calibri" w:cs="Times New Roman"/>
          <w:noProof/>
        </w:rPr>
        <w:drawing>
          <wp:inline distT="0" distB="0" distL="0" distR="0" wp14:anchorId="1C40937D" wp14:editId="7466F295">
            <wp:extent cx="2797810" cy="2326640"/>
            <wp:effectExtent l="0" t="0" r="2540" b="0"/>
            <wp:docPr id="5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202CB325" w14:textId="77777777" w:rsidR="001E3E7D" w:rsidRPr="00A173E9" w:rsidRDefault="00354D25" w:rsidP="008265F0">
      <w:pPr>
        <w:spacing w:line="256" w:lineRule="auto"/>
        <w:rPr>
          <w:rFonts w:ascii="Calibri" w:eastAsia="Calibri" w:hAnsi="Calibri" w:cs="Calibri"/>
          <w:bCs/>
          <w:szCs w:val="72"/>
          <w:lang w:val="sr-Cyrl-RS"/>
        </w:rPr>
      </w:pPr>
      <w:r>
        <w:rPr>
          <w:rFonts w:ascii="Calibri" w:eastAsia="Calibri" w:hAnsi="Calibri" w:cs="Calibri"/>
          <w:bCs/>
          <w:szCs w:val="72"/>
          <w:lang w:val="sr-Cyrl-RS"/>
        </w:rPr>
        <w:br w:type="column"/>
      </w:r>
      <w:r w:rsidR="001E3E7D" w:rsidRPr="00A173E9">
        <w:rPr>
          <w:rFonts w:ascii="Calibri" w:eastAsia="Calibri" w:hAnsi="Calibri" w:cs="Calibri"/>
          <w:bCs/>
          <w:szCs w:val="72"/>
          <w:lang w:val="sr-Cyrl-RS"/>
        </w:rPr>
        <w:t>На дан 3</w:t>
      </w:r>
      <w:r w:rsidR="001E3E7D" w:rsidRPr="00A173E9">
        <w:rPr>
          <w:rFonts w:ascii="Calibri" w:eastAsia="Calibri" w:hAnsi="Calibri" w:cs="Calibri"/>
          <w:bCs/>
          <w:szCs w:val="72"/>
          <w:lang w:val="sr-Latn-RS"/>
        </w:rPr>
        <w:t>1</w:t>
      </w:r>
      <w:r w:rsidR="001E3E7D" w:rsidRPr="00A173E9">
        <w:rPr>
          <w:rFonts w:ascii="Calibri" w:eastAsia="Calibri" w:hAnsi="Calibri" w:cs="Calibri"/>
          <w:bCs/>
          <w:szCs w:val="72"/>
          <w:lang w:val="sr-Cyrl-RS"/>
        </w:rPr>
        <w:t>. март 2021. године, највећи део јавног дуга општег нивоа државе Републике Србије је са фиксном каматном стопом – 86,4%, док се на јавни дуг са варијабилном каматном стопом односи 13,6% укупног јавног дуга. Међу варијабилним каматним стопама највише су заступљени EURIBOR и LIBOR на евро који чине 82,4%, затим варијабилна каматна стопа за специјална права вучења 12,1% и LIBOR на амерички долар 2,9%, док је учешће обавеза са осталим каматним стопама 2,6%.</w:t>
      </w:r>
    </w:p>
    <w:p w14:paraId="6DE164B6" w14:textId="77777777" w:rsidR="001E3E7D" w:rsidRPr="00A173E9" w:rsidRDefault="001E3E7D" w:rsidP="008265F0">
      <w:pPr>
        <w:spacing w:line="256" w:lineRule="auto"/>
        <w:jc w:val="center"/>
        <w:rPr>
          <w:rFonts w:ascii="Calibri" w:eastAsia="Calibri" w:hAnsi="Calibri" w:cs="Calibri"/>
          <w:bCs/>
          <w:color w:val="002060"/>
          <w:szCs w:val="72"/>
          <w:lang w:val="sr-Cyrl-RS"/>
        </w:rPr>
      </w:pPr>
      <w:r w:rsidRPr="00A173E9">
        <w:rPr>
          <w:rFonts w:ascii="Calibri" w:eastAsia="Calibri" w:hAnsi="Calibri" w:cs="Times New Roman"/>
          <w:b/>
          <w:color w:val="002060"/>
          <w:lang w:val="sr-Cyrl-RS"/>
        </w:rPr>
        <w:t>Структура каматних стопа дуга општег нивоа државе у периоду од 2018. до 31. марта 2021. године, %</w:t>
      </w:r>
    </w:p>
    <w:p w14:paraId="7AE184E3"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Times New Roman"/>
          <w:noProof/>
        </w:rPr>
        <w:drawing>
          <wp:inline distT="0" distB="0" distL="0" distR="0" wp14:anchorId="2C75259B" wp14:editId="25307F4E">
            <wp:extent cx="2743200" cy="2197100"/>
            <wp:effectExtent l="0" t="0" r="0" b="0"/>
            <wp:docPr id="56"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38B3F286" w14:textId="77777777" w:rsidR="001E3E7D" w:rsidRPr="00A173E9" w:rsidRDefault="001E3E7D" w:rsidP="008265F0">
      <w:pPr>
        <w:spacing w:line="256" w:lineRule="auto"/>
        <w:rPr>
          <w:rFonts w:ascii="Calibri" w:eastAsia="Calibri" w:hAnsi="Calibri" w:cs="Calibri"/>
          <w:bCs/>
          <w:szCs w:val="72"/>
          <w:lang w:val="sr-Latn-RS"/>
        </w:rPr>
      </w:pPr>
      <w:r w:rsidRPr="00A173E9">
        <w:rPr>
          <w:rFonts w:ascii="Calibri" w:eastAsia="Calibri" w:hAnsi="Calibri" w:cs="Calibri"/>
          <w:bCs/>
          <w:szCs w:val="72"/>
          <w:lang w:val="sr-Cyrl-RS"/>
        </w:rPr>
        <w:t>У последњих неколико година присутан је тренд пада трошкова задуживања, који је најизраженији код државних хартија од вредности емитованих на домаћем тржишту. До пада је дошло захваљујући расту кредитног рејтинга земље, односно смањењу премије ризика, ниској стопи инфлације и паду референтне каматне стопе НБС, која тренутно износи 1,0%, чиме је настављен тренд започет у последњем кварталу 2012. године. Током 2020. године, захваљујући оствареним резултатима међу којима је као један од најзначајнијих наведен управљање јавним дугом, и упркос пандемији изазваној коронавирусом COVID-19, све рејтинг агенције потврдиле су кредитни рејтинг Републике Србије са стабилним изгледима за даље повећање. Почетком марта 2021. рејтинг агенција Moody’s повећала је кредитни рејтинг на Ба2 са Ба3</w:t>
      </w:r>
      <w:r w:rsidRPr="00A173E9">
        <w:rPr>
          <w:rFonts w:ascii="Calibri" w:eastAsia="Calibri" w:hAnsi="Calibri" w:cs="Calibri"/>
          <w:bCs/>
          <w:szCs w:val="72"/>
          <w:lang w:val="sr-Latn-RS"/>
        </w:rPr>
        <w:t xml:space="preserve">, </w:t>
      </w:r>
      <w:r w:rsidRPr="00A173E9">
        <w:rPr>
          <w:rFonts w:ascii="Calibri" w:eastAsia="Calibri" w:hAnsi="Calibri" w:cs="Calibri"/>
          <w:bCs/>
          <w:szCs w:val="72"/>
          <w:lang w:val="sr-Cyrl-RS"/>
        </w:rPr>
        <w:t>уз стабилне изгледе за даље побољшање.</w:t>
      </w:r>
    </w:p>
    <w:p w14:paraId="6A6BD478" w14:textId="77777777" w:rsidR="00A55F27" w:rsidRDefault="00A55F27" w:rsidP="008265F0">
      <w:pPr>
        <w:spacing w:line="256" w:lineRule="auto"/>
        <w:jc w:val="center"/>
        <w:rPr>
          <w:rFonts w:ascii="Calibri" w:eastAsia="Calibri" w:hAnsi="Calibri" w:cs="Times New Roman"/>
          <w:b/>
          <w:color w:val="002060"/>
          <w:spacing w:val="-2"/>
          <w:lang w:val="sr-Cyrl-RS"/>
        </w:rPr>
      </w:pPr>
    </w:p>
    <w:p w14:paraId="45C2FEF9" w14:textId="77777777" w:rsidR="001E3E7D" w:rsidRPr="00A173E9" w:rsidRDefault="001E3E7D" w:rsidP="008265F0">
      <w:pPr>
        <w:spacing w:line="256" w:lineRule="auto"/>
        <w:jc w:val="center"/>
        <w:rPr>
          <w:rFonts w:ascii="Calibri" w:eastAsia="Calibri" w:hAnsi="Calibri" w:cs="Times New Roman"/>
          <w:b/>
          <w:color w:val="002060"/>
          <w:spacing w:val="-2"/>
          <w:lang w:val="sr-Cyrl-RS"/>
        </w:rPr>
      </w:pPr>
      <w:r w:rsidRPr="00A173E9">
        <w:rPr>
          <w:rFonts w:ascii="Calibri" w:eastAsia="Calibri" w:hAnsi="Calibri" w:cs="Times New Roman"/>
          <w:b/>
          <w:color w:val="002060"/>
          <w:spacing w:val="-2"/>
          <w:lang w:val="sr-Cyrl-RS"/>
        </w:rPr>
        <w:lastRenderedPageBreak/>
        <w:t>Преглед кретања просечних извршних каматних стопа на динарске државне хартије од вредности у периоду 2014–31. март 2021. године</w:t>
      </w:r>
    </w:p>
    <w:p w14:paraId="64BC6834" w14:textId="77777777" w:rsidR="001E3E7D" w:rsidRPr="00A173E9" w:rsidRDefault="001E3E7D" w:rsidP="008265F0">
      <w:pPr>
        <w:spacing w:line="256" w:lineRule="auto"/>
        <w:ind w:hanging="142"/>
        <w:rPr>
          <w:rFonts w:ascii="Calibri" w:eastAsia="Calibri" w:hAnsi="Calibri" w:cs="Times New Roman"/>
          <w:b/>
          <w:lang w:val="sr-Cyrl-RS"/>
        </w:rPr>
      </w:pPr>
      <w:r w:rsidRPr="00A173E9">
        <w:rPr>
          <w:rFonts w:ascii="Calibri" w:eastAsia="Calibri" w:hAnsi="Calibri" w:cs="Times New Roman"/>
          <w:noProof/>
        </w:rPr>
        <w:drawing>
          <wp:inline distT="0" distB="0" distL="0" distR="0" wp14:anchorId="50909E90" wp14:editId="571FE23D">
            <wp:extent cx="3084195" cy="3227705"/>
            <wp:effectExtent l="0" t="0" r="0" b="0"/>
            <wp:docPr id="55"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Pr="00A173E9">
        <w:rPr>
          <w:rFonts w:ascii="Calibri" w:eastAsia="Calibri" w:hAnsi="Calibri" w:cs="Times New Roman"/>
          <w:b/>
          <w:color w:val="002060"/>
          <w:lang w:val="sr-Cyrl-RS"/>
        </w:rPr>
        <w:t>Преглед кретања просечних извршних каматних стопа на евро деноминоване државне хартије од вредности у периоду 2014–3</w:t>
      </w:r>
      <w:r w:rsidRPr="00A173E9">
        <w:rPr>
          <w:rFonts w:ascii="Calibri" w:eastAsia="Calibri" w:hAnsi="Calibri" w:cs="Times New Roman"/>
          <w:b/>
          <w:color w:val="002060"/>
          <w:lang w:val="sr-Latn-RS"/>
        </w:rPr>
        <w:t>1</w:t>
      </w:r>
      <w:r w:rsidRPr="00A173E9">
        <w:rPr>
          <w:rFonts w:ascii="Calibri" w:eastAsia="Calibri" w:hAnsi="Calibri" w:cs="Times New Roman"/>
          <w:b/>
          <w:color w:val="002060"/>
          <w:lang w:val="sr-Cyrl-RS"/>
        </w:rPr>
        <w:t>. март 2021. године</w:t>
      </w:r>
    </w:p>
    <w:p w14:paraId="2AF67340" w14:textId="77777777" w:rsidR="001E3E7D" w:rsidRPr="00A173E9" w:rsidRDefault="001E3E7D" w:rsidP="008265F0">
      <w:pPr>
        <w:spacing w:line="256" w:lineRule="auto"/>
        <w:rPr>
          <w:rFonts w:ascii="Calibri" w:eastAsia="Calibri" w:hAnsi="Calibri" w:cs="Times New Roman"/>
          <w:b/>
          <w:lang w:val="sr-Cyrl-RS"/>
        </w:rPr>
      </w:pPr>
      <w:r w:rsidRPr="00A173E9">
        <w:rPr>
          <w:rFonts w:ascii="Calibri" w:eastAsia="Calibri" w:hAnsi="Calibri" w:cs="Times New Roman"/>
          <w:noProof/>
        </w:rPr>
        <w:drawing>
          <wp:inline distT="0" distB="0" distL="0" distR="0" wp14:anchorId="7D371586" wp14:editId="4541ADF1">
            <wp:extent cx="3098165" cy="3466465"/>
            <wp:effectExtent l="0" t="0" r="0" b="0"/>
            <wp:docPr id="5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4BB0285B" w14:textId="77777777" w:rsidR="001E3E7D" w:rsidRPr="00A173E9" w:rsidRDefault="001E3E7D" w:rsidP="008265F0">
      <w:pPr>
        <w:spacing w:after="0" w:line="256" w:lineRule="auto"/>
        <w:jc w:val="center"/>
        <w:rPr>
          <w:rFonts w:ascii="Calibri" w:eastAsia="Calibri" w:hAnsi="Calibri" w:cs="Times New Roman"/>
          <w:b/>
          <w:bCs/>
          <w:color w:val="002060"/>
          <w:spacing w:val="-4"/>
          <w:lang w:val="sr-Cyrl-RS"/>
        </w:rPr>
      </w:pPr>
      <w:r w:rsidRPr="00A173E9">
        <w:rPr>
          <w:rFonts w:ascii="Calibri" w:eastAsia="Calibri" w:hAnsi="Calibri" w:cs="Times New Roman"/>
          <w:b/>
          <w:bCs/>
          <w:color w:val="002060"/>
          <w:spacing w:val="-4"/>
          <w:lang w:val="sr-Cyrl-RS"/>
        </w:rPr>
        <w:t xml:space="preserve">Преглед кретања цене и приноса на </w:t>
      </w:r>
      <w:r w:rsidRPr="00A173E9">
        <w:rPr>
          <w:rFonts w:ascii="Calibri" w:eastAsia="Calibri" w:hAnsi="Calibri" w:cs="Times New Roman"/>
          <w:b/>
          <w:bCs/>
          <w:color w:val="002060"/>
          <w:spacing w:val="-4"/>
          <w:lang w:val="sr-Cyrl-RS"/>
        </w:rPr>
        <w:br w:type="textWrapping" w:clear="all"/>
        <w:t>еврообвезницу Србија 2021</w:t>
      </w:r>
    </w:p>
    <w:p w14:paraId="4008F730" w14:textId="77777777" w:rsidR="001E3E7D" w:rsidRPr="00A173E9" w:rsidRDefault="001E3E7D" w:rsidP="008265F0">
      <w:pPr>
        <w:spacing w:after="0" w:line="256" w:lineRule="auto"/>
        <w:rPr>
          <w:rFonts w:ascii="Calibri" w:eastAsia="Calibri" w:hAnsi="Calibri" w:cs="Times New Roman"/>
          <w:b/>
          <w:bCs/>
          <w:color w:val="002060"/>
          <w:spacing w:val="-4"/>
          <w:highlight w:val="green"/>
          <w:lang w:val="sr-Cyrl-RS"/>
        </w:rPr>
      </w:pPr>
      <w:r w:rsidRPr="00A173E9">
        <w:rPr>
          <w:rFonts w:ascii="Calibri" w:eastAsia="Calibri" w:hAnsi="Calibri" w:cs="Times New Roman"/>
          <w:noProof/>
        </w:rPr>
        <w:drawing>
          <wp:inline distT="0" distB="0" distL="0" distR="0" wp14:anchorId="03BABE90" wp14:editId="2E2D3CC8">
            <wp:extent cx="2763520" cy="3322955"/>
            <wp:effectExtent l="0" t="0" r="0" b="0"/>
            <wp:docPr id="5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32FFB4E5" w14:textId="77777777" w:rsidR="001E3E7D" w:rsidRPr="00A173E9" w:rsidRDefault="001E3E7D" w:rsidP="008265F0">
      <w:pPr>
        <w:spacing w:after="0" w:line="256" w:lineRule="auto"/>
        <w:rPr>
          <w:rFonts w:ascii="Calibri" w:eastAsia="Calibri" w:hAnsi="Calibri" w:cs="Times New Roman"/>
          <w:b/>
          <w:bCs/>
          <w:color w:val="002060"/>
          <w:spacing w:val="-4"/>
          <w:highlight w:val="green"/>
          <w:lang w:val="sr-Cyrl-RS"/>
        </w:rPr>
      </w:pPr>
    </w:p>
    <w:p w14:paraId="16CB8179" w14:textId="77777777" w:rsidR="001E3E7D" w:rsidRPr="00A173E9" w:rsidRDefault="001E3E7D" w:rsidP="008265F0">
      <w:pPr>
        <w:spacing w:after="0" w:line="256" w:lineRule="auto"/>
        <w:jc w:val="center"/>
        <w:rPr>
          <w:rFonts w:ascii="Calibri" w:eastAsia="Calibri" w:hAnsi="Calibri" w:cs="Times New Roman"/>
          <w:b/>
          <w:bCs/>
          <w:color w:val="002060"/>
          <w:spacing w:val="-4"/>
          <w:lang w:val="sr-Cyrl-RS"/>
        </w:rPr>
      </w:pPr>
      <w:r w:rsidRPr="00A173E9">
        <w:rPr>
          <w:rFonts w:ascii="Calibri" w:eastAsia="Calibri" w:hAnsi="Calibri" w:cs="Times New Roman"/>
          <w:b/>
          <w:bCs/>
          <w:color w:val="002060"/>
          <w:spacing w:val="-4"/>
          <w:lang w:val="sr-Cyrl-RS"/>
        </w:rPr>
        <w:t xml:space="preserve">Преглед кретања цене и приноса на </w:t>
      </w:r>
      <w:r w:rsidRPr="00A173E9">
        <w:rPr>
          <w:rFonts w:ascii="Calibri" w:eastAsia="Calibri" w:hAnsi="Calibri" w:cs="Times New Roman"/>
          <w:b/>
          <w:bCs/>
          <w:color w:val="002060"/>
          <w:spacing w:val="-4"/>
          <w:lang w:val="sr-Cyrl-RS"/>
        </w:rPr>
        <w:br w:type="textWrapping" w:clear="all"/>
        <w:t>еврообвезницу Србија 2029</w:t>
      </w:r>
    </w:p>
    <w:p w14:paraId="1832AEFD" w14:textId="77777777" w:rsidR="001E3E7D" w:rsidRPr="00A173E9" w:rsidRDefault="001E3E7D" w:rsidP="008265F0">
      <w:pPr>
        <w:spacing w:line="256" w:lineRule="auto"/>
        <w:rPr>
          <w:rFonts w:ascii="Calibri" w:eastAsia="Calibri" w:hAnsi="Calibri" w:cs="Times New Roman"/>
          <w:b/>
          <w:highlight w:val="green"/>
          <w:lang w:val="sr-Cyrl-RS"/>
        </w:rPr>
      </w:pPr>
      <w:r w:rsidRPr="00A173E9">
        <w:rPr>
          <w:rFonts w:ascii="Calibri" w:eastAsia="Calibri" w:hAnsi="Calibri" w:cs="Times New Roman"/>
          <w:noProof/>
        </w:rPr>
        <w:drawing>
          <wp:inline distT="0" distB="0" distL="0" distR="0" wp14:anchorId="18818D6A" wp14:editId="3D1ADD4C">
            <wp:extent cx="3016250" cy="3541395"/>
            <wp:effectExtent l="0" t="0" r="0" b="1905"/>
            <wp:docPr id="46" name="Chart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6B6FE3F1" w14:textId="77777777" w:rsidR="001E3E7D" w:rsidRPr="00A173E9" w:rsidRDefault="001E3E7D" w:rsidP="008265F0">
      <w:pPr>
        <w:spacing w:after="0" w:line="256" w:lineRule="auto"/>
        <w:rPr>
          <w:rFonts w:ascii="Calibri" w:eastAsia="Calibri" w:hAnsi="Calibri" w:cs="Times New Roman"/>
          <w:b/>
          <w:bCs/>
          <w:color w:val="002060"/>
          <w:spacing w:val="-4"/>
          <w:lang w:val="sr-Cyrl-RS"/>
        </w:rPr>
      </w:pPr>
    </w:p>
    <w:p w14:paraId="3E88920E" w14:textId="77777777" w:rsidR="001E3E7D" w:rsidRPr="00A173E9" w:rsidRDefault="001E3E7D" w:rsidP="008265F0">
      <w:pPr>
        <w:spacing w:after="0" w:line="256" w:lineRule="auto"/>
        <w:rPr>
          <w:rFonts w:ascii="Calibri" w:eastAsia="Calibri" w:hAnsi="Calibri" w:cs="Times New Roman"/>
          <w:b/>
          <w:bCs/>
          <w:color w:val="002060"/>
          <w:spacing w:val="-4"/>
          <w:highlight w:val="yellow"/>
          <w:lang w:val="sr-Cyrl-RS"/>
        </w:rPr>
      </w:pPr>
    </w:p>
    <w:p w14:paraId="18580685" w14:textId="77777777" w:rsidR="001E3E7D" w:rsidRPr="00A173E9" w:rsidRDefault="001E3E7D" w:rsidP="008265F0">
      <w:pPr>
        <w:spacing w:after="0" w:line="256" w:lineRule="auto"/>
        <w:jc w:val="center"/>
        <w:rPr>
          <w:rFonts w:ascii="Calibri" w:eastAsia="Calibri" w:hAnsi="Calibri" w:cs="Times New Roman"/>
          <w:b/>
          <w:bCs/>
          <w:color w:val="002060"/>
          <w:spacing w:val="-4"/>
          <w:lang w:val="sr-Cyrl-RS"/>
        </w:rPr>
      </w:pPr>
      <w:r w:rsidRPr="00A173E9">
        <w:rPr>
          <w:rFonts w:ascii="Calibri" w:eastAsia="Calibri" w:hAnsi="Calibri" w:cs="Times New Roman"/>
          <w:b/>
          <w:bCs/>
          <w:color w:val="002060"/>
          <w:spacing w:val="-4"/>
          <w:lang w:val="sr-Cyrl-RS"/>
        </w:rPr>
        <w:lastRenderedPageBreak/>
        <w:t xml:space="preserve">Преглед кретања цене и приноса на </w:t>
      </w:r>
      <w:r w:rsidRPr="00A173E9">
        <w:rPr>
          <w:rFonts w:ascii="Calibri" w:eastAsia="Calibri" w:hAnsi="Calibri" w:cs="Times New Roman"/>
          <w:b/>
          <w:bCs/>
          <w:color w:val="002060"/>
          <w:spacing w:val="-4"/>
          <w:lang w:val="sr-Cyrl-RS"/>
        </w:rPr>
        <w:br w:type="textWrapping" w:clear="all"/>
        <w:t>еврообвезницу Србија 2027</w:t>
      </w:r>
    </w:p>
    <w:p w14:paraId="03FED138" w14:textId="77777777" w:rsidR="001E3E7D" w:rsidRPr="00A173E9" w:rsidRDefault="001E3E7D" w:rsidP="008265F0">
      <w:pPr>
        <w:spacing w:after="0" w:line="256" w:lineRule="auto"/>
        <w:jc w:val="center"/>
        <w:rPr>
          <w:rFonts w:ascii="Calibri" w:eastAsia="Calibri" w:hAnsi="Calibri" w:cs="Times New Roman"/>
          <w:b/>
          <w:bCs/>
          <w:color w:val="002060"/>
          <w:spacing w:val="-4"/>
          <w:highlight w:val="yellow"/>
          <w:lang w:val="sr-Cyrl-RS"/>
        </w:rPr>
      </w:pPr>
      <w:r w:rsidRPr="00A173E9">
        <w:rPr>
          <w:rFonts w:ascii="Calibri" w:eastAsia="Calibri" w:hAnsi="Calibri" w:cs="Times New Roman"/>
          <w:noProof/>
        </w:rPr>
        <w:drawing>
          <wp:inline distT="0" distB="0" distL="0" distR="0" wp14:anchorId="4AA87284" wp14:editId="3B3E1DDA">
            <wp:extent cx="2688590" cy="2934335"/>
            <wp:effectExtent l="0" t="0" r="0" b="0"/>
            <wp:docPr id="4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61AD0DF6" w14:textId="77777777" w:rsidR="001E3E7D" w:rsidRPr="00A173E9" w:rsidRDefault="001E3E7D" w:rsidP="008265F0">
      <w:pPr>
        <w:spacing w:after="0" w:line="256" w:lineRule="auto"/>
        <w:jc w:val="center"/>
        <w:rPr>
          <w:rFonts w:ascii="Calibri" w:eastAsia="Calibri" w:hAnsi="Calibri" w:cs="Times New Roman"/>
          <w:b/>
          <w:bCs/>
          <w:color w:val="002060"/>
          <w:spacing w:val="-4"/>
          <w:highlight w:val="yellow"/>
          <w:lang w:val="sr-Cyrl-RS"/>
        </w:rPr>
      </w:pPr>
    </w:p>
    <w:p w14:paraId="46FD6E2F" w14:textId="77777777" w:rsidR="001E3E7D" w:rsidRDefault="001E3E7D" w:rsidP="008265F0">
      <w:pPr>
        <w:spacing w:after="0" w:line="256" w:lineRule="auto"/>
        <w:jc w:val="center"/>
        <w:rPr>
          <w:rFonts w:ascii="Calibri" w:eastAsia="Calibri" w:hAnsi="Calibri" w:cs="Times New Roman"/>
          <w:b/>
          <w:bCs/>
          <w:color w:val="002060"/>
          <w:spacing w:val="-4"/>
          <w:lang w:val="sr-Cyrl-RS"/>
        </w:rPr>
      </w:pPr>
    </w:p>
    <w:p w14:paraId="0378D66C" w14:textId="77777777" w:rsidR="001E3E7D" w:rsidRPr="00A173E9" w:rsidRDefault="001E3E7D" w:rsidP="008265F0">
      <w:pPr>
        <w:spacing w:after="0" w:line="256" w:lineRule="auto"/>
        <w:jc w:val="center"/>
        <w:rPr>
          <w:rFonts w:ascii="Calibri" w:eastAsia="Calibri" w:hAnsi="Calibri" w:cs="Times New Roman"/>
          <w:b/>
          <w:bCs/>
          <w:color w:val="002060"/>
          <w:spacing w:val="-4"/>
          <w:lang w:val="sr-Cyrl-RS"/>
        </w:rPr>
      </w:pPr>
      <w:r w:rsidRPr="00A173E9">
        <w:rPr>
          <w:rFonts w:ascii="Calibri" w:eastAsia="Calibri" w:hAnsi="Calibri" w:cs="Times New Roman"/>
          <w:b/>
          <w:bCs/>
          <w:color w:val="002060"/>
          <w:spacing w:val="-4"/>
          <w:lang w:val="sr-Cyrl-RS"/>
        </w:rPr>
        <w:t xml:space="preserve">Преглед кретања цене и приноса на </w:t>
      </w:r>
      <w:r w:rsidRPr="00A173E9">
        <w:rPr>
          <w:rFonts w:ascii="Calibri" w:eastAsia="Calibri" w:hAnsi="Calibri" w:cs="Times New Roman"/>
          <w:b/>
          <w:bCs/>
          <w:color w:val="002060"/>
          <w:spacing w:val="-4"/>
          <w:lang w:val="sr-Cyrl-RS"/>
        </w:rPr>
        <w:br w:type="textWrapping" w:clear="all"/>
        <w:t>еврообвезницу Србија 2030</w:t>
      </w:r>
    </w:p>
    <w:p w14:paraId="4DC69C70" w14:textId="77777777" w:rsidR="001E3E7D" w:rsidRPr="001D4D24" w:rsidRDefault="001E3E7D" w:rsidP="008265F0">
      <w:pPr>
        <w:spacing w:line="256" w:lineRule="auto"/>
        <w:rPr>
          <w:rFonts w:ascii="Calibri" w:eastAsia="Calibri" w:hAnsi="Calibri" w:cs="Calibri"/>
          <w:bCs/>
          <w:color w:val="44546A"/>
          <w:szCs w:val="72"/>
          <w:lang w:val="sr-Cyrl-RS"/>
        </w:rPr>
      </w:pPr>
      <w:r w:rsidRPr="00A173E9">
        <w:rPr>
          <w:rFonts w:ascii="Calibri" w:eastAsia="Calibri" w:hAnsi="Calibri" w:cs="Times New Roman"/>
          <w:noProof/>
        </w:rPr>
        <w:drawing>
          <wp:inline distT="0" distB="0" distL="0" distR="0" wp14:anchorId="590BFD40" wp14:editId="3BFF5DE9">
            <wp:extent cx="2845435" cy="3111500"/>
            <wp:effectExtent l="0" t="0" r="0" b="0"/>
            <wp:docPr id="48"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576C5F29" w14:textId="77777777" w:rsidR="001E3E7D" w:rsidRPr="00A173E9" w:rsidRDefault="001E3E7D" w:rsidP="008265F0">
      <w:pPr>
        <w:spacing w:after="0" w:line="256" w:lineRule="auto"/>
        <w:rPr>
          <w:rFonts w:ascii="Calibri" w:eastAsia="Calibri" w:hAnsi="Calibri" w:cs="Times New Roman"/>
          <w:b/>
          <w:bCs/>
          <w:color w:val="002060"/>
          <w:spacing w:val="-4"/>
          <w:lang w:val="sr-Cyrl-RS"/>
        </w:rPr>
      </w:pPr>
      <w:r w:rsidRPr="00A173E9">
        <w:rPr>
          <w:rFonts w:ascii="Calibri" w:eastAsia="Calibri" w:hAnsi="Calibri" w:cs="Times New Roman"/>
          <w:b/>
          <w:bCs/>
          <w:color w:val="002060"/>
          <w:spacing w:val="-4"/>
          <w:lang w:val="sr-Cyrl-RS"/>
        </w:rPr>
        <w:t xml:space="preserve">Преглед кретања цене и приноса на </w:t>
      </w:r>
      <w:r w:rsidRPr="00A173E9">
        <w:rPr>
          <w:rFonts w:ascii="Calibri" w:eastAsia="Calibri" w:hAnsi="Calibri" w:cs="Times New Roman"/>
          <w:b/>
          <w:bCs/>
          <w:color w:val="002060"/>
          <w:spacing w:val="-4"/>
          <w:lang w:val="sr-Cyrl-RS"/>
        </w:rPr>
        <w:br w:type="textWrapping" w:clear="all"/>
        <w:t>еврообвезницу Србија 2033</w:t>
      </w:r>
    </w:p>
    <w:p w14:paraId="738B8600" w14:textId="77777777" w:rsidR="001E3E7D" w:rsidRPr="00A173E9" w:rsidRDefault="001E3E7D" w:rsidP="008265F0">
      <w:pPr>
        <w:spacing w:line="256" w:lineRule="auto"/>
        <w:rPr>
          <w:rFonts w:ascii="Calibri" w:eastAsia="Calibri" w:hAnsi="Calibri" w:cs="Times New Roman"/>
          <w:b/>
          <w:lang w:val="sr-Cyrl-RS"/>
        </w:rPr>
      </w:pPr>
      <w:r w:rsidRPr="00A173E9">
        <w:rPr>
          <w:rFonts w:ascii="Calibri" w:eastAsia="Calibri" w:hAnsi="Calibri" w:cs="Times New Roman"/>
          <w:noProof/>
        </w:rPr>
        <w:drawing>
          <wp:inline distT="0" distB="0" distL="0" distR="0" wp14:anchorId="4EC28F6E" wp14:editId="19055C5C">
            <wp:extent cx="3152775" cy="2941320"/>
            <wp:effectExtent l="0" t="0" r="0" b="0"/>
            <wp:docPr id="49"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4AA0B399" w14:textId="77777777" w:rsidR="001E3E7D" w:rsidRPr="00A173E9" w:rsidRDefault="001E3E7D" w:rsidP="008265F0">
      <w:pPr>
        <w:spacing w:after="0" w:line="256" w:lineRule="auto"/>
        <w:rPr>
          <w:rFonts w:ascii="Calibri" w:eastAsia="Calibri" w:hAnsi="Calibri" w:cs="Times New Roman"/>
          <w:b/>
          <w:bCs/>
          <w:color w:val="002060"/>
          <w:spacing w:val="-4"/>
          <w:lang w:val="sr-Cyrl-RS"/>
        </w:rPr>
      </w:pPr>
    </w:p>
    <w:p w14:paraId="1216C954" w14:textId="77777777" w:rsidR="001E3E7D" w:rsidRPr="00A173E9" w:rsidRDefault="001E3E7D" w:rsidP="008265F0">
      <w:pPr>
        <w:spacing w:after="0" w:line="256" w:lineRule="auto"/>
        <w:rPr>
          <w:rFonts w:ascii="Calibri" w:eastAsia="Calibri" w:hAnsi="Calibri" w:cs="Times New Roman"/>
          <w:b/>
          <w:bCs/>
          <w:color w:val="002060"/>
          <w:spacing w:val="-4"/>
          <w:lang w:val="sr-Cyrl-RS"/>
        </w:rPr>
      </w:pPr>
    </w:p>
    <w:p w14:paraId="0F365FB4" w14:textId="77777777" w:rsidR="001E3E7D" w:rsidRDefault="001E3E7D" w:rsidP="008265F0">
      <w:pPr>
        <w:spacing w:after="0" w:line="256" w:lineRule="auto"/>
        <w:jc w:val="left"/>
        <w:rPr>
          <w:rFonts w:ascii="Calibri" w:eastAsia="Calibri" w:hAnsi="Calibri" w:cs="Times New Roman"/>
          <w:b/>
          <w:lang w:val="sr-Cyrl-RS"/>
        </w:rPr>
      </w:pPr>
    </w:p>
    <w:p w14:paraId="34023B1B" w14:textId="77777777" w:rsidR="002B6E12" w:rsidRDefault="002B6E12" w:rsidP="008265F0">
      <w:pPr>
        <w:spacing w:after="0" w:line="256" w:lineRule="auto"/>
        <w:jc w:val="left"/>
        <w:rPr>
          <w:rFonts w:ascii="Calibri" w:eastAsia="Calibri" w:hAnsi="Calibri" w:cs="Times New Roman"/>
          <w:b/>
          <w:lang w:val="sr-Cyrl-RS"/>
        </w:rPr>
      </w:pPr>
    </w:p>
    <w:p w14:paraId="54A255EC" w14:textId="77777777" w:rsidR="002B6E12" w:rsidRDefault="002B6E12" w:rsidP="008265F0">
      <w:pPr>
        <w:spacing w:after="0" w:line="256" w:lineRule="auto"/>
        <w:jc w:val="left"/>
        <w:rPr>
          <w:rFonts w:ascii="Calibri" w:eastAsia="Calibri" w:hAnsi="Calibri" w:cs="Times New Roman"/>
          <w:b/>
          <w:lang w:val="sr-Cyrl-RS"/>
        </w:rPr>
      </w:pPr>
    </w:p>
    <w:p w14:paraId="72C713C6" w14:textId="77777777" w:rsidR="002B6E12" w:rsidRDefault="002B6E12" w:rsidP="008265F0">
      <w:pPr>
        <w:spacing w:after="0" w:line="256" w:lineRule="auto"/>
        <w:jc w:val="left"/>
        <w:rPr>
          <w:rFonts w:ascii="Calibri" w:eastAsia="Calibri" w:hAnsi="Calibri" w:cs="Times New Roman"/>
          <w:b/>
          <w:lang w:val="sr-Cyrl-RS"/>
        </w:rPr>
      </w:pPr>
    </w:p>
    <w:p w14:paraId="5A4E995A" w14:textId="77777777" w:rsidR="002B6E12" w:rsidRDefault="002B6E12" w:rsidP="008265F0">
      <w:pPr>
        <w:spacing w:after="0" w:line="256" w:lineRule="auto"/>
        <w:jc w:val="left"/>
        <w:rPr>
          <w:rFonts w:ascii="Calibri" w:eastAsia="Calibri" w:hAnsi="Calibri" w:cs="Times New Roman"/>
          <w:b/>
          <w:lang w:val="sr-Cyrl-RS"/>
        </w:rPr>
      </w:pPr>
    </w:p>
    <w:p w14:paraId="145DE671" w14:textId="77777777" w:rsidR="002B6E12" w:rsidRPr="00A173E9" w:rsidRDefault="002B6E12" w:rsidP="008265F0">
      <w:pPr>
        <w:spacing w:after="0" w:line="256" w:lineRule="auto"/>
        <w:jc w:val="left"/>
        <w:rPr>
          <w:rFonts w:ascii="Calibri" w:eastAsia="Calibri" w:hAnsi="Calibri" w:cs="Times New Roman"/>
          <w:b/>
          <w:lang w:val="sr-Cyrl-RS"/>
        </w:rPr>
        <w:sectPr w:rsidR="002B6E12" w:rsidRPr="00A173E9">
          <w:type w:val="continuous"/>
          <w:pgSz w:w="12240" w:h="15840"/>
          <w:pgMar w:top="1440" w:right="1440" w:bottom="1440" w:left="1440" w:header="720" w:footer="720" w:gutter="0"/>
          <w:cols w:num="2" w:space="720"/>
        </w:sectPr>
      </w:pPr>
    </w:p>
    <w:p w14:paraId="715E413C" w14:textId="77777777" w:rsidR="001E3E7D" w:rsidRPr="00A173E9" w:rsidRDefault="001E3E7D" w:rsidP="008265F0">
      <w:pPr>
        <w:spacing w:line="256" w:lineRule="auto"/>
        <w:rPr>
          <w:rFonts w:ascii="Calibri" w:eastAsia="Calibri" w:hAnsi="Calibri" w:cs="Times New Roman"/>
          <w:b/>
          <w:lang w:val="sr-Cyrl-RS"/>
        </w:rPr>
      </w:pPr>
    </w:p>
    <w:p w14:paraId="47F97FE0" w14:textId="77777777" w:rsidR="001E3E7D" w:rsidRPr="00A173E9" w:rsidRDefault="001E3E7D" w:rsidP="008265F0">
      <w:pPr>
        <w:spacing w:line="256" w:lineRule="auto"/>
        <w:jc w:val="center"/>
        <w:rPr>
          <w:rFonts w:ascii="Calibri" w:eastAsia="Calibri" w:hAnsi="Calibri" w:cs="Times New Roman"/>
          <w:b/>
          <w:color w:val="002060"/>
          <w:highlight w:val="yellow"/>
          <w:lang w:val="sr-Cyrl-RS"/>
        </w:rPr>
      </w:pPr>
    </w:p>
    <w:p w14:paraId="49AB8F90" w14:textId="77777777" w:rsidR="001E3E7D" w:rsidRPr="00A173E9" w:rsidRDefault="001E3E7D" w:rsidP="008265F0">
      <w:pPr>
        <w:spacing w:line="256" w:lineRule="auto"/>
        <w:jc w:val="center"/>
        <w:rPr>
          <w:rFonts w:ascii="Calibri" w:eastAsia="Calibri" w:hAnsi="Calibri" w:cs="Times New Roman"/>
          <w:b/>
          <w:color w:val="002060"/>
          <w:highlight w:val="yellow"/>
          <w:lang w:val="sr-Cyrl-RS"/>
        </w:rPr>
      </w:pPr>
    </w:p>
    <w:p w14:paraId="55AF6353" w14:textId="77777777" w:rsidR="001E3E7D" w:rsidRPr="00A173E9" w:rsidRDefault="001E3E7D" w:rsidP="008265F0">
      <w:pPr>
        <w:spacing w:line="256" w:lineRule="auto"/>
        <w:jc w:val="center"/>
        <w:rPr>
          <w:rFonts w:ascii="Calibri" w:eastAsia="Calibri" w:hAnsi="Calibri" w:cs="Times New Roman"/>
          <w:b/>
          <w:color w:val="002060"/>
          <w:highlight w:val="yellow"/>
          <w:lang w:val="sr-Cyrl-RS"/>
        </w:rPr>
      </w:pPr>
    </w:p>
    <w:p w14:paraId="44824317" w14:textId="77777777" w:rsidR="001E3E7D" w:rsidRPr="00A173E9" w:rsidRDefault="001E3E7D" w:rsidP="008265F0">
      <w:pPr>
        <w:spacing w:line="256" w:lineRule="auto"/>
        <w:jc w:val="center"/>
        <w:rPr>
          <w:rFonts w:ascii="Calibri" w:eastAsia="Calibri" w:hAnsi="Calibri" w:cs="Times New Roman"/>
          <w:b/>
          <w:color w:val="002060"/>
          <w:lang w:val="sr-Latn-RS"/>
        </w:rPr>
      </w:pPr>
      <w:r w:rsidRPr="00A173E9">
        <w:rPr>
          <w:rFonts w:ascii="Calibri" w:eastAsia="Calibri" w:hAnsi="Calibri" w:cs="Times New Roman"/>
          <w:b/>
          <w:color w:val="002060"/>
          <w:lang w:val="sr-Cyrl-RS"/>
        </w:rPr>
        <w:lastRenderedPageBreak/>
        <w:t>Табела 2</w:t>
      </w:r>
      <w:r w:rsidR="00FA5A89">
        <w:rPr>
          <w:rFonts w:ascii="Calibri" w:eastAsia="Calibri" w:hAnsi="Calibri" w:cs="Times New Roman"/>
          <w:b/>
          <w:color w:val="002060"/>
          <w:lang w:val="sr-Latn-RS"/>
        </w:rPr>
        <w:t>5</w:t>
      </w:r>
      <w:r w:rsidRPr="00A173E9">
        <w:rPr>
          <w:rFonts w:ascii="Calibri" w:eastAsia="Calibri" w:hAnsi="Calibri" w:cs="Times New Roman"/>
          <w:b/>
          <w:color w:val="002060"/>
          <w:lang w:val="sr-Cyrl-RS"/>
        </w:rPr>
        <w:t>. Пројекције отплате камата и главница до 2024. године</w:t>
      </w:r>
      <w:r w:rsidRPr="00A173E9">
        <w:rPr>
          <w:rFonts w:ascii="Calibri" w:eastAsia="Calibri" w:hAnsi="Calibri" w:cs="Times New Roman"/>
          <w:color w:val="002060"/>
          <w:lang w:val="sr-Cyrl-RS"/>
        </w:rPr>
        <w:t xml:space="preserve"> </w:t>
      </w:r>
      <w:r w:rsidRPr="00A173E9">
        <w:rPr>
          <w:rFonts w:ascii="Calibri" w:eastAsia="Calibri" w:hAnsi="Calibri" w:cs="Times New Roman"/>
          <w:b/>
          <w:color w:val="002060"/>
          <w:lang w:val="sr-Cyrl-RS"/>
        </w:rPr>
        <w:t>(млрд динара)</w:t>
      </w:r>
    </w:p>
    <w:tbl>
      <w:tblPr>
        <w:tblStyle w:val="LightShading-Accent1222"/>
        <w:tblW w:w="5000" w:type="pct"/>
        <w:tblInd w:w="0" w:type="dxa"/>
        <w:tblLook w:val="0420" w:firstRow="1" w:lastRow="0" w:firstColumn="0" w:lastColumn="0" w:noHBand="0" w:noVBand="1"/>
      </w:tblPr>
      <w:tblGrid>
        <w:gridCol w:w="4937"/>
        <w:gridCol w:w="1105"/>
        <w:gridCol w:w="1106"/>
        <w:gridCol w:w="1106"/>
        <w:gridCol w:w="1106"/>
      </w:tblGrid>
      <w:tr w:rsidR="001E3E7D" w:rsidRPr="00A173E9" w14:paraId="5394C560" w14:textId="77777777" w:rsidTr="008265F0">
        <w:trPr>
          <w:cnfStyle w:val="100000000000" w:firstRow="1" w:lastRow="0" w:firstColumn="0" w:lastColumn="0" w:oddVBand="0" w:evenVBand="0" w:oddHBand="0" w:evenHBand="0" w:firstRowFirstColumn="0" w:firstRowLastColumn="0" w:lastRowFirstColumn="0" w:lastRowLastColumn="0"/>
          <w:trHeight w:val="93"/>
        </w:trPr>
        <w:tc>
          <w:tcPr>
            <w:tcW w:w="2637" w:type="pct"/>
            <w:tcBorders>
              <w:top w:val="single" w:sz="4" w:space="0" w:color="002060"/>
              <w:bottom w:val="single" w:sz="4" w:space="0" w:color="FFFFFF" w:themeColor="background1"/>
            </w:tcBorders>
            <w:noWrap/>
            <w:hideMark/>
          </w:tcPr>
          <w:p w14:paraId="54549E53" w14:textId="77777777" w:rsidR="001E3E7D" w:rsidRPr="00A173E9" w:rsidRDefault="001E3E7D" w:rsidP="008265F0">
            <w:pPr>
              <w:rPr>
                <w:rFonts w:ascii="Calibri" w:eastAsia="Times New Roman" w:hAnsi="Calibri" w:cs="Calibri"/>
                <w:color w:val="002060"/>
                <w:sz w:val="18"/>
                <w:szCs w:val="18"/>
                <w:lang w:val="sr-Cyrl-RS" w:eastAsia="ja-JP"/>
              </w:rPr>
            </w:pPr>
            <w:r w:rsidRPr="00A173E9">
              <w:rPr>
                <w:rFonts w:ascii="Calibri" w:eastAsia="Times New Roman" w:hAnsi="Calibri" w:cs="Calibri"/>
                <w:color w:val="002060"/>
                <w:sz w:val="18"/>
                <w:szCs w:val="18"/>
                <w:lang w:val="sr-Cyrl-RS" w:eastAsia="ja-JP"/>
              </w:rPr>
              <w:t> </w:t>
            </w:r>
          </w:p>
        </w:tc>
        <w:tc>
          <w:tcPr>
            <w:tcW w:w="590" w:type="pct"/>
            <w:tcBorders>
              <w:top w:val="single" w:sz="4" w:space="0" w:color="002060"/>
              <w:bottom w:val="single" w:sz="4" w:space="0" w:color="002060"/>
            </w:tcBorders>
            <w:noWrap/>
            <w:hideMark/>
          </w:tcPr>
          <w:p w14:paraId="4D4AAF3E"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2021 п</w:t>
            </w:r>
          </w:p>
        </w:tc>
        <w:tc>
          <w:tcPr>
            <w:tcW w:w="591" w:type="pct"/>
            <w:tcBorders>
              <w:top w:val="single" w:sz="4" w:space="0" w:color="002060"/>
              <w:bottom w:val="single" w:sz="4" w:space="0" w:color="002060"/>
            </w:tcBorders>
            <w:noWrap/>
            <w:hideMark/>
          </w:tcPr>
          <w:p w14:paraId="4531B63D"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2022 п</w:t>
            </w:r>
          </w:p>
        </w:tc>
        <w:tc>
          <w:tcPr>
            <w:tcW w:w="591" w:type="pct"/>
            <w:tcBorders>
              <w:top w:val="single" w:sz="4" w:space="0" w:color="002060"/>
              <w:bottom w:val="single" w:sz="4" w:space="0" w:color="002060"/>
            </w:tcBorders>
            <w:noWrap/>
            <w:hideMark/>
          </w:tcPr>
          <w:p w14:paraId="1F291E66"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2023 п</w:t>
            </w:r>
          </w:p>
        </w:tc>
        <w:tc>
          <w:tcPr>
            <w:tcW w:w="591" w:type="pct"/>
            <w:tcBorders>
              <w:top w:val="single" w:sz="4" w:space="0" w:color="002060"/>
              <w:bottom w:val="single" w:sz="4" w:space="0" w:color="002060"/>
            </w:tcBorders>
            <w:noWrap/>
            <w:hideMark/>
          </w:tcPr>
          <w:p w14:paraId="077FF98A"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w:t>
            </w:r>
            <w:r w:rsidRPr="00A173E9">
              <w:rPr>
                <w:rFonts w:ascii="Calibri" w:hAnsi="Calibri" w:cs="Calibri"/>
                <w:color w:val="002060"/>
                <w:sz w:val="18"/>
                <w:szCs w:val="18"/>
                <w:lang w:val="sr-Latn-RS"/>
              </w:rPr>
              <w:t>4</w:t>
            </w:r>
            <w:r w:rsidRPr="00A173E9">
              <w:rPr>
                <w:rFonts w:ascii="Calibri" w:hAnsi="Calibri" w:cs="Calibri"/>
                <w:color w:val="002060"/>
                <w:sz w:val="18"/>
                <w:szCs w:val="18"/>
                <w:lang w:val="sr-Cyrl-RS"/>
              </w:rPr>
              <w:t xml:space="preserve"> п</w:t>
            </w:r>
          </w:p>
        </w:tc>
      </w:tr>
      <w:tr w:rsidR="001E3E7D" w:rsidRPr="00A173E9" w14:paraId="5AB1CD9B" w14:textId="77777777" w:rsidTr="001D4D24">
        <w:trPr>
          <w:cnfStyle w:val="000000100000" w:firstRow="0" w:lastRow="0" w:firstColumn="0" w:lastColumn="0" w:oddVBand="0" w:evenVBand="0" w:oddHBand="1" w:evenHBand="0" w:firstRowFirstColumn="0" w:firstRowLastColumn="0" w:lastRowFirstColumn="0" w:lastRowLastColumn="0"/>
          <w:trHeight w:val="253"/>
        </w:trPr>
        <w:tc>
          <w:tcPr>
            <w:tcW w:w="2637" w:type="pct"/>
            <w:tcBorders>
              <w:top w:val="single" w:sz="4" w:space="0" w:color="FFFFFF" w:themeColor="background1"/>
              <w:bottom w:val="nil"/>
            </w:tcBorders>
            <w:shd w:val="clear" w:color="auto" w:fill="E7E6E6" w:themeFill="background2"/>
            <w:noWrap/>
            <w:hideMark/>
          </w:tcPr>
          <w:p w14:paraId="0D64CE18"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bCs/>
                <w:color w:val="002060"/>
                <w:sz w:val="18"/>
                <w:szCs w:val="18"/>
                <w:lang w:val="sr-Cyrl-RS"/>
              </w:rPr>
              <w:t>Главница</w:t>
            </w:r>
          </w:p>
        </w:tc>
        <w:tc>
          <w:tcPr>
            <w:tcW w:w="590" w:type="pct"/>
            <w:tcBorders>
              <w:top w:val="single" w:sz="4" w:space="0" w:color="002060"/>
              <w:bottom w:val="nil"/>
            </w:tcBorders>
            <w:shd w:val="clear" w:color="auto" w:fill="E7E6E6" w:themeFill="background2"/>
            <w:noWrap/>
            <w:hideMark/>
          </w:tcPr>
          <w:p w14:paraId="6F431681"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477,9</w:t>
            </w:r>
          </w:p>
        </w:tc>
        <w:tc>
          <w:tcPr>
            <w:tcW w:w="591" w:type="pct"/>
            <w:tcBorders>
              <w:top w:val="single" w:sz="4" w:space="0" w:color="002060"/>
              <w:bottom w:val="nil"/>
            </w:tcBorders>
            <w:shd w:val="clear" w:color="auto" w:fill="E7E6E6" w:themeFill="background2"/>
            <w:noWrap/>
            <w:hideMark/>
          </w:tcPr>
          <w:p w14:paraId="7BC33E02"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401,3</w:t>
            </w:r>
          </w:p>
        </w:tc>
        <w:tc>
          <w:tcPr>
            <w:tcW w:w="591" w:type="pct"/>
            <w:tcBorders>
              <w:top w:val="single" w:sz="4" w:space="0" w:color="002060"/>
              <w:bottom w:val="nil"/>
            </w:tcBorders>
            <w:shd w:val="clear" w:color="auto" w:fill="E7E6E6" w:themeFill="background2"/>
            <w:noWrap/>
            <w:hideMark/>
          </w:tcPr>
          <w:p w14:paraId="0C2EC957"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467,1</w:t>
            </w:r>
          </w:p>
        </w:tc>
        <w:tc>
          <w:tcPr>
            <w:tcW w:w="591" w:type="pct"/>
            <w:tcBorders>
              <w:top w:val="single" w:sz="4" w:space="0" w:color="002060"/>
              <w:bottom w:val="nil"/>
            </w:tcBorders>
            <w:shd w:val="clear" w:color="auto" w:fill="E7E6E6" w:themeFill="background2"/>
            <w:noWrap/>
            <w:hideMark/>
          </w:tcPr>
          <w:p w14:paraId="79EED6C2"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349,7</w:t>
            </w:r>
          </w:p>
        </w:tc>
      </w:tr>
      <w:tr w:rsidR="001E3E7D" w:rsidRPr="00A173E9" w14:paraId="7436291F" w14:textId="77777777" w:rsidTr="008265F0">
        <w:trPr>
          <w:trHeight w:val="93"/>
        </w:trPr>
        <w:tc>
          <w:tcPr>
            <w:tcW w:w="2637" w:type="pct"/>
            <w:tcBorders>
              <w:top w:val="nil"/>
              <w:left w:val="nil"/>
              <w:bottom w:val="nil"/>
              <w:right w:val="nil"/>
            </w:tcBorders>
            <w:noWrap/>
            <w:hideMark/>
          </w:tcPr>
          <w:p w14:paraId="72299A55"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Камата</w:t>
            </w:r>
          </w:p>
        </w:tc>
        <w:tc>
          <w:tcPr>
            <w:tcW w:w="590" w:type="pct"/>
            <w:tcBorders>
              <w:top w:val="nil"/>
              <w:left w:val="nil"/>
              <w:bottom w:val="nil"/>
              <w:right w:val="nil"/>
            </w:tcBorders>
            <w:noWrap/>
            <w:hideMark/>
          </w:tcPr>
          <w:p w14:paraId="4112A5B7"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111,2</w:t>
            </w:r>
          </w:p>
        </w:tc>
        <w:tc>
          <w:tcPr>
            <w:tcW w:w="591" w:type="pct"/>
            <w:tcBorders>
              <w:top w:val="nil"/>
              <w:left w:val="nil"/>
              <w:bottom w:val="nil"/>
              <w:right w:val="nil"/>
            </w:tcBorders>
            <w:noWrap/>
            <w:hideMark/>
          </w:tcPr>
          <w:p w14:paraId="036C3A9F"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109,5</w:t>
            </w:r>
          </w:p>
        </w:tc>
        <w:tc>
          <w:tcPr>
            <w:tcW w:w="591" w:type="pct"/>
            <w:tcBorders>
              <w:top w:val="nil"/>
              <w:left w:val="nil"/>
              <w:bottom w:val="nil"/>
              <w:right w:val="nil"/>
            </w:tcBorders>
            <w:noWrap/>
            <w:hideMark/>
          </w:tcPr>
          <w:p w14:paraId="6A1190C5"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111,8</w:t>
            </w:r>
          </w:p>
        </w:tc>
        <w:tc>
          <w:tcPr>
            <w:tcW w:w="591" w:type="pct"/>
            <w:tcBorders>
              <w:top w:val="nil"/>
              <w:left w:val="nil"/>
              <w:bottom w:val="nil"/>
              <w:right w:val="nil"/>
            </w:tcBorders>
            <w:noWrap/>
            <w:hideMark/>
          </w:tcPr>
          <w:p w14:paraId="3EEBB972"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112,9</w:t>
            </w:r>
          </w:p>
        </w:tc>
      </w:tr>
      <w:tr w:rsidR="001E3E7D" w:rsidRPr="00A173E9" w14:paraId="6B3C0400" w14:textId="77777777" w:rsidTr="001D4D24">
        <w:trPr>
          <w:cnfStyle w:val="000000100000" w:firstRow="0" w:lastRow="0" w:firstColumn="0" w:lastColumn="0" w:oddVBand="0" w:evenVBand="0" w:oddHBand="1" w:evenHBand="0" w:firstRowFirstColumn="0" w:firstRowLastColumn="0" w:lastRowFirstColumn="0" w:lastRowLastColumn="0"/>
          <w:trHeight w:val="93"/>
        </w:trPr>
        <w:tc>
          <w:tcPr>
            <w:tcW w:w="2637" w:type="pct"/>
            <w:tcBorders>
              <w:top w:val="nil"/>
              <w:bottom w:val="nil"/>
            </w:tcBorders>
            <w:shd w:val="clear" w:color="auto" w:fill="E7E6E6" w:themeFill="background2"/>
            <w:noWrap/>
            <w:hideMark/>
          </w:tcPr>
          <w:p w14:paraId="5CD47AE1"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bCs/>
                <w:color w:val="002060"/>
                <w:sz w:val="18"/>
                <w:szCs w:val="18"/>
                <w:lang w:val="sr-Cyrl-RS"/>
              </w:rPr>
              <w:t>Укупно</w:t>
            </w:r>
          </w:p>
        </w:tc>
        <w:tc>
          <w:tcPr>
            <w:tcW w:w="590" w:type="pct"/>
            <w:tcBorders>
              <w:top w:val="nil"/>
              <w:bottom w:val="nil"/>
            </w:tcBorders>
            <w:shd w:val="clear" w:color="auto" w:fill="E7E6E6" w:themeFill="background2"/>
            <w:noWrap/>
            <w:hideMark/>
          </w:tcPr>
          <w:p w14:paraId="5E7AE3E0"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589,1</w:t>
            </w:r>
          </w:p>
        </w:tc>
        <w:tc>
          <w:tcPr>
            <w:tcW w:w="591" w:type="pct"/>
            <w:tcBorders>
              <w:top w:val="nil"/>
              <w:bottom w:val="nil"/>
            </w:tcBorders>
            <w:shd w:val="clear" w:color="auto" w:fill="E7E6E6" w:themeFill="background2"/>
            <w:noWrap/>
            <w:hideMark/>
          </w:tcPr>
          <w:p w14:paraId="2B84F5EC"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510,8</w:t>
            </w:r>
          </w:p>
        </w:tc>
        <w:tc>
          <w:tcPr>
            <w:tcW w:w="591" w:type="pct"/>
            <w:tcBorders>
              <w:top w:val="nil"/>
              <w:bottom w:val="nil"/>
            </w:tcBorders>
            <w:shd w:val="clear" w:color="auto" w:fill="E7E6E6" w:themeFill="background2"/>
            <w:noWrap/>
            <w:hideMark/>
          </w:tcPr>
          <w:p w14:paraId="26DB27A4"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578,9</w:t>
            </w:r>
          </w:p>
        </w:tc>
        <w:tc>
          <w:tcPr>
            <w:tcW w:w="591" w:type="pct"/>
            <w:tcBorders>
              <w:top w:val="nil"/>
              <w:bottom w:val="nil"/>
            </w:tcBorders>
            <w:shd w:val="clear" w:color="auto" w:fill="E7E6E6" w:themeFill="background2"/>
            <w:noWrap/>
            <w:hideMark/>
          </w:tcPr>
          <w:p w14:paraId="408C8E4D"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462,6</w:t>
            </w:r>
          </w:p>
        </w:tc>
      </w:tr>
      <w:tr w:rsidR="001E3E7D" w:rsidRPr="00A173E9" w14:paraId="5C4B8181" w14:textId="77777777" w:rsidTr="008265F0">
        <w:trPr>
          <w:trHeight w:val="93"/>
        </w:trPr>
        <w:tc>
          <w:tcPr>
            <w:tcW w:w="2637" w:type="pct"/>
            <w:tcBorders>
              <w:top w:val="nil"/>
              <w:left w:val="nil"/>
              <w:bottom w:val="single" w:sz="4" w:space="0" w:color="002060"/>
              <w:right w:val="nil"/>
            </w:tcBorders>
            <w:noWrap/>
            <w:hideMark/>
          </w:tcPr>
          <w:p w14:paraId="787260A5"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 xml:space="preserve"> У односу на јавни дуг на дан 31.3.2021. године</w:t>
            </w:r>
          </w:p>
        </w:tc>
        <w:tc>
          <w:tcPr>
            <w:tcW w:w="590" w:type="pct"/>
            <w:tcBorders>
              <w:top w:val="nil"/>
              <w:left w:val="nil"/>
              <w:bottom w:val="single" w:sz="4" w:space="0" w:color="002060"/>
              <w:right w:val="nil"/>
            </w:tcBorders>
            <w:noWrap/>
            <w:hideMark/>
          </w:tcPr>
          <w:p w14:paraId="56F28277"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17,8%</w:t>
            </w:r>
          </w:p>
        </w:tc>
        <w:tc>
          <w:tcPr>
            <w:tcW w:w="591" w:type="pct"/>
            <w:tcBorders>
              <w:top w:val="nil"/>
              <w:left w:val="nil"/>
              <w:bottom w:val="single" w:sz="4" w:space="0" w:color="002060"/>
              <w:right w:val="nil"/>
            </w:tcBorders>
            <w:noWrap/>
            <w:hideMark/>
          </w:tcPr>
          <w:p w14:paraId="3083F80E"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15,4%</w:t>
            </w:r>
          </w:p>
        </w:tc>
        <w:tc>
          <w:tcPr>
            <w:tcW w:w="591" w:type="pct"/>
            <w:tcBorders>
              <w:top w:val="nil"/>
              <w:left w:val="nil"/>
              <w:bottom w:val="single" w:sz="4" w:space="0" w:color="002060"/>
              <w:right w:val="nil"/>
            </w:tcBorders>
            <w:noWrap/>
            <w:hideMark/>
          </w:tcPr>
          <w:p w14:paraId="51D00F58"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17,5%</w:t>
            </w:r>
          </w:p>
        </w:tc>
        <w:tc>
          <w:tcPr>
            <w:tcW w:w="591" w:type="pct"/>
            <w:tcBorders>
              <w:top w:val="nil"/>
              <w:left w:val="nil"/>
              <w:bottom w:val="single" w:sz="4" w:space="0" w:color="002060"/>
              <w:right w:val="nil"/>
            </w:tcBorders>
            <w:noWrap/>
            <w:hideMark/>
          </w:tcPr>
          <w:p w14:paraId="35E99024"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14,0%</w:t>
            </w:r>
          </w:p>
        </w:tc>
      </w:tr>
    </w:tbl>
    <w:p w14:paraId="57B41631" w14:textId="77777777" w:rsidR="001E3E7D" w:rsidRPr="00A173E9" w:rsidRDefault="001E3E7D" w:rsidP="008265F0">
      <w:pPr>
        <w:spacing w:after="240" w:line="240" w:lineRule="auto"/>
        <w:rPr>
          <w:rFonts w:ascii="Calibri" w:eastAsia="Calibri" w:hAnsi="Calibri" w:cs="Calibri"/>
          <w:bCs/>
          <w:sz w:val="18"/>
          <w:szCs w:val="18"/>
          <w:lang w:val="sr-Cyrl-RS"/>
        </w:rPr>
      </w:pPr>
      <w:r w:rsidRPr="00A173E9">
        <w:rPr>
          <w:rFonts w:ascii="Calibri" w:eastAsia="Calibri" w:hAnsi="Calibri" w:cs="Calibri"/>
          <w:bCs/>
          <w:sz w:val="18"/>
          <w:szCs w:val="18"/>
          <w:lang w:val="sr-Cyrl-RS" w:eastAsia="sr-Cyrl-CS"/>
        </w:rPr>
        <w:t xml:space="preserve">* са планираним </w:t>
      </w:r>
      <w:r w:rsidRPr="00A173E9">
        <w:rPr>
          <w:rFonts w:ascii="Calibri" w:eastAsia="Calibri" w:hAnsi="Calibri" w:cs="Calibri"/>
          <w:bCs/>
          <w:i/>
          <w:sz w:val="18"/>
          <w:szCs w:val="18"/>
          <w:lang w:val="sr-Cyrl-RS" w:eastAsia="sr-Cyrl-CS"/>
        </w:rPr>
        <w:t>buy-back</w:t>
      </w:r>
      <w:r w:rsidRPr="00A173E9">
        <w:rPr>
          <w:rFonts w:ascii="Calibri" w:eastAsia="Calibri" w:hAnsi="Calibri" w:cs="Calibri"/>
          <w:bCs/>
          <w:sz w:val="18"/>
          <w:szCs w:val="18"/>
          <w:lang w:val="sr-Cyrl-RS" w:eastAsia="sr-Cyrl-CS"/>
        </w:rPr>
        <w:t xml:space="preserve"> операцијама</w:t>
      </w:r>
    </w:p>
    <w:p w14:paraId="32C437F5"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Табела 2</w:t>
      </w:r>
      <w:r w:rsidR="00FA5A89">
        <w:rPr>
          <w:rFonts w:ascii="Calibri" w:eastAsia="Calibri" w:hAnsi="Calibri" w:cs="Times New Roman"/>
          <w:b/>
          <w:color w:val="002060"/>
          <w:lang w:val="sr-Latn-RS"/>
        </w:rPr>
        <w:t>6</w:t>
      </w:r>
      <w:r w:rsidRPr="00A173E9">
        <w:rPr>
          <w:rFonts w:ascii="Calibri" w:eastAsia="Calibri" w:hAnsi="Calibri" w:cs="Times New Roman"/>
          <w:b/>
          <w:color w:val="002060"/>
          <w:lang w:val="sr-Cyrl-RS"/>
        </w:rPr>
        <w:t>. Пројекције отплате камата и главница до 2024. године (%</w:t>
      </w:r>
      <w:r w:rsidRPr="00A173E9">
        <w:rPr>
          <w:rFonts w:ascii="Calibri" w:eastAsia="Calibri" w:hAnsi="Calibri" w:cs="Times New Roman"/>
          <w:b/>
          <w:color w:val="002060"/>
          <w:lang w:val="sr-Latn-RS"/>
        </w:rPr>
        <w:t xml:space="preserve"> </w:t>
      </w:r>
      <w:r w:rsidRPr="00A173E9">
        <w:rPr>
          <w:rFonts w:ascii="Calibri" w:eastAsia="Calibri" w:hAnsi="Calibri" w:cs="Times New Roman"/>
          <w:b/>
          <w:color w:val="002060"/>
          <w:lang w:val="sr-Cyrl-RS"/>
        </w:rPr>
        <w:t>БДП)</w:t>
      </w:r>
    </w:p>
    <w:tbl>
      <w:tblPr>
        <w:tblStyle w:val="LightShading-Accent1222"/>
        <w:tblW w:w="5000" w:type="pct"/>
        <w:tblInd w:w="0" w:type="dxa"/>
        <w:tblLook w:val="0420" w:firstRow="1" w:lastRow="0" w:firstColumn="0" w:lastColumn="0" w:noHBand="0" w:noVBand="1"/>
      </w:tblPr>
      <w:tblGrid>
        <w:gridCol w:w="4949"/>
        <w:gridCol w:w="1102"/>
        <w:gridCol w:w="1103"/>
        <w:gridCol w:w="1103"/>
        <w:gridCol w:w="1103"/>
      </w:tblGrid>
      <w:tr w:rsidR="001E3E7D" w:rsidRPr="00A173E9" w14:paraId="55EA0025" w14:textId="77777777" w:rsidTr="008265F0">
        <w:trPr>
          <w:cnfStyle w:val="100000000000" w:firstRow="1" w:lastRow="0" w:firstColumn="0" w:lastColumn="0" w:oddVBand="0" w:evenVBand="0" w:oddHBand="0" w:evenHBand="0" w:firstRowFirstColumn="0" w:firstRowLastColumn="0" w:lastRowFirstColumn="0" w:lastRowLastColumn="0"/>
          <w:trHeight w:val="22"/>
        </w:trPr>
        <w:tc>
          <w:tcPr>
            <w:tcW w:w="2644" w:type="pct"/>
            <w:tcBorders>
              <w:top w:val="single" w:sz="4" w:space="0" w:color="002060"/>
              <w:bottom w:val="single" w:sz="4" w:space="0" w:color="FFFFFF" w:themeColor="background1"/>
            </w:tcBorders>
            <w:noWrap/>
            <w:hideMark/>
          </w:tcPr>
          <w:p w14:paraId="2CA389E5" w14:textId="77777777" w:rsidR="001E3E7D" w:rsidRPr="00A173E9" w:rsidRDefault="001E3E7D" w:rsidP="008265F0">
            <w:pPr>
              <w:jc w:val="right"/>
              <w:rPr>
                <w:rFonts w:ascii="Calibri" w:hAnsi="Calibri" w:cs="Calibri"/>
                <w:color w:val="002060"/>
                <w:sz w:val="18"/>
                <w:szCs w:val="18"/>
                <w:lang w:val="sr-Cyrl-RS"/>
              </w:rPr>
            </w:pPr>
            <w:bookmarkStart w:id="46" w:name="_Hlk529257961"/>
            <w:r w:rsidRPr="00A173E9">
              <w:rPr>
                <w:rFonts w:ascii="Calibri" w:hAnsi="Calibri" w:cs="Calibri"/>
                <w:color w:val="002060"/>
                <w:sz w:val="18"/>
                <w:szCs w:val="18"/>
                <w:lang w:val="sr-Cyrl-RS"/>
              </w:rPr>
              <w:t> </w:t>
            </w:r>
          </w:p>
        </w:tc>
        <w:tc>
          <w:tcPr>
            <w:tcW w:w="589" w:type="pct"/>
            <w:tcBorders>
              <w:top w:val="single" w:sz="4" w:space="0" w:color="002060"/>
              <w:bottom w:val="single" w:sz="4" w:space="0" w:color="002060"/>
            </w:tcBorders>
            <w:noWrap/>
            <w:hideMark/>
          </w:tcPr>
          <w:p w14:paraId="18EDF281"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2021 п</w:t>
            </w:r>
          </w:p>
        </w:tc>
        <w:tc>
          <w:tcPr>
            <w:tcW w:w="589" w:type="pct"/>
            <w:tcBorders>
              <w:top w:val="single" w:sz="4" w:space="0" w:color="002060"/>
              <w:bottom w:val="single" w:sz="4" w:space="0" w:color="002060"/>
            </w:tcBorders>
            <w:noWrap/>
            <w:hideMark/>
          </w:tcPr>
          <w:p w14:paraId="7B7D104F"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2022 п</w:t>
            </w:r>
          </w:p>
        </w:tc>
        <w:tc>
          <w:tcPr>
            <w:tcW w:w="589" w:type="pct"/>
            <w:tcBorders>
              <w:top w:val="single" w:sz="4" w:space="0" w:color="002060"/>
              <w:bottom w:val="single" w:sz="4" w:space="0" w:color="002060"/>
            </w:tcBorders>
            <w:noWrap/>
            <w:hideMark/>
          </w:tcPr>
          <w:p w14:paraId="07E7918D"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2023 п</w:t>
            </w:r>
          </w:p>
        </w:tc>
        <w:tc>
          <w:tcPr>
            <w:tcW w:w="589" w:type="pct"/>
            <w:tcBorders>
              <w:top w:val="single" w:sz="4" w:space="0" w:color="002060"/>
              <w:bottom w:val="single" w:sz="4" w:space="0" w:color="002060"/>
            </w:tcBorders>
            <w:noWrap/>
            <w:hideMark/>
          </w:tcPr>
          <w:p w14:paraId="59C78299"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w:t>
            </w:r>
            <w:r w:rsidRPr="00A173E9">
              <w:rPr>
                <w:rFonts w:ascii="Calibri" w:hAnsi="Calibri" w:cs="Calibri"/>
                <w:color w:val="002060"/>
                <w:sz w:val="18"/>
                <w:szCs w:val="18"/>
                <w:lang w:val="sr-Latn-RS"/>
              </w:rPr>
              <w:t>4</w:t>
            </w:r>
            <w:r w:rsidRPr="00A173E9">
              <w:rPr>
                <w:rFonts w:ascii="Calibri" w:hAnsi="Calibri" w:cs="Calibri"/>
                <w:color w:val="002060"/>
                <w:sz w:val="18"/>
                <w:szCs w:val="18"/>
                <w:lang w:val="sr-Cyrl-RS"/>
              </w:rPr>
              <w:t xml:space="preserve"> п</w:t>
            </w:r>
          </w:p>
        </w:tc>
      </w:tr>
      <w:tr w:rsidR="001E3E7D" w:rsidRPr="00A173E9" w14:paraId="5190293E" w14:textId="77777777" w:rsidTr="001D4D24">
        <w:trPr>
          <w:cnfStyle w:val="000000100000" w:firstRow="0" w:lastRow="0" w:firstColumn="0" w:lastColumn="0" w:oddVBand="0" w:evenVBand="0" w:oddHBand="1" w:evenHBand="0" w:firstRowFirstColumn="0" w:firstRowLastColumn="0" w:lastRowFirstColumn="0" w:lastRowLastColumn="0"/>
          <w:trHeight w:val="22"/>
        </w:trPr>
        <w:tc>
          <w:tcPr>
            <w:tcW w:w="2644" w:type="pct"/>
            <w:tcBorders>
              <w:top w:val="nil"/>
              <w:bottom w:val="nil"/>
            </w:tcBorders>
            <w:shd w:val="clear" w:color="auto" w:fill="E7E6E6" w:themeFill="background2"/>
            <w:noWrap/>
            <w:hideMark/>
          </w:tcPr>
          <w:p w14:paraId="0D14801C"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Главница</w:t>
            </w:r>
          </w:p>
        </w:tc>
        <w:tc>
          <w:tcPr>
            <w:tcW w:w="589" w:type="pct"/>
            <w:tcBorders>
              <w:top w:val="nil"/>
              <w:bottom w:val="nil"/>
            </w:tcBorders>
            <w:shd w:val="clear" w:color="auto" w:fill="E7E6E6" w:themeFill="background2"/>
            <w:noWrap/>
            <w:hideMark/>
          </w:tcPr>
          <w:p w14:paraId="66835E87"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8,0%</w:t>
            </w:r>
          </w:p>
        </w:tc>
        <w:tc>
          <w:tcPr>
            <w:tcW w:w="589" w:type="pct"/>
            <w:tcBorders>
              <w:top w:val="nil"/>
              <w:bottom w:val="nil"/>
            </w:tcBorders>
            <w:shd w:val="clear" w:color="auto" w:fill="E7E6E6" w:themeFill="background2"/>
            <w:noWrap/>
            <w:hideMark/>
          </w:tcPr>
          <w:p w14:paraId="58CE4F43"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6,3%</w:t>
            </w:r>
          </w:p>
        </w:tc>
        <w:tc>
          <w:tcPr>
            <w:tcW w:w="589" w:type="pct"/>
            <w:tcBorders>
              <w:top w:val="nil"/>
              <w:bottom w:val="nil"/>
            </w:tcBorders>
            <w:shd w:val="clear" w:color="auto" w:fill="E7E6E6" w:themeFill="background2"/>
            <w:noWrap/>
            <w:hideMark/>
          </w:tcPr>
          <w:p w14:paraId="7DC39E98"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6,9%</w:t>
            </w:r>
          </w:p>
        </w:tc>
        <w:tc>
          <w:tcPr>
            <w:tcW w:w="589" w:type="pct"/>
            <w:tcBorders>
              <w:top w:val="nil"/>
              <w:bottom w:val="nil"/>
            </w:tcBorders>
            <w:shd w:val="clear" w:color="auto" w:fill="E7E6E6" w:themeFill="background2"/>
            <w:noWrap/>
            <w:hideMark/>
          </w:tcPr>
          <w:p w14:paraId="54A82494"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4,8%</w:t>
            </w:r>
          </w:p>
        </w:tc>
      </w:tr>
      <w:tr w:rsidR="001E3E7D" w:rsidRPr="00A173E9" w14:paraId="159B467F" w14:textId="77777777" w:rsidTr="008265F0">
        <w:trPr>
          <w:trHeight w:val="90"/>
        </w:trPr>
        <w:tc>
          <w:tcPr>
            <w:tcW w:w="2644" w:type="pct"/>
            <w:tcBorders>
              <w:top w:val="nil"/>
              <w:left w:val="nil"/>
              <w:bottom w:val="nil"/>
              <w:right w:val="nil"/>
            </w:tcBorders>
            <w:noWrap/>
            <w:hideMark/>
          </w:tcPr>
          <w:p w14:paraId="228B0372"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bCs/>
                <w:color w:val="002060"/>
                <w:sz w:val="18"/>
                <w:szCs w:val="18"/>
                <w:lang w:val="sr-Cyrl-RS"/>
              </w:rPr>
              <w:t>Камата</w:t>
            </w:r>
          </w:p>
        </w:tc>
        <w:tc>
          <w:tcPr>
            <w:tcW w:w="589" w:type="pct"/>
            <w:tcBorders>
              <w:top w:val="nil"/>
              <w:left w:val="nil"/>
              <w:bottom w:val="nil"/>
              <w:right w:val="nil"/>
            </w:tcBorders>
            <w:noWrap/>
            <w:hideMark/>
          </w:tcPr>
          <w:p w14:paraId="4A0FF0AC"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1,9%</w:t>
            </w:r>
          </w:p>
        </w:tc>
        <w:tc>
          <w:tcPr>
            <w:tcW w:w="589" w:type="pct"/>
            <w:tcBorders>
              <w:top w:val="nil"/>
              <w:left w:val="nil"/>
              <w:bottom w:val="nil"/>
              <w:right w:val="nil"/>
            </w:tcBorders>
            <w:noWrap/>
            <w:hideMark/>
          </w:tcPr>
          <w:p w14:paraId="6090E288"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1,7%</w:t>
            </w:r>
          </w:p>
        </w:tc>
        <w:tc>
          <w:tcPr>
            <w:tcW w:w="589" w:type="pct"/>
            <w:tcBorders>
              <w:top w:val="nil"/>
              <w:left w:val="nil"/>
              <w:bottom w:val="nil"/>
              <w:right w:val="nil"/>
            </w:tcBorders>
            <w:noWrap/>
            <w:hideMark/>
          </w:tcPr>
          <w:p w14:paraId="314F5266"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1,6%</w:t>
            </w:r>
          </w:p>
        </w:tc>
        <w:tc>
          <w:tcPr>
            <w:tcW w:w="589" w:type="pct"/>
            <w:tcBorders>
              <w:top w:val="nil"/>
              <w:left w:val="nil"/>
              <w:bottom w:val="nil"/>
              <w:right w:val="nil"/>
            </w:tcBorders>
            <w:noWrap/>
            <w:hideMark/>
          </w:tcPr>
          <w:p w14:paraId="4B18E879"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1,6%</w:t>
            </w:r>
          </w:p>
        </w:tc>
      </w:tr>
      <w:tr w:rsidR="001E3E7D" w:rsidRPr="00A173E9" w14:paraId="22C0E296" w14:textId="77777777" w:rsidTr="001D4D24">
        <w:trPr>
          <w:cnfStyle w:val="000000100000" w:firstRow="0" w:lastRow="0" w:firstColumn="0" w:lastColumn="0" w:oddVBand="0" w:evenVBand="0" w:oddHBand="1" w:evenHBand="0" w:firstRowFirstColumn="0" w:firstRowLastColumn="0" w:lastRowFirstColumn="0" w:lastRowLastColumn="0"/>
          <w:trHeight w:val="22"/>
        </w:trPr>
        <w:tc>
          <w:tcPr>
            <w:tcW w:w="2644" w:type="pct"/>
            <w:tcBorders>
              <w:top w:val="nil"/>
              <w:bottom w:val="single" w:sz="4" w:space="0" w:color="002060"/>
            </w:tcBorders>
            <w:shd w:val="clear" w:color="auto" w:fill="E7E6E6" w:themeFill="background2"/>
            <w:noWrap/>
            <w:hideMark/>
          </w:tcPr>
          <w:p w14:paraId="00EC3621"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Укупно</w:t>
            </w:r>
          </w:p>
        </w:tc>
        <w:tc>
          <w:tcPr>
            <w:tcW w:w="589" w:type="pct"/>
            <w:tcBorders>
              <w:top w:val="nil"/>
              <w:bottom w:val="single" w:sz="4" w:space="0" w:color="002060"/>
            </w:tcBorders>
            <w:shd w:val="clear" w:color="auto" w:fill="E7E6E6" w:themeFill="background2"/>
            <w:noWrap/>
            <w:vAlign w:val="bottom"/>
            <w:hideMark/>
          </w:tcPr>
          <w:p w14:paraId="00E5481D"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9,9%</w:t>
            </w:r>
          </w:p>
        </w:tc>
        <w:tc>
          <w:tcPr>
            <w:tcW w:w="589" w:type="pct"/>
            <w:tcBorders>
              <w:top w:val="nil"/>
              <w:bottom w:val="single" w:sz="4" w:space="0" w:color="002060"/>
            </w:tcBorders>
            <w:shd w:val="clear" w:color="auto" w:fill="E7E6E6" w:themeFill="background2"/>
            <w:noWrap/>
            <w:vAlign w:val="bottom"/>
            <w:hideMark/>
          </w:tcPr>
          <w:p w14:paraId="770C35E2"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8,1%</w:t>
            </w:r>
          </w:p>
        </w:tc>
        <w:tc>
          <w:tcPr>
            <w:tcW w:w="589" w:type="pct"/>
            <w:tcBorders>
              <w:top w:val="nil"/>
              <w:bottom w:val="single" w:sz="4" w:space="0" w:color="002060"/>
            </w:tcBorders>
            <w:shd w:val="clear" w:color="auto" w:fill="E7E6E6" w:themeFill="background2"/>
            <w:noWrap/>
            <w:vAlign w:val="bottom"/>
            <w:hideMark/>
          </w:tcPr>
          <w:p w14:paraId="2A7C1108"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8,5%</w:t>
            </w:r>
          </w:p>
        </w:tc>
        <w:tc>
          <w:tcPr>
            <w:tcW w:w="589" w:type="pct"/>
            <w:tcBorders>
              <w:top w:val="nil"/>
              <w:bottom w:val="single" w:sz="4" w:space="0" w:color="002060"/>
            </w:tcBorders>
            <w:shd w:val="clear" w:color="auto" w:fill="E7E6E6" w:themeFill="background2"/>
            <w:noWrap/>
            <w:vAlign w:val="bottom"/>
            <w:hideMark/>
          </w:tcPr>
          <w:p w14:paraId="74A616AD"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6,4%</w:t>
            </w:r>
          </w:p>
        </w:tc>
      </w:tr>
      <w:bookmarkEnd w:id="46"/>
    </w:tbl>
    <w:p w14:paraId="5CC15228" w14:textId="77777777" w:rsidR="001E3E7D" w:rsidRPr="00A173E9" w:rsidRDefault="001E3E7D" w:rsidP="008265F0">
      <w:pPr>
        <w:spacing w:after="0" w:line="256" w:lineRule="auto"/>
        <w:jc w:val="left"/>
        <w:rPr>
          <w:rFonts w:ascii="Calibri" w:eastAsia="Calibri" w:hAnsi="Calibri" w:cs="Calibri"/>
          <w:bCs/>
          <w:szCs w:val="72"/>
          <w:lang w:val="sr-Cyrl-RS"/>
        </w:rPr>
        <w:sectPr w:rsidR="001E3E7D" w:rsidRPr="00A173E9">
          <w:type w:val="continuous"/>
          <w:pgSz w:w="12240" w:h="15840"/>
          <w:pgMar w:top="1440" w:right="1440" w:bottom="1440" w:left="1440" w:header="720" w:footer="720" w:gutter="0"/>
          <w:cols w:space="720"/>
        </w:sectPr>
      </w:pPr>
    </w:p>
    <w:p w14:paraId="7F79B52C"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Планирани износи за отплату камата и главница у 202</w:t>
      </w:r>
      <w:r w:rsidRPr="00A173E9">
        <w:rPr>
          <w:rFonts w:ascii="Calibri" w:eastAsia="Calibri" w:hAnsi="Calibri" w:cs="Calibri"/>
          <w:bCs/>
          <w:szCs w:val="72"/>
          <w:lang w:val="sr-Latn-RS"/>
        </w:rPr>
        <w:t>1</w:t>
      </w:r>
      <w:r w:rsidRPr="00A173E9">
        <w:rPr>
          <w:rFonts w:ascii="Calibri" w:eastAsia="Calibri" w:hAnsi="Calibri" w:cs="Calibri"/>
          <w:bCs/>
          <w:szCs w:val="72"/>
          <w:lang w:val="sr-Cyrl-RS"/>
        </w:rPr>
        <w:t xml:space="preserve">. години, на централном нивоу државе, укључују и средства за </w:t>
      </w:r>
      <w:r w:rsidRPr="00A173E9">
        <w:rPr>
          <w:rFonts w:ascii="Calibri" w:eastAsia="Calibri" w:hAnsi="Calibri" w:cs="Calibri"/>
          <w:bCs/>
          <w:i/>
          <w:szCs w:val="72"/>
          <w:lang w:val="sr-Cyrl-RS"/>
        </w:rPr>
        <w:t>buy-back</w:t>
      </w:r>
      <w:r w:rsidRPr="00A173E9">
        <w:rPr>
          <w:rFonts w:ascii="Calibri" w:eastAsia="Calibri" w:hAnsi="Calibri" w:cs="Calibri"/>
          <w:bCs/>
          <w:szCs w:val="72"/>
          <w:lang w:val="sr-Cyrl-RS"/>
        </w:rPr>
        <w:t xml:space="preserve"> операције, тј. превремену отплату дуга, како би се скупљи дуг з</w:t>
      </w:r>
      <w:r w:rsidR="007D4A1B">
        <w:rPr>
          <w:rFonts w:ascii="Calibri" w:eastAsia="Calibri" w:hAnsi="Calibri" w:cs="Calibri"/>
          <w:bCs/>
          <w:szCs w:val="72"/>
          <w:lang w:val="sr-Cyrl-RS"/>
        </w:rPr>
        <w:t>а</w:t>
      </w:r>
      <w:r w:rsidRPr="00A173E9">
        <w:rPr>
          <w:rFonts w:ascii="Calibri" w:eastAsia="Calibri" w:hAnsi="Calibri" w:cs="Calibri"/>
          <w:bCs/>
          <w:szCs w:val="72"/>
          <w:lang w:val="sr-Cyrl-RS"/>
        </w:rPr>
        <w:t>м</w:t>
      </w:r>
      <w:r w:rsidR="007D4A1B">
        <w:rPr>
          <w:rFonts w:ascii="Calibri" w:eastAsia="Calibri" w:hAnsi="Calibri" w:cs="Calibri"/>
          <w:bCs/>
          <w:szCs w:val="72"/>
          <w:lang w:val="sr-Cyrl-RS"/>
        </w:rPr>
        <w:t>енио</w:t>
      </w:r>
      <w:r w:rsidRPr="00A173E9">
        <w:rPr>
          <w:rFonts w:ascii="Calibri" w:eastAsia="Calibri" w:hAnsi="Calibri" w:cs="Calibri"/>
          <w:bCs/>
          <w:szCs w:val="72"/>
          <w:lang w:val="sr-Cyrl-RS"/>
        </w:rPr>
        <w:t xml:space="preserve"> јефтинијим.</w:t>
      </w:r>
    </w:p>
    <w:p w14:paraId="7B2867B8"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Пројекција стања јавног дуга општег нивоа државе у периоду 202</w:t>
      </w:r>
      <w:r w:rsidRPr="00A173E9">
        <w:rPr>
          <w:rFonts w:ascii="Calibri" w:eastAsia="Calibri" w:hAnsi="Calibri" w:cs="Times New Roman"/>
          <w:b/>
          <w:color w:val="2F5496" w:themeColor="accent1" w:themeShade="BF"/>
          <w:sz w:val="22"/>
          <w:lang w:val="sr-Latn-RS"/>
        </w:rPr>
        <w:t>1</w:t>
      </w:r>
      <w:r w:rsidRPr="00A173E9">
        <w:rPr>
          <w:rFonts w:ascii="Calibri" w:eastAsia="Calibri" w:hAnsi="Calibri" w:cs="Times New Roman"/>
          <w:b/>
          <w:color w:val="2F5496" w:themeColor="accent1" w:themeShade="BF"/>
          <w:sz w:val="22"/>
          <w:lang w:val="sr-Cyrl-RS"/>
        </w:rPr>
        <w:t>–202</w:t>
      </w:r>
      <w:r w:rsidRPr="00A173E9">
        <w:rPr>
          <w:rFonts w:ascii="Calibri" w:eastAsia="Calibri" w:hAnsi="Calibri" w:cs="Times New Roman"/>
          <w:b/>
          <w:color w:val="2F5496" w:themeColor="accent1" w:themeShade="BF"/>
          <w:sz w:val="22"/>
          <w:lang w:val="sr-Latn-RS"/>
        </w:rPr>
        <w:t>4</w:t>
      </w:r>
      <w:r w:rsidRPr="00A173E9">
        <w:rPr>
          <w:rFonts w:ascii="Calibri" w:eastAsia="Calibri" w:hAnsi="Calibri" w:cs="Times New Roman"/>
          <w:b/>
          <w:color w:val="2F5496" w:themeColor="accent1" w:themeShade="BF"/>
          <w:sz w:val="22"/>
          <w:lang w:val="sr-Cyrl-RS"/>
        </w:rPr>
        <w:t>. године</w:t>
      </w:r>
    </w:p>
    <w:p w14:paraId="581FFF18" w14:textId="77777777" w:rsidR="001E3E7D" w:rsidRPr="00A173E9" w:rsidRDefault="001E3E7D" w:rsidP="008265F0">
      <w:pPr>
        <w:spacing w:after="240" w:line="256" w:lineRule="auto"/>
        <w:rPr>
          <w:rFonts w:ascii="Calibri" w:eastAsia="Calibri" w:hAnsi="Calibri" w:cs="Calibri"/>
          <w:bCs/>
          <w:szCs w:val="72"/>
          <w:lang w:val="sr-Cyrl-RS"/>
        </w:rPr>
      </w:pPr>
      <w:r w:rsidRPr="00A173E9">
        <w:rPr>
          <w:rFonts w:ascii="Calibri" w:eastAsia="Calibri" w:hAnsi="Calibri" w:cs="Calibri"/>
          <w:bCs/>
          <w:szCs w:val="72"/>
          <w:lang w:val="sr-Cyrl-RS"/>
        </w:rPr>
        <w:t>Имајући у виду пројектовани примарни резултат буџета Републике Србије за период 202</w:t>
      </w:r>
      <w:r w:rsidRPr="00A173E9">
        <w:rPr>
          <w:rFonts w:ascii="Calibri" w:eastAsia="Calibri" w:hAnsi="Calibri" w:cs="Calibri"/>
          <w:bCs/>
          <w:szCs w:val="72"/>
          <w:lang w:val="sr-Latn-RS"/>
        </w:rPr>
        <w:t>1</w:t>
      </w:r>
      <w:r w:rsidRPr="00A173E9">
        <w:rPr>
          <w:rFonts w:ascii="Calibri" w:eastAsia="Calibri" w:hAnsi="Calibri" w:cs="Calibri"/>
          <w:bCs/>
          <w:szCs w:val="72"/>
          <w:lang w:val="sr-Cyrl-RS"/>
        </w:rPr>
        <w:t>–202</w:t>
      </w:r>
      <w:r w:rsidRPr="00A173E9">
        <w:rPr>
          <w:rFonts w:ascii="Calibri" w:eastAsia="Calibri" w:hAnsi="Calibri" w:cs="Calibri"/>
          <w:bCs/>
          <w:szCs w:val="72"/>
          <w:lang w:val="sr-Latn-RS"/>
        </w:rPr>
        <w:t>4</w:t>
      </w:r>
      <w:r w:rsidRPr="00A173E9">
        <w:rPr>
          <w:rFonts w:ascii="Calibri" w:eastAsia="Calibri" w:hAnsi="Calibri" w:cs="Calibri"/>
          <w:bCs/>
          <w:szCs w:val="72"/>
          <w:lang w:val="sr-Cyrl-RS"/>
        </w:rPr>
        <w:t xml:space="preserve">. </w:t>
      </w:r>
      <w:r w:rsidRPr="00A173E9">
        <w:rPr>
          <w:rFonts w:ascii="Calibri" w:eastAsia="Calibri" w:hAnsi="Calibri" w:cs="Calibri"/>
          <w:bCs/>
          <w:szCs w:val="72"/>
          <w:lang w:val="sr-Cyrl-RS"/>
        </w:rPr>
        <w:t>године, укључујући и обим повлачења кредитних средстава за пројектно финансирање од буџетских корисника, ефекте промене девизног курса динара према евру и америчком долару, у основном макроекономском сценарију, стање дуга централног нивоа државе требало би да буде на нивоу од 54,</w:t>
      </w:r>
      <w:r w:rsidRPr="00A173E9">
        <w:rPr>
          <w:rFonts w:ascii="Calibri" w:eastAsia="Calibri" w:hAnsi="Calibri" w:cs="Calibri"/>
          <w:bCs/>
          <w:szCs w:val="72"/>
          <w:lang w:val="sr-Latn-RS"/>
        </w:rPr>
        <w:t>4</w:t>
      </w:r>
      <w:r w:rsidRPr="00A173E9">
        <w:rPr>
          <w:rFonts w:ascii="Calibri" w:eastAsia="Calibri" w:hAnsi="Calibri" w:cs="Calibri"/>
          <w:bCs/>
          <w:szCs w:val="72"/>
          <w:lang w:val="sr-Cyrl-RS"/>
        </w:rPr>
        <w:t>% БДП на крају 202</w:t>
      </w:r>
      <w:r w:rsidRPr="00A173E9">
        <w:rPr>
          <w:rFonts w:ascii="Calibri" w:eastAsia="Calibri" w:hAnsi="Calibri" w:cs="Calibri"/>
          <w:bCs/>
          <w:szCs w:val="72"/>
          <w:lang w:val="sr-Latn-RS"/>
        </w:rPr>
        <w:t>4</w:t>
      </w:r>
      <w:r w:rsidRPr="00A173E9">
        <w:rPr>
          <w:rFonts w:ascii="Calibri" w:eastAsia="Calibri" w:hAnsi="Calibri" w:cs="Calibri"/>
          <w:bCs/>
          <w:szCs w:val="72"/>
          <w:lang w:val="sr-Cyrl-RS"/>
        </w:rPr>
        <w:t>. године.</w:t>
      </w:r>
    </w:p>
    <w:p w14:paraId="5E8A224B" w14:textId="77777777" w:rsidR="001E3E7D" w:rsidRDefault="001E3E7D" w:rsidP="008265F0">
      <w:pPr>
        <w:spacing w:after="0" w:line="256" w:lineRule="auto"/>
        <w:jc w:val="left"/>
        <w:rPr>
          <w:rFonts w:ascii="Calibri" w:eastAsia="Calibri" w:hAnsi="Calibri" w:cs="Calibri"/>
          <w:bCs/>
          <w:szCs w:val="72"/>
          <w:lang w:val="sr-Cyrl-RS"/>
        </w:rPr>
      </w:pPr>
    </w:p>
    <w:p w14:paraId="74528AA2" w14:textId="77777777" w:rsidR="001E0603" w:rsidRDefault="001E0603" w:rsidP="001E0603">
      <w:pPr>
        <w:spacing w:after="240" w:line="257" w:lineRule="auto"/>
        <w:jc w:val="left"/>
        <w:rPr>
          <w:rFonts w:ascii="Calibri" w:eastAsia="Calibri" w:hAnsi="Calibri" w:cs="Calibri"/>
          <w:bCs/>
          <w:szCs w:val="72"/>
          <w:lang w:val="sr-Cyrl-RS"/>
        </w:rPr>
      </w:pPr>
    </w:p>
    <w:p w14:paraId="1D9D5E91" w14:textId="77777777" w:rsidR="001E0603" w:rsidRPr="00A173E9" w:rsidRDefault="001E0603" w:rsidP="008265F0">
      <w:pPr>
        <w:spacing w:after="0" w:line="256" w:lineRule="auto"/>
        <w:jc w:val="left"/>
        <w:rPr>
          <w:rFonts w:ascii="Calibri" w:eastAsia="Calibri" w:hAnsi="Calibri" w:cs="Calibri"/>
          <w:bCs/>
          <w:szCs w:val="72"/>
          <w:lang w:val="sr-Cyrl-RS"/>
        </w:rPr>
        <w:sectPr w:rsidR="001E0603" w:rsidRPr="00A173E9">
          <w:type w:val="continuous"/>
          <w:pgSz w:w="12240" w:h="15840"/>
          <w:pgMar w:top="1440" w:right="1440" w:bottom="1440" w:left="1440" w:header="720" w:footer="720" w:gutter="0"/>
          <w:cols w:num="2" w:space="720"/>
        </w:sectPr>
      </w:pPr>
    </w:p>
    <w:p w14:paraId="3941A1F0" w14:textId="77777777" w:rsidR="001E3E7D" w:rsidRPr="0055506F" w:rsidRDefault="001E3E7D" w:rsidP="008265F0">
      <w:pPr>
        <w:spacing w:line="256" w:lineRule="auto"/>
        <w:jc w:val="center"/>
        <w:rPr>
          <w:rFonts w:ascii="Calibri" w:eastAsia="Calibri" w:hAnsi="Calibri" w:cs="Times New Roman"/>
          <w:b/>
          <w:color w:val="002060"/>
          <w:lang w:val="sr-Cyrl-RS"/>
        </w:rPr>
      </w:pPr>
      <w:r w:rsidRPr="0055506F">
        <w:rPr>
          <w:rFonts w:ascii="Calibri" w:eastAsia="Calibri" w:hAnsi="Calibri" w:cs="Times New Roman"/>
          <w:b/>
          <w:color w:val="002060"/>
          <w:lang w:val="sr-Cyrl-RS"/>
        </w:rPr>
        <w:t>Табела 2</w:t>
      </w:r>
      <w:r w:rsidR="00FA5A89">
        <w:rPr>
          <w:rFonts w:ascii="Calibri" w:eastAsia="Calibri" w:hAnsi="Calibri" w:cs="Times New Roman"/>
          <w:b/>
          <w:color w:val="002060"/>
          <w:lang w:val="sr-Latn-RS"/>
        </w:rPr>
        <w:t>7</w:t>
      </w:r>
      <w:r w:rsidRPr="0055506F">
        <w:rPr>
          <w:rFonts w:ascii="Calibri" w:eastAsia="Calibri" w:hAnsi="Calibri" w:cs="Times New Roman"/>
          <w:b/>
          <w:color w:val="002060"/>
          <w:lang w:val="sr-Cyrl-RS"/>
        </w:rPr>
        <w:t>. Основна пројекција стања јавног дуга општег нивоа државе до 202</w:t>
      </w:r>
      <w:r w:rsidRPr="0055506F">
        <w:rPr>
          <w:rFonts w:ascii="Calibri" w:eastAsia="Calibri" w:hAnsi="Calibri" w:cs="Times New Roman"/>
          <w:b/>
          <w:color w:val="002060"/>
          <w:lang w:val="sr-Latn-RS"/>
        </w:rPr>
        <w:t>4</w:t>
      </w:r>
      <w:r w:rsidRPr="0055506F">
        <w:rPr>
          <w:rFonts w:ascii="Calibri" w:eastAsia="Calibri" w:hAnsi="Calibri" w:cs="Times New Roman"/>
          <w:b/>
          <w:color w:val="002060"/>
          <w:lang w:val="sr-Cyrl-RS"/>
        </w:rPr>
        <w:t>. године</w:t>
      </w:r>
    </w:p>
    <w:tbl>
      <w:tblPr>
        <w:tblStyle w:val="LightShading-Accent1222"/>
        <w:tblW w:w="5000" w:type="pct"/>
        <w:tblInd w:w="0" w:type="dxa"/>
        <w:tblLook w:val="0420" w:firstRow="1" w:lastRow="0" w:firstColumn="0" w:lastColumn="0" w:noHBand="0" w:noVBand="1"/>
      </w:tblPr>
      <w:tblGrid>
        <w:gridCol w:w="5100"/>
        <w:gridCol w:w="1065"/>
        <w:gridCol w:w="1065"/>
        <w:gridCol w:w="1065"/>
        <w:gridCol w:w="1065"/>
      </w:tblGrid>
      <w:tr w:rsidR="001E3E7D" w:rsidRPr="00A173E9" w14:paraId="0ECA2C59" w14:textId="77777777" w:rsidTr="008265F0">
        <w:trPr>
          <w:cnfStyle w:val="100000000000" w:firstRow="1" w:lastRow="0" w:firstColumn="0" w:lastColumn="0" w:oddVBand="0" w:evenVBand="0" w:oddHBand="0" w:evenHBand="0" w:firstRowFirstColumn="0" w:firstRowLastColumn="0" w:lastRowFirstColumn="0" w:lastRowLastColumn="0"/>
          <w:trHeight w:val="20"/>
        </w:trPr>
        <w:tc>
          <w:tcPr>
            <w:tcW w:w="2724" w:type="pct"/>
            <w:tcBorders>
              <w:top w:val="single" w:sz="4" w:space="0" w:color="002060"/>
              <w:bottom w:val="single" w:sz="8" w:space="0" w:color="FFFFFF" w:themeColor="background1"/>
            </w:tcBorders>
            <w:noWrap/>
            <w:hideMark/>
          </w:tcPr>
          <w:p w14:paraId="25EE560C" w14:textId="77777777" w:rsidR="001E3E7D" w:rsidRPr="00A173E9" w:rsidRDefault="001E3E7D" w:rsidP="008265F0">
            <w:pPr>
              <w:spacing w:line="256" w:lineRule="auto"/>
              <w:rPr>
                <w:rFonts w:ascii="Calibri" w:hAnsi="Calibri"/>
                <w:color w:val="002060"/>
                <w:lang w:val="sr-Cyrl-RS"/>
              </w:rPr>
            </w:pPr>
          </w:p>
        </w:tc>
        <w:tc>
          <w:tcPr>
            <w:tcW w:w="569" w:type="pct"/>
            <w:tcBorders>
              <w:top w:val="single" w:sz="4" w:space="0" w:color="002060"/>
              <w:bottom w:val="single" w:sz="4" w:space="0" w:color="002060"/>
            </w:tcBorders>
            <w:noWrap/>
            <w:hideMark/>
          </w:tcPr>
          <w:p w14:paraId="4367C661"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2021 п</w:t>
            </w:r>
          </w:p>
        </w:tc>
        <w:tc>
          <w:tcPr>
            <w:tcW w:w="569" w:type="pct"/>
            <w:tcBorders>
              <w:top w:val="single" w:sz="4" w:space="0" w:color="002060"/>
              <w:bottom w:val="single" w:sz="4" w:space="0" w:color="002060"/>
            </w:tcBorders>
            <w:noWrap/>
            <w:hideMark/>
          </w:tcPr>
          <w:p w14:paraId="7F323DAB"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2022 п</w:t>
            </w:r>
          </w:p>
        </w:tc>
        <w:tc>
          <w:tcPr>
            <w:tcW w:w="569" w:type="pct"/>
            <w:tcBorders>
              <w:top w:val="single" w:sz="4" w:space="0" w:color="002060"/>
              <w:bottom w:val="single" w:sz="4" w:space="0" w:color="002060"/>
            </w:tcBorders>
            <w:noWrap/>
            <w:hideMark/>
          </w:tcPr>
          <w:p w14:paraId="4574BF6F"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2023 п</w:t>
            </w:r>
          </w:p>
        </w:tc>
        <w:tc>
          <w:tcPr>
            <w:tcW w:w="569" w:type="pct"/>
            <w:tcBorders>
              <w:top w:val="single" w:sz="4" w:space="0" w:color="002060"/>
              <w:bottom w:val="single" w:sz="4" w:space="0" w:color="002060"/>
            </w:tcBorders>
            <w:noWrap/>
            <w:hideMark/>
          </w:tcPr>
          <w:p w14:paraId="2AE0D7F9" w14:textId="77777777" w:rsidR="001E3E7D" w:rsidRPr="00A173E9" w:rsidRDefault="001E3E7D" w:rsidP="008265F0">
            <w:pPr>
              <w:jc w:val="right"/>
              <w:rPr>
                <w:rFonts w:ascii="Calibri" w:hAnsi="Calibri" w:cs="Calibri"/>
                <w:color w:val="002060"/>
                <w:sz w:val="18"/>
                <w:szCs w:val="18"/>
                <w:lang w:val="sr-Cyrl-RS"/>
              </w:rPr>
            </w:pPr>
            <w:r w:rsidRPr="00A173E9">
              <w:rPr>
                <w:rFonts w:ascii="Calibri" w:hAnsi="Calibri" w:cs="Calibri"/>
                <w:color w:val="002060"/>
                <w:sz w:val="18"/>
                <w:szCs w:val="18"/>
                <w:lang w:val="sr-Cyrl-RS"/>
              </w:rPr>
              <w:t>2024 п</w:t>
            </w:r>
          </w:p>
        </w:tc>
      </w:tr>
      <w:tr w:rsidR="001E3E7D" w:rsidRPr="00A173E9" w14:paraId="6C5F993B" w14:textId="77777777" w:rsidTr="001D4D24">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noWrap/>
            <w:hideMark/>
          </w:tcPr>
          <w:p w14:paraId="7D141158" w14:textId="77777777" w:rsidR="001E3E7D" w:rsidRPr="001D4D24" w:rsidRDefault="001E3E7D" w:rsidP="008265F0">
            <w:pPr>
              <w:spacing w:line="240" w:lineRule="auto"/>
              <w:rPr>
                <w:rFonts w:ascii="Calibri" w:hAnsi="Calibri" w:cs="Calibri"/>
                <w:bCs/>
                <w:color w:val="44546A"/>
                <w:sz w:val="18"/>
                <w:szCs w:val="18"/>
                <w:lang w:val="sr-Cyrl-RS"/>
              </w:rPr>
            </w:pPr>
            <w:r w:rsidRPr="0004447C">
              <w:rPr>
                <w:rFonts w:ascii="Calibri" w:hAnsi="Calibri" w:cs="Calibri"/>
                <w:bCs/>
                <w:color w:val="002060"/>
                <w:sz w:val="18"/>
                <w:szCs w:val="18"/>
                <w:lang w:val="sr-Cyrl-RS"/>
              </w:rPr>
              <w:t>Јавни дуг (централни ниво власти), млрд РСД</w:t>
            </w:r>
          </w:p>
        </w:tc>
        <w:tc>
          <w:tcPr>
            <w:tcW w:w="569" w:type="pct"/>
            <w:tcBorders>
              <w:top w:val="single" w:sz="4" w:space="0" w:color="002060"/>
              <w:bottom w:val="nil"/>
            </w:tcBorders>
            <w:shd w:val="clear" w:color="auto" w:fill="E7E6E6" w:themeFill="background2"/>
            <w:noWrap/>
            <w:hideMark/>
          </w:tcPr>
          <w:p w14:paraId="05EA53F5" w14:textId="77777777" w:rsidR="001E3E7D" w:rsidRPr="0004447C" w:rsidRDefault="001E3E7D" w:rsidP="008265F0">
            <w:pPr>
              <w:spacing w:line="240" w:lineRule="auto"/>
              <w:jc w:val="right"/>
              <w:rPr>
                <w:rFonts w:ascii="Calibri" w:hAnsi="Calibri" w:cs="Calibri"/>
                <w:bCs/>
                <w:color w:val="002060"/>
                <w:sz w:val="18"/>
                <w:szCs w:val="18"/>
                <w:lang w:val="sr-Latn-RS"/>
              </w:rPr>
            </w:pPr>
            <w:r w:rsidRPr="0004447C">
              <w:rPr>
                <w:rFonts w:ascii="Calibri" w:hAnsi="Calibri" w:cs="Calibri"/>
                <w:bCs/>
                <w:color w:val="002060"/>
                <w:sz w:val="18"/>
                <w:szCs w:val="18"/>
                <w:lang w:val="sr-Latn-RS"/>
              </w:rPr>
              <w:t>3.505,8</w:t>
            </w:r>
          </w:p>
        </w:tc>
        <w:tc>
          <w:tcPr>
            <w:tcW w:w="569" w:type="pct"/>
            <w:tcBorders>
              <w:top w:val="single" w:sz="4" w:space="0" w:color="002060"/>
              <w:bottom w:val="nil"/>
            </w:tcBorders>
            <w:shd w:val="clear" w:color="auto" w:fill="E7E6E6" w:themeFill="background2"/>
            <w:noWrap/>
            <w:hideMark/>
          </w:tcPr>
          <w:p w14:paraId="09A3A291" w14:textId="77777777" w:rsidR="001E3E7D" w:rsidRPr="0004447C" w:rsidRDefault="001E3E7D" w:rsidP="008265F0">
            <w:pPr>
              <w:spacing w:line="240" w:lineRule="auto"/>
              <w:jc w:val="right"/>
              <w:rPr>
                <w:rFonts w:ascii="Calibri" w:hAnsi="Calibri" w:cs="Calibri"/>
                <w:bCs/>
                <w:color w:val="002060"/>
                <w:sz w:val="18"/>
                <w:szCs w:val="18"/>
                <w:lang w:val="sr-Cyrl-RS"/>
              </w:rPr>
            </w:pPr>
            <w:r w:rsidRPr="0004447C">
              <w:rPr>
                <w:rFonts w:ascii="Calibri" w:hAnsi="Calibri" w:cs="Calibri"/>
                <w:bCs/>
                <w:color w:val="002060"/>
                <w:sz w:val="18"/>
                <w:szCs w:val="18"/>
                <w:lang w:val="sr-Cyrl-RS"/>
              </w:rPr>
              <w:t>3.</w:t>
            </w:r>
            <w:r w:rsidRPr="0004447C">
              <w:rPr>
                <w:rFonts w:ascii="Calibri" w:hAnsi="Calibri" w:cs="Calibri"/>
                <w:bCs/>
                <w:color w:val="002060"/>
                <w:sz w:val="18"/>
                <w:szCs w:val="18"/>
                <w:lang w:val="sr-Latn-RS"/>
              </w:rPr>
              <w:t>698</w:t>
            </w:r>
            <w:r w:rsidRPr="0004447C">
              <w:rPr>
                <w:rFonts w:ascii="Calibri" w:hAnsi="Calibri" w:cs="Calibri"/>
                <w:bCs/>
                <w:color w:val="002060"/>
                <w:sz w:val="18"/>
                <w:szCs w:val="18"/>
                <w:lang w:val="sr-Cyrl-RS"/>
              </w:rPr>
              <w:t>,8</w:t>
            </w:r>
          </w:p>
        </w:tc>
        <w:tc>
          <w:tcPr>
            <w:tcW w:w="569" w:type="pct"/>
            <w:tcBorders>
              <w:top w:val="single" w:sz="4" w:space="0" w:color="002060"/>
              <w:bottom w:val="nil"/>
            </w:tcBorders>
            <w:shd w:val="clear" w:color="auto" w:fill="E7E6E6" w:themeFill="background2"/>
            <w:noWrap/>
            <w:hideMark/>
          </w:tcPr>
          <w:p w14:paraId="65A04FDE" w14:textId="77777777" w:rsidR="001E3E7D" w:rsidRPr="0004447C" w:rsidRDefault="001E3E7D" w:rsidP="008265F0">
            <w:pPr>
              <w:spacing w:line="240" w:lineRule="auto"/>
              <w:jc w:val="right"/>
              <w:rPr>
                <w:rFonts w:ascii="Calibri" w:hAnsi="Calibri" w:cs="Calibri"/>
                <w:bCs/>
                <w:color w:val="002060"/>
                <w:sz w:val="18"/>
                <w:szCs w:val="18"/>
                <w:lang w:val="sr-Cyrl-RS"/>
              </w:rPr>
            </w:pPr>
            <w:r w:rsidRPr="0004447C">
              <w:rPr>
                <w:rFonts w:ascii="Calibri" w:hAnsi="Calibri" w:cs="Calibri"/>
                <w:bCs/>
                <w:color w:val="002060"/>
                <w:sz w:val="18"/>
                <w:szCs w:val="18"/>
                <w:lang w:val="sr-Cyrl-RS"/>
              </w:rPr>
              <w:t>3.842,8</w:t>
            </w:r>
          </w:p>
        </w:tc>
        <w:tc>
          <w:tcPr>
            <w:tcW w:w="569" w:type="pct"/>
            <w:tcBorders>
              <w:top w:val="single" w:sz="4" w:space="0" w:color="002060"/>
              <w:bottom w:val="nil"/>
            </w:tcBorders>
            <w:shd w:val="clear" w:color="auto" w:fill="E7E6E6" w:themeFill="background2"/>
            <w:noWrap/>
            <w:hideMark/>
          </w:tcPr>
          <w:p w14:paraId="5224E485" w14:textId="77777777" w:rsidR="001E3E7D" w:rsidRPr="0004447C" w:rsidRDefault="001E3E7D" w:rsidP="008265F0">
            <w:pPr>
              <w:spacing w:line="240" w:lineRule="auto"/>
              <w:jc w:val="right"/>
              <w:rPr>
                <w:rFonts w:ascii="Calibri" w:hAnsi="Calibri" w:cs="Calibri"/>
                <w:bCs/>
                <w:color w:val="002060"/>
                <w:sz w:val="18"/>
                <w:szCs w:val="18"/>
                <w:lang w:val="sr-Latn-RS"/>
              </w:rPr>
            </w:pPr>
            <w:r w:rsidRPr="0004447C">
              <w:rPr>
                <w:rFonts w:ascii="Calibri" w:hAnsi="Calibri" w:cs="Calibri"/>
                <w:bCs/>
                <w:color w:val="002060"/>
                <w:sz w:val="18"/>
                <w:szCs w:val="18"/>
                <w:lang w:val="sr-Cyrl-RS"/>
              </w:rPr>
              <w:t>3.</w:t>
            </w:r>
            <w:r w:rsidRPr="0004447C">
              <w:rPr>
                <w:rFonts w:ascii="Calibri" w:hAnsi="Calibri" w:cs="Calibri"/>
                <w:bCs/>
                <w:color w:val="002060"/>
                <w:sz w:val="18"/>
                <w:szCs w:val="18"/>
                <w:lang w:val="sr-Latn-RS"/>
              </w:rPr>
              <w:t>934</w:t>
            </w:r>
            <w:r w:rsidRPr="0004447C">
              <w:rPr>
                <w:rFonts w:ascii="Calibri" w:hAnsi="Calibri" w:cs="Calibri"/>
                <w:bCs/>
                <w:color w:val="002060"/>
                <w:sz w:val="18"/>
                <w:szCs w:val="18"/>
                <w:lang w:val="sr-Cyrl-RS"/>
              </w:rPr>
              <w:t>,</w:t>
            </w:r>
            <w:r w:rsidRPr="0004447C">
              <w:rPr>
                <w:rFonts w:ascii="Calibri" w:hAnsi="Calibri" w:cs="Calibri"/>
                <w:bCs/>
                <w:color w:val="002060"/>
                <w:sz w:val="18"/>
                <w:szCs w:val="18"/>
                <w:lang w:val="sr-Latn-RS"/>
              </w:rPr>
              <w:t>8</w:t>
            </w:r>
          </w:p>
        </w:tc>
      </w:tr>
      <w:tr w:rsidR="001E3E7D" w:rsidRPr="00A173E9" w14:paraId="397140AB" w14:textId="77777777" w:rsidTr="008265F0">
        <w:trPr>
          <w:trHeight w:val="20"/>
        </w:trPr>
        <w:tc>
          <w:tcPr>
            <w:tcW w:w="2724" w:type="pct"/>
            <w:tcBorders>
              <w:top w:val="nil"/>
              <w:left w:val="nil"/>
              <w:bottom w:val="nil"/>
              <w:right w:val="nil"/>
            </w:tcBorders>
            <w:hideMark/>
          </w:tcPr>
          <w:p w14:paraId="2A866140"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Дуг централне државе, у % БДП</w:t>
            </w:r>
          </w:p>
        </w:tc>
        <w:tc>
          <w:tcPr>
            <w:tcW w:w="569" w:type="pct"/>
            <w:tcBorders>
              <w:top w:val="nil"/>
              <w:left w:val="nil"/>
              <w:bottom w:val="nil"/>
              <w:right w:val="nil"/>
            </w:tcBorders>
            <w:noWrap/>
            <w:hideMark/>
          </w:tcPr>
          <w:p w14:paraId="004D8EA0"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59,0%</w:t>
            </w:r>
          </w:p>
        </w:tc>
        <w:tc>
          <w:tcPr>
            <w:tcW w:w="569" w:type="pct"/>
            <w:tcBorders>
              <w:top w:val="nil"/>
              <w:left w:val="nil"/>
              <w:bottom w:val="nil"/>
              <w:right w:val="nil"/>
            </w:tcBorders>
            <w:noWrap/>
            <w:hideMark/>
          </w:tcPr>
          <w:p w14:paraId="3A653058"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58,3%</w:t>
            </w:r>
          </w:p>
        </w:tc>
        <w:tc>
          <w:tcPr>
            <w:tcW w:w="569" w:type="pct"/>
            <w:tcBorders>
              <w:top w:val="nil"/>
              <w:left w:val="nil"/>
              <w:bottom w:val="nil"/>
              <w:right w:val="nil"/>
            </w:tcBorders>
            <w:noWrap/>
            <w:hideMark/>
          </w:tcPr>
          <w:p w14:paraId="56FC7DDB"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56,5%</w:t>
            </w:r>
          </w:p>
        </w:tc>
        <w:tc>
          <w:tcPr>
            <w:tcW w:w="569" w:type="pct"/>
            <w:tcBorders>
              <w:top w:val="nil"/>
              <w:left w:val="nil"/>
              <w:bottom w:val="nil"/>
              <w:right w:val="nil"/>
            </w:tcBorders>
            <w:noWrap/>
            <w:hideMark/>
          </w:tcPr>
          <w:p w14:paraId="2F751346"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54,4%</w:t>
            </w:r>
          </w:p>
        </w:tc>
      </w:tr>
      <w:tr w:rsidR="001E3E7D" w:rsidRPr="00A173E9" w14:paraId="02EB31EE" w14:textId="77777777" w:rsidTr="001D4D24">
        <w:trPr>
          <w:cnfStyle w:val="000000100000" w:firstRow="0" w:lastRow="0" w:firstColumn="0" w:lastColumn="0" w:oddVBand="0" w:evenVBand="0" w:oddHBand="1" w:evenHBand="0" w:firstRowFirstColumn="0" w:firstRowLastColumn="0" w:lastRowFirstColumn="0" w:lastRowLastColumn="0"/>
          <w:trHeight w:val="20"/>
        </w:trPr>
        <w:tc>
          <w:tcPr>
            <w:tcW w:w="2724" w:type="pct"/>
            <w:tcBorders>
              <w:top w:val="nil"/>
              <w:bottom w:val="nil"/>
            </w:tcBorders>
            <w:shd w:val="clear" w:color="auto" w:fill="E7E6E6" w:themeFill="background2"/>
            <w:hideMark/>
          </w:tcPr>
          <w:p w14:paraId="48CAAA99"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Негарантовани дуг јединица локалне самоуправе, у % БДП</w:t>
            </w:r>
          </w:p>
        </w:tc>
        <w:tc>
          <w:tcPr>
            <w:tcW w:w="569" w:type="pct"/>
            <w:tcBorders>
              <w:top w:val="nil"/>
              <w:bottom w:val="nil"/>
            </w:tcBorders>
            <w:shd w:val="clear" w:color="auto" w:fill="E7E6E6" w:themeFill="background2"/>
            <w:noWrap/>
            <w:vAlign w:val="bottom"/>
            <w:hideMark/>
          </w:tcPr>
          <w:p w14:paraId="21FF9E8E"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w:t>
            </w:r>
            <w:r w:rsidRPr="00A173E9">
              <w:rPr>
                <w:rFonts w:ascii="Calibri" w:hAnsi="Calibri" w:cs="Calibri"/>
                <w:bCs/>
                <w:color w:val="002060"/>
                <w:sz w:val="18"/>
                <w:szCs w:val="18"/>
                <w:lang w:val="sr-Latn-RS"/>
              </w:rPr>
              <w:t>0</w:t>
            </w:r>
            <w:r w:rsidRPr="00A173E9">
              <w:rPr>
                <w:rFonts w:ascii="Calibri" w:hAnsi="Calibri" w:cs="Calibri"/>
                <w:bCs/>
                <w:color w:val="002060"/>
                <w:sz w:val="18"/>
                <w:szCs w:val="18"/>
                <w:lang w:val="sr-Cyrl-RS"/>
              </w:rPr>
              <w:t>%</w:t>
            </w:r>
          </w:p>
        </w:tc>
        <w:tc>
          <w:tcPr>
            <w:tcW w:w="569" w:type="pct"/>
            <w:tcBorders>
              <w:top w:val="nil"/>
              <w:bottom w:val="nil"/>
            </w:tcBorders>
            <w:shd w:val="clear" w:color="auto" w:fill="E7E6E6" w:themeFill="background2"/>
            <w:noWrap/>
            <w:vAlign w:val="bottom"/>
            <w:hideMark/>
          </w:tcPr>
          <w:p w14:paraId="6672616F"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w:t>
            </w:r>
            <w:r w:rsidRPr="00A173E9">
              <w:rPr>
                <w:rFonts w:ascii="Calibri" w:hAnsi="Calibri" w:cs="Calibri"/>
                <w:bCs/>
                <w:color w:val="002060"/>
                <w:sz w:val="18"/>
                <w:szCs w:val="18"/>
                <w:lang w:val="sr-Latn-RS"/>
              </w:rPr>
              <w:t>0</w:t>
            </w:r>
            <w:r w:rsidRPr="00A173E9">
              <w:rPr>
                <w:rFonts w:ascii="Calibri" w:hAnsi="Calibri" w:cs="Calibri"/>
                <w:bCs/>
                <w:color w:val="002060"/>
                <w:sz w:val="18"/>
                <w:szCs w:val="18"/>
                <w:lang w:val="sr-Cyrl-RS"/>
              </w:rPr>
              <w:t>%</w:t>
            </w:r>
          </w:p>
        </w:tc>
        <w:tc>
          <w:tcPr>
            <w:tcW w:w="569" w:type="pct"/>
            <w:tcBorders>
              <w:top w:val="nil"/>
              <w:bottom w:val="nil"/>
            </w:tcBorders>
            <w:shd w:val="clear" w:color="auto" w:fill="E7E6E6" w:themeFill="background2"/>
            <w:noWrap/>
            <w:vAlign w:val="bottom"/>
            <w:hideMark/>
          </w:tcPr>
          <w:p w14:paraId="4D10D3D6"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1,1%</w:t>
            </w:r>
          </w:p>
        </w:tc>
        <w:tc>
          <w:tcPr>
            <w:tcW w:w="569" w:type="pct"/>
            <w:tcBorders>
              <w:top w:val="nil"/>
              <w:bottom w:val="nil"/>
            </w:tcBorders>
            <w:shd w:val="clear" w:color="auto" w:fill="E7E6E6" w:themeFill="background2"/>
            <w:noWrap/>
            <w:vAlign w:val="bottom"/>
            <w:hideMark/>
          </w:tcPr>
          <w:p w14:paraId="199BA3E4"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1,</w:t>
            </w:r>
            <w:r w:rsidRPr="00A173E9">
              <w:rPr>
                <w:rFonts w:ascii="Calibri" w:hAnsi="Calibri" w:cs="Calibri"/>
                <w:bCs/>
                <w:color w:val="002060"/>
                <w:sz w:val="18"/>
                <w:szCs w:val="18"/>
                <w:lang w:val="sr-Latn-RS"/>
              </w:rPr>
              <w:t>1</w:t>
            </w:r>
            <w:r w:rsidRPr="00A173E9">
              <w:rPr>
                <w:rFonts w:ascii="Calibri" w:hAnsi="Calibri" w:cs="Calibri"/>
                <w:bCs/>
                <w:color w:val="002060"/>
                <w:sz w:val="18"/>
                <w:szCs w:val="18"/>
                <w:lang w:val="sr-Cyrl-RS"/>
              </w:rPr>
              <w:t>%</w:t>
            </w:r>
          </w:p>
        </w:tc>
      </w:tr>
      <w:tr w:rsidR="001E3E7D" w:rsidRPr="00A173E9" w14:paraId="4D18661D" w14:textId="77777777" w:rsidTr="008265F0">
        <w:trPr>
          <w:trHeight w:val="20"/>
        </w:trPr>
        <w:tc>
          <w:tcPr>
            <w:tcW w:w="2724" w:type="pct"/>
            <w:tcBorders>
              <w:top w:val="nil"/>
              <w:left w:val="nil"/>
              <w:bottom w:val="single" w:sz="4" w:space="0" w:color="002060"/>
              <w:right w:val="nil"/>
            </w:tcBorders>
            <w:hideMark/>
          </w:tcPr>
          <w:p w14:paraId="13E7319C"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Дуг опште државе, у % БДП</w:t>
            </w:r>
          </w:p>
        </w:tc>
        <w:tc>
          <w:tcPr>
            <w:tcW w:w="569" w:type="pct"/>
            <w:tcBorders>
              <w:top w:val="nil"/>
              <w:left w:val="nil"/>
              <w:bottom w:val="single" w:sz="4" w:space="0" w:color="002060"/>
              <w:right w:val="nil"/>
            </w:tcBorders>
            <w:noWrap/>
            <w:hideMark/>
          </w:tcPr>
          <w:p w14:paraId="2766DF5A"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60,0%</w:t>
            </w:r>
          </w:p>
        </w:tc>
        <w:tc>
          <w:tcPr>
            <w:tcW w:w="569" w:type="pct"/>
            <w:tcBorders>
              <w:top w:val="nil"/>
              <w:left w:val="nil"/>
              <w:bottom w:val="single" w:sz="4" w:space="0" w:color="002060"/>
              <w:right w:val="nil"/>
            </w:tcBorders>
            <w:noWrap/>
            <w:hideMark/>
          </w:tcPr>
          <w:p w14:paraId="30935A96"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59,3%</w:t>
            </w:r>
          </w:p>
        </w:tc>
        <w:tc>
          <w:tcPr>
            <w:tcW w:w="569" w:type="pct"/>
            <w:tcBorders>
              <w:top w:val="nil"/>
              <w:left w:val="nil"/>
              <w:bottom w:val="single" w:sz="4" w:space="0" w:color="002060"/>
              <w:right w:val="nil"/>
            </w:tcBorders>
            <w:noWrap/>
            <w:hideMark/>
          </w:tcPr>
          <w:p w14:paraId="2006ECA2"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57,6%</w:t>
            </w:r>
          </w:p>
        </w:tc>
        <w:tc>
          <w:tcPr>
            <w:tcW w:w="569" w:type="pct"/>
            <w:tcBorders>
              <w:top w:val="nil"/>
              <w:left w:val="nil"/>
              <w:bottom w:val="single" w:sz="4" w:space="0" w:color="002060"/>
              <w:right w:val="nil"/>
            </w:tcBorders>
            <w:noWrap/>
            <w:hideMark/>
          </w:tcPr>
          <w:p w14:paraId="44B0C8E9" w14:textId="77777777" w:rsidR="001E3E7D" w:rsidRPr="00A173E9" w:rsidRDefault="001E3E7D" w:rsidP="008265F0">
            <w:pPr>
              <w:spacing w:line="240" w:lineRule="auto"/>
              <w:jc w:val="right"/>
              <w:rPr>
                <w:rFonts w:ascii="Calibri" w:hAnsi="Calibri" w:cs="Calibri"/>
                <w:bCs/>
                <w:color w:val="002060"/>
                <w:sz w:val="18"/>
                <w:szCs w:val="18"/>
                <w:lang w:val="sr-Cyrl-RS"/>
              </w:rPr>
            </w:pPr>
            <w:r w:rsidRPr="00A173E9">
              <w:rPr>
                <w:rFonts w:ascii="Calibri" w:hAnsi="Calibri" w:cs="Calibri"/>
                <w:bCs/>
                <w:color w:val="002060"/>
                <w:sz w:val="18"/>
                <w:szCs w:val="18"/>
                <w:lang w:val="sr-Cyrl-RS"/>
              </w:rPr>
              <w:t>55,5%</w:t>
            </w:r>
          </w:p>
        </w:tc>
      </w:tr>
    </w:tbl>
    <w:p w14:paraId="3C124DB6" w14:textId="77777777" w:rsidR="001E3E7D" w:rsidRPr="00A173E9" w:rsidRDefault="001E3E7D" w:rsidP="001E0603">
      <w:pPr>
        <w:spacing w:line="257" w:lineRule="auto"/>
        <w:jc w:val="left"/>
        <w:rPr>
          <w:rFonts w:ascii="Calibri" w:eastAsia="Calibri" w:hAnsi="Calibri" w:cs="Calibri"/>
          <w:bCs/>
          <w:sz w:val="4"/>
          <w:szCs w:val="72"/>
          <w:lang w:val="sr-Cyrl-RS"/>
        </w:rPr>
        <w:sectPr w:rsidR="001E3E7D" w:rsidRPr="00A173E9">
          <w:type w:val="continuous"/>
          <w:pgSz w:w="12240" w:h="15840"/>
          <w:pgMar w:top="1440" w:right="1440" w:bottom="1440" w:left="1440" w:header="720" w:footer="720" w:gutter="0"/>
          <w:cols w:space="720"/>
        </w:sectPr>
      </w:pPr>
    </w:p>
    <w:p w14:paraId="253C1D87" w14:textId="77777777" w:rsidR="001E3E7D" w:rsidRPr="00A173E9" w:rsidRDefault="001E3E7D" w:rsidP="008265F0">
      <w:pPr>
        <w:spacing w:line="256" w:lineRule="auto"/>
        <w:rPr>
          <w:rFonts w:ascii="Calibri" w:eastAsia="Calibri" w:hAnsi="Calibri" w:cs="Calibri"/>
          <w:bCs/>
          <w:spacing w:val="-2"/>
          <w:szCs w:val="72"/>
          <w:lang w:val="sr-Cyrl-RS"/>
        </w:rPr>
      </w:pPr>
      <w:r w:rsidRPr="00A173E9">
        <w:rPr>
          <w:rFonts w:ascii="Calibri" w:eastAsia="Calibri" w:hAnsi="Calibri" w:cs="Calibri"/>
          <w:bCs/>
          <w:spacing w:val="-2"/>
          <w:szCs w:val="72"/>
          <w:lang w:val="sr-Cyrl-RS"/>
        </w:rPr>
        <w:t>У 202</w:t>
      </w:r>
      <w:r w:rsidRPr="00A173E9">
        <w:rPr>
          <w:rFonts w:ascii="Calibri" w:eastAsia="Calibri" w:hAnsi="Calibri" w:cs="Calibri"/>
          <w:bCs/>
          <w:spacing w:val="-2"/>
          <w:szCs w:val="72"/>
          <w:lang w:val="sr-Latn-RS"/>
        </w:rPr>
        <w:t>1</w:t>
      </w:r>
      <w:r w:rsidRPr="00A173E9">
        <w:rPr>
          <w:rFonts w:ascii="Calibri" w:eastAsia="Calibri" w:hAnsi="Calibri" w:cs="Calibri"/>
          <w:bCs/>
          <w:spacing w:val="-2"/>
          <w:szCs w:val="72"/>
          <w:lang w:val="sr-Cyrl-RS"/>
        </w:rPr>
        <w:t>. години се очекује</w:t>
      </w:r>
      <w:r w:rsidRPr="00A173E9">
        <w:rPr>
          <w:rFonts w:ascii="Calibri" w:eastAsia="Calibri" w:hAnsi="Calibri" w:cs="Calibri"/>
          <w:bCs/>
          <w:spacing w:val="-2"/>
          <w:szCs w:val="72"/>
          <w:lang w:val="sr-Latn-RS"/>
        </w:rPr>
        <w:t xml:space="preserve"> </w:t>
      </w:r>
      <w:r w:rsidRPr="00A173E9">
        <w:rPr>
          <w:rFonts w:ascii="Calibri" w:eastAsia="Calibri" w:hAnsi="Calibri" w:cs="Calibri"/>
          <w:bCs/>
          <w:spacing w:val="-2"/>
          <w:szCs w:val="72"/>
          <w:lang w:val="sr-Cyrl-RS"/>
        </w:rPr>
        <w:t xml:space="preserve">благи раст рација који показује учешће јавног дуга општег нивоа државе у БДП на 60,0% услед неопходности да се настави </w:t>
      </w:r>
      <w:r w:rsidRPr="00A173E9">
        <w:rPr>
          <w:rFonts w:ascii="Calibri" w:eastAsia="Calibri" w:hAnsi="Calibri" w:cs="Calibri"/>
          <w:bCs/>
          <w:szCs w:val="72"/>
          <w:lang w:val="sr-Cyrl-RS"/>
        </w:rPr>
        <w:t xml:space="preserve">финансирање мера подршке </w:t>
      </w:r>
      <w:r w:rsidRPr="00A173E9">
        <w:rPr>
          <w:rFonts w:ascii="Calibri" w:eastAsia="Calibri" w:hAnsi="Calibri" w:cs="Calibri"/>
          <w:bCs/>
          <w:spacing w:val="-2"/>
          <w:szCs w:val="72"/>
          <w:lang w:val="sr-Cyrl-RS"/>
        </w:rPr>
        <w:t xml:space="preserve">привреди и грађанима погођеним пандемијом изазваном коронавирусом COVID-19. Након тога се у наредним годинама очекује стабилизација прилика и враћање рација на силазну путању, те се очекује да на крају 2022. године износи 59,3%, на крају 2023. године 57,6%, а на крају 2024. године 55,5%. У датом периоду се очекује реализација великих инфраструктурних пројеката који ће бити финансирани углавном из пројектних зајмова, те њихова интензивнија реализација у односу на претходни период. Да није тога, пад рација би био израженији. Међутим, ово је управо једна од тачака где се може видети јасна координација фискалних и развојних циљева. Води се рачуна о одрживости </w:t>
      </w:r>
      <w:r w:rsidRPr="00A173E9">
        <w:rPr>
          <w:rFonts w:ascii="Calibri" w:eastAsia="Calibri" w:hAnsi="Calibri" w:cs="Calibri"/>
          <w:bCs/>
          <w:spacing w:val="-2"/>
          <w:szCs w:val="72"/>
          <w:lang w:val="sr-Cyrl-RS"/>
        </w:rPr>
        <w:t>јавног дуга и постепеном паду његовог учешћа у БДП, уз истовремено коришћење новог задуживања за побољшање инфраструктурних услова који доводе до раста БДП, животног стандарда и нових инвестиција. Предвиђа се да ће негарантовани дуг јединица локалне самоуправе у наредном периоду бити на релативно стабилном нивоу од око 1,0% до 1,1% БДП у периоду од 2021. до 2024. године.</w:t>
      </w:r>
    </w:p>
    <w:p w14:paraId="0E4598CA"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Принципи управљања јавним дугом</w:t>
      </w:r>
    </w:p>
    <w:p w14:paraId="1F03419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Према Закону о јавном дугу, примарни циљ задуживања Републике Србије и управљања јавним дугом је обезбеђивање средстава за редовно сервисирање буџетских потреба по најповољнијим условима и трошковима финансирања уз прихватљив ниво ризика. На </w:t>
      </w:r>
      <w:r w:rsidRPr="00A173E9">
        <w:rPr>
          <w:rFonts w:ascii="Calibri" w:eastAsia="Calibri" w:hAnsi="Calibri" w:cs="Calibri"/>
          <w:bCs/>
          <w:szCs w:val="72"/>
          <w:lang w:val="sr-Cyrl-RS"/>
        </w:rPr>
        <w:lastRenderedPageBreak/>
        <w:t>основу тога, Стратегија управљања јавним дугом Републике Србије дефинише следеће опште циљеве и принципе:</w:t>
      </w:r>
    </w:p>
    <w:p w14:paraId="5AF73CC1"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1) Осигурати финансирање фискалног дефицита и редовно сервисирање обавеза по основу јавног дуга Републике Србије;</w:t>
      </w:r>
    </w:p>
    <w:p w14:paraId="59E2933A"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2) Дефинисати прихватљив ниво ризика који треба да буде одређен у условима циљане структуре портфолија дуга у смислу валутне структуре дуга, структуре каматних стопа, структуре рочности и структуре дуга према инструментима;</w:t>
      </w:r>
    </w:p>
    <w:p w14:paraId="6436ED1D"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3) Наставити развој тржишта државних хартија од вредности које се емитују на домаћем и међународном тржишту, што би помогло у смањењу трошкова задуживања у средњем и дугом року;</w:t>
      </w:r>
    </w:p>
    <w:p w14:paraId="2A335198"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4) Омогућити транспарентност и предвидивост процеса задуживања.</w:t>
      </w:r>
    </w:p>
    <w:p w14:paraId="0DCE08D1"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Стратегија управљања јавним дугом конзистентна је са општим средњорочним макроекономским и фискалним оквиром.</w:t>
      </w:r>
    </w:p>
    <w:p w14:paraId="3434F02D" w14:textId="77777777" w:rsidR="001E3E7D" w:rsidRPr="00A173E9" w:rsidRDefault="001E3E7D" w:rsidP="008265F0">
      <w:pPr>
        <w:spacing w:line="256" w:lineRule="auto"/>
        <w:rPr>
          <w:rFonts w:ascii="Calibri" w:eastAsia="Calibri" w:hAnsi="Calibri" w:cs="Calibri"/>
          <w:bCs/>
          <w:spacing w:val="-2"/>
          <w:szCs w:val="72"/>
          <w:lang w:val="sr-Cyrl-RS"/>
        </w:rPr>
      </w:pPr>
      <w:r w:rsidRPr="00A173E9">
        <w:rPr>
          <w:rFonts w:ascii="Calibri" w:eastAsia="Calibri" w:hAnsi="Calibri" w:cs="Calibri"/>
          <w:bCs/>
          <w:spacing w:val="-2"/>
          <w:szCs w:val="72"/>
          <w:lang w:val="sr-Cyrl-RS"/>
        </w:rPr>
        <w:t>Стратегија управљања јавним дугом у наредном средњорочном периоду базира се на финансирању дефицита и главнице дуга буџета Републике Србије углавном путем емисије државних хартија од вредности на домаћем и међународном тржишту капитала. Домаће тржиште државних хартија од вредности је још увек у развоју и један од принципа управљања јавним дугом је флексибилност, како би редовно сервисирање обавеза било обезбеђено. Флексибилност ће се огледати у домену избора тржишта на коме ће се вршити задуживање, валуте задуживања и инструмента финансирања. Избор структуре финансирања узимаће у обзир тренутно стање и тренд развоја домаћег и међународног финансијског тржишта (ниво каматних стопа, премије ризика, криву приноса, девизне курсеве референтних валута) и прихватљив ниво изложености финансијским ризицима.</w:t>
      </w:r>
    </w:p>
    <w:p w14:paraId="6DEEB54D"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Циљ је да се у наредном дугорочном периоду финансирање обавља пре свега емитовањем динарских хартија од вредности на домаћем тржишту. Међутим, тренутна ситуација упућује на то да, упркос чврстој одлучности ка развоју домаћег тржишта државних хартија од вредности, </w:t>
      </w:r>
      <w:r w:rsidRPr="00A173E9">
        <w:rPr>
          <w:rFonts w:ascii="Calibri" w:eastAsia="Calibri" w:hAnsi="Calibri" w:cs="Calibri"/>
          <w:bCs/>
          <w:szCs w:val="72"/>
          <w:lang w:val="sr-Cyrl-RS"/>
        </w:rPr>
        <w:t xml:space="preserve">један део финансирања може бити обезбеђен на међународном финансијском тржишту у средњорочном периоду, кроз успостављање </w:t>
      </w:r>
      <w:r w:rsidRPr="00A173E9">
        <w:rPr>
          <w:rFonts w:ascii="Calibri" w:eastAsia="Calibri" w:hAnsi="Calibri" w:cs="Calibri"/>
          <w:bCs/>
          <w:i/>
          <w:szCs w:val="72"/>
          <w:lang w:val="sr-Cyrl-RS"/>
        </w:rPr>
        <w:t>GMTN</w:t>
      </w:r>
      <w:r w:rsidRPr="00A173E9">
        <w:rPr>
          <w:rFonts w:ascii="Calibri" w:eastAsia="Calibri" w:hAnsi="Calibri" w:cs="Calibri"/>
          <w:bCs/>
          <w:szCs w:val="72"/>
          <w:lang w:val="sr-Cyrl-RS"/>
        </w:rPr>
        <w:t xml:space="preserve"> програма.</w:t>
      </w:r>
    </w:p>
    <w:p w14:paraId="79AE4BB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Позајмљивање у страној валути, као нпр. у америчким доларима, за собом повлачи и девизни ризик услед промене курсa евро – амерички долар, те ће из тог разлога користити могућност хеџинга.</w:t>
      </w:r>
    </w:p>
    <w:p w14:paraId="2E9AEE44"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Политика управљања јавним дугом мора да узме у обзир дугорочну перспективу, али се одлука о финансирању буџетских издатака мора доносити годишње. Одлука о годишњем задуживању се доноси у оквиру Закона о буџету за одређену фискалну годину. У зависности од промене основних фискалних агрегата могућа је корекција плана задуживања током фискалне године.</w:t>
      </w:r>
    </w:p>
    <w:p w14:paraId="08B37143"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Финансијски ризици и мере за управљање финансијским ризицима</w:t>
      </w:r>
    </w:p>
    <w:p w14:paraId="670CC08C"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Финансијски и фискални ризици могу довести до већег раста јавног дуга него што предвиђа основни сценарио. Ризици који су присутни и који могу да доведу до раста задужености и трошкова сервисирања јавног дуга су: ризик рефинансирања, девизни ризик, тржишни ризик (ризик каматних стопа, ризик инфлације), ризик ликвидности, кредитни и оперативни ризици и ризици везани за дистрибуцију трошкова сервисирања (структура дуга, концентрација обавеза).</w:t>
      </w:r>
    </w:p>
    <w:p w14:paraId="6F43B750" w14:textId="77777777" w:rsidR="001E3E7D" w:rsidRPr="00A173E9" w:rsidRDefault="001E3E7D" w:rsidP="008265F0">
      <w:pPr>
        <w:spacing w:after="120" w:line="256" w:lineRule="auto"/>
        <w:rPr>
          <w:rFonts w:ascii="Calibri" w:eastAsia="Calibri" w:hAnsi="Calibri" w:cs="Calibri"/>
          <w:bCs/>
          <w:szCs w:val="72"/>
          <w:lang w:val="sr-Cyrl-RS"/>
        </w:rPr>
      </w:pPr>
      <w:r w:rsidRPr="00A173E9">
        <w:rPr>
          <w:rFonts w:ascii="Calibri" w:eastAsia="Calibri" w:hAnsi="Calibri" w:cs="Calibri"/>
          <w:bCs/>
          <w:szCs w:val="72"/>
          <w:lang w:val="sr-Cyrl-RS"/>
        </w:rPr>
        <w:t>У циљу смањења изложености финансијским ризицима потребно је спроводити следеће мере:</w:t>
      </w:r>
    </w:p>
    <w:p w14:paraId="13DC6CF4" w14:textId="77777777" w:rsidR="001E3E7D" w:rsidRPr="00A173E9" w:rsidRDefault="001E3E7D" w:rsidP="008265F0">
      <w:pPr>
        <w:spacing w:after="60" w:line="256" w:lineRule="auto"/>
        <w:rPr>
          <w:rFonts w:ascii="Calibri" w:eastAsia="Calibri" w:hAnsi="Calibri" w:cs="Calibri"/>
          <w:bCs/>
          <w:szCs w:val="72"/>
          <w:lang w:val="sr-Cyrl-RS"/>
        </w:rPr>
      </w:pPr>
      <w:r w:rsidRPr="00A173E9">
        <w:rPr>
          <w:rFonts w:ascii="Calibri" w:eastAsia="Calibri" w:hAnsi="Calibri" w:cs="Calibri"/>
          <w:bCs/>
          <w:szCs w:val="72"/>
          <w:lang w:val="sr-Cyrl-RS"/>
        </w:rPr>
        <w:t>1. ризик рефинансирања</w:t>
      </w:r>
    </w:p>
    <w:p w14:paraId="0A4C8DE8" w14:textId="77777777" w:rsidR="001E3E7D" w:rsidRPr="00A173E9" w:rsidRDefault="001E3E7D" w:rsidP="001E3E7D">
      <w:pPr>
        <w:numPr>
          <w:ilvl w:val="0"/>
          <w:numId w:val="22"/>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повећање учешћа средњорочних и дугорочних финансијских инструмената деноминованих у динарима на домаћем финансијском тржишту;</w:t>
      </w:r>
    </w:p>
    <w:p w14:paraId="35ECB8C6" w14:textId="77777777" w:rsidR="001E3E7D" w:rsidRPr="00A173E9" w:rsidRDefault="001E3E7D" w:rsidP="001E3E7D">
      <w:pPr>
        <w:numPr>
          <w:ilvl w:val="0"/>
          <w:numId w:val="22"/>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равномерна расподела обавеза по основу јавног дуга на годишњем нивоу у наредном дугорочном периоду;</w:t>
      </w:r>
    </w:p>
    <w:p w14:paraId="5579664F" w14:textId="77777777" w:rsidR="001E3E7D" w:rsidRPr="00A173E9" w:rsidRDefault="001E3E7D" w:rsidP="001E3E7D">
      <w:pPr>
        <w:numPr>
          <w:ilvl w:val="0"/>
          <w:numId w:val="22"/>
        </w:numPr>
        <w:spacing w:after="120"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продужавање просечне рочности дуга који се емитује у хартијама од вредности;</w:t>
      </w:r>
    </w:p>
    <w:p w14:paraId="2D56D17F" w14:textId="77777777" w:rsidR="001E3E7D" w:rsidRPr="00A173E9" w:rsidRDefault="001E3E7D" w:rsidP="008265F0">
      <w:pPr>
        <w:spacing w:after="60" w:line="256" w:lineRule="auto"/>
        <w:rPr>
          <w:rFonts w:ascii="Calibri" w:eastAsia="Calibri" w:hAnsi="Calibri" w:cs="Calibri"/>
          <w:bCs/>
          <w:szCs w:val="72"/>
          <w:lang w:val="sr-Cyrl-RS"/>
        </w:rPr>
      </w:pPr>
      <w:r w:rsidRPr="00A173E9">
        <w:rPr>
          <w:rFonts w:ascii="Calibri" w:eastAsia="Calibri" w:hAnsi="Calibri" w:cs="Calibri"/>
          <w:bCs/>
          <w:szCs w:val="72"/>
          <w:lang w:val="sr-Cyrl-RS"/>
        </w:rPr>
        <w:t>2. девизни ризик</w:t>
      </w:r>
    </w:p>
    <w:p w14:paraId="76AFC515" w14:textId="77777777" w:rsidR="001E3E7D" w:rsidRPr="00A173E9" w:rsidRDefault="001E3E7D" w:rsidP="001E3E7D">
      <w:pPr>
        <w:numPr>
          <w:ilvl w:val="1"/>
          <w:numId w:val="25"/>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 xml:space="preserve">настојање да се смањи учешће дуга деноминованог у ино-валути уз уважавање </w:t>
      </w:r>
      <w:r w:rsidRPr="00A173E9">
        <w:rPr>
          <w:rFonts w:ascii="Calibri" w:eastAsia="Calibri" w:hAnsi="Calibri" w:cs="Calibri"/>
          <w:bCs/>
          <w:szCs w:val="72"/>
          <w:lang w:val="sr-Cyrl-RS"/>
        </w:rPr>
        <w:lastRenderedPageBreak/>
        <w:t>трошкова новог дуга (трошкови динаризације дуга);</w:t>
      </w:r>
    </w:p>
    <w:p w14:paraId="5028AF90" w14:textId="77777777" w:rsidR="001E3E7D" w:rsidRPr="00A173E9" w:rsidRDefault="001E3E7D" w:rsidP="001E3E7D">
      <w:pPr>
        <w:numPr>
          <w:ilvl w:val="1"/>
          <w:numId w:val="25"/>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коришћење финансијских деривата у циљу лимитирања ефеката промене курсева референтних валута;</w:t>
      </w:r>
    </w:p>
    <w:p w14:paraId="43E407BF" w14:textId="77777777" w:rsidR="001E3E7D" w:rsidRPr="00A173E9" w:rsidRDefault="001E3E7D" w:rsidP="001E3E7D">
      <w:pPr>
        <w:numPr>
          <w:ilvl w:val="1"/>
          <w:numId w:val="25"/>
        </w:numPr>
        <w:spacing w:after="120"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настојање да спољни дуг буде углавном у еврима и да се доларски дуг користи само ако је финансирање на међународном тржишту у доларима јефтиније уз коришћење финансијских деривата за лимитирање ризика;</w:t>
      </w:r>
    </w:p>
    <w:p w14:paraId="1E09FB76" w14:textId="77777777" w:rsidR="001E3E7D" w:rsidRPr="00A173E9" w:rsidRDefault="001E3E7D" w:rsidP="008265F0">
      <w:pPr>
        <w:spacing w:after="60" w:line="256" w:lineRule="auto"/>
        <w:rPr>
          <w:rFonts w:ascii="Calibri" w:eastAsia="Calibri" w:hAnsi="Calibri" w:cs="Calibri"/>
          <w:bCs/>
          <w:szCs w:val="72"/>
          <w:lang w:val="sr-Cyrl-RS"/>
        </w:rPr>
      </w:pPr>
      <w:r w:rsidRPr="00A173E9">
        <w:rPr>
          <w:rFonts w:ascii="Calibri" w:eastAsia="Calibri" w:hAnsi="Calibri" w:cs="Calibri"/>
          <w:bCs/>
          <w:szCs w:val="72"/>
          <w:lang w:val="sr-Cyrl-RS"/>
        </w:rPr>
        <w:t>3. тржишни ризик (ризик каматних стопа, ризик инфлације)</w:t>
      </w:r>
    </w:p>
    <w:p w14:paraId="0000A5E1" w14:textId="77777777" w:rsidR="001E3E7D" w:rsidRPr="00A173E9" w:rsidRDefault="001E3E7D" w:rsidP="001E3E7D">
      <w:pPr>
        <w:numPr>
          <w:ilvl w:val="1"/>
          <w:numId w:val="27"/>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настојање да се продужи просечна рочност домаћег дуга у динарима;</w:t>
      </w:r>
    </w:p>
    <w:p w14:paraId="33E84B35" w14:textId="77777777" w:rsidR="001E3E7D" w:rsidRPr="00A173E9" w:rsidRDefault="001E3E7D" w:rsidP="001E3E7D">
      <w:pPr>
        <w:numPr>
          <w:ilvl w:val="1"/>
          <w:numId w:val="27"/>
        </w:numPr>
        <w:spacing w:after="120"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настојање да ризик по основу каматних стопа на спољни дуг не угрожава дугорочни циљ минимизације трошкова јавног дуга;</w:t>
      </w:r>
    </w:p>
    <w:p w14:paraId="7199F902" w14:textId="77777777" w:rsidR="001E3E7D" w:rsidRPr="00A173E9" w:rsidRDefault="001E3E7D" w:rsidP="008265F0">
      <w:pPr>
        <w:spacing w:after="60" w:line="256" w:lineRule="auto"/>
        <w:rPr>
          <w:rFonts w:ascii="Calibri" w:eastAsia="Calibri" w:hAnsi="Calibri" w:cs="Calibri"/>
          <w:bCs/>
          <w:szCs w:val="72"/>
          <w:lang w:val="sr-Cyrl-RS"/>
        </w:rPr>
      </w:pPr>
      <w:r w:rsidRPr="00A173E9">
        <w:rPr>
          <w:rFonts w:ascii="Calibri" w:eastAsia="Calibri" w:hAnsi="Calibri" w:cs="Calibri"/>
          <w:bCs/>
          <w:szCs w:val="72"/>
          <w:lang w:val="sr-Cyrl-RS"/>
        </w:rPr>
        <w:t>4. ризик ликвидности</w:t>
      </w:r>
    </w:p>
    <w:p w14:paraId="3AF2B7AA" w14:textId="77777777" w:rsidR="001E3E7D" w:rsidRPr="00A173E9" w:rsidRDefault="001E3E7D" w:rsidP="001E3E7D">
      <w:pPr>
        <w:numPr>
          <w:ilvl w:val="1"/>
          <w:numId w:val="29"/>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перманентно одржавање нивоа готовине на рачунима Републике Србије на нивоу који омогућава несметано финансирање обавеза у минимуму од четири месеца и на нивоу који омогућава апсорпцију евентуалних мањих прилива по основу задуживања у односу на план;</w:t>
      </w:r>
    </w:p>
    <w:p w14:paraId="0C7CCB01" w14:textId="77777777" w:rsidR="001E3E7D" w:rsidRPr="00A173E9" w:rsidRDefault="001E3E7D" w:rsidP="001E3E7D">
      <w:pPr>
        <w:numPr>
          <w:ilvl w:val="1"/>
          <w:numId w:val="29"/>
        </w:numPr>
        <w:spacing w:after="120"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адекватно управљање слободним готовинским средствима на рачунима Републике Србије у складу са принципима asset-liability management и у складу са могућностима;</w:t>
      </w:r>
    </w:p>
    <w:p w14:paraId="2A849B77" w14:textId="77777777" w:rsidR="001E3E7D" w:rsidRPr="00A173E9" w:rsidRDefault="001E3E7D" w:rsidP="008265F0">
      <w:pPr>
        <w:spacing w:after="60" w:line="256" w:lineRule="auto"/>
        <w:rPr>
          <w:rFonts w:ascii="Calibri" w:eastAsia="Calibri" w:hAnsi="Calibri" w:cs="Calibri"/>
          <w:bCs/>
          <w:szCs w:val="72"/>
          <w:lang w:val="sr-Cyrl-RS"/>
        </w:rPr>
      </w:pPr>
      <w:r w:rsidRPr="00A173E9">
        <w:rPr>
          <w:rFonts w:ascii="Calibri" w:eastAsia="Calibri" w:hAnsi="Calibri" w:cs="Calibri"/>
          <w:bCs/>
          <w:szCs w:val="72"/>
          <w:lang w:val="sr-Cyrl-RS"/>
        </w:rPr>
        <w:t>5. кредитни и оперативни ризици</w:t>
      </w:r>
    </w:p>
    <w:p w14:paraId="3C4CDD40" w14:textId="77777777" w:rsidR="001E3E7D" w:rsidRPr="00A173E9" w:rsidRDefault="001E3E7D" w:rsidP="001E3E7D">
      <w:pPr>
        <w:numPr>
          <w:ilvl w:val="1"/>
          <w:numId w:val="31"/>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спровођење трансакција са финансијским дериватима само са финансијским институцијама које имају висок кредитни рејтинг;</w:t>
      </w:r>
    </w:p>
    <w:p w14:paraId="6BD0C2DA" w14:textId="77777777" w:rsidR="001E3E7D" w:rsidRPr="00A173E9" w:rsidRDefault="001E3E7D" w:rsidP="001E3E7D">
      <w:pPr>
        <w:numPr>
          <w:ilvl w:val="1"/>
          <w:numId w:val="31"/>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коришћење финансијских инструмената који лимитирају кредитни ризик;</w:t>
      </w:r>
    </w:p>
    <w:p w14:paraId="42D026E5" w14:textId="77777777" w:rsidR="001E3E7D" w:rsidRPr="00A173E9" w:rsidRDefault="001E3E7D" w:rsidP="001E3E7D">
      <w:pPr>
        <w:numPr>
          <w:ilvl w:val="1"/>
          <w:numId w:val="31"/>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давање гаранција и одобравање новог дуга јединицама локалне самоуправе само ако постоји адекватна анализа о релативно ниском степену вероватноће да се реализује гаранција или да јединица локалне самоуправе постане несолвентна у средњорочном периоду;</w:t>
      </w:r>
    </w:p>
    <w:p w14:paraId="46710937" w14:textId="77777777" w:rsidR="001E3E7D" w:rsidRPr="00A173E9" w:rsidRDefault="001E3E7D" w:rsidP="001E3E7D">
      <w:pPr>
        <w:numPr>
          <w:ilvl w:val="0"/>
          <w:numId w:val="17"/>
        </w:numPr>
        <w:tabs>
          <w:tab w:val="left" w:pos="90"/>
        </w:tabs>
        <w:spacing w:after="120" w:line="256" w:lineRule="auto"/>
        <w:ind w:left="181" w:hanging="272"/>
        <w:rPr>
          <w:rFonts w:ascii="Calibri" w:eastAsia="Calibri" w:hAnsi="Calibri" w:cs="Calibri"/>
          <w:bCs/>
          <w:szCs w:val="72"/>
          <w:lang w:val="sr-Cyrl-RS"/>
        </w:rPr>
      </w:pPr>
      <w:r w:rsidRPr="00A173E9">
        <w:rPr>
          <w:rFonts w:ascii="Calibri" w:eastAsia="Calibri" w:hAnsi="Calibri" w:cs="Calibri"/>
          <w:bCs/>
          <w:szCs w:val="72"/>
          <w:lang w:val="sr-Cyrl-RS"/>
        </w:rPr>
        <w:t>увођење адекватне контроле у свим пословним активностима у Управи за јавни дуг и унапређење знања запослених;</w:t>
      </w:r>
    </w:p>
    <w:p w14:paraId="797B5DA4" w14:textId="77777777" w:rsidR="001E3E7D" w:rsidRPr="00A173E9" w:rsidRDefault="001E0603" w:rsidP="008265F0">
      <w:pPr>
        <w:tabs>
          <w:tab w:val="left" w:pos="90"/>
        </w:tabs>
        <w:spacing w:after="60" w:line="256" w:lineRule="auto"/>
        <w:ind w:left="-90"/>
        <w:rPr>
          <w:rFonts w:ascii="Calibri" w:eastAsia="Calibri" w:hAnsi="Calibri" w:cs="Calibri"/>
          <w:bCs/>
          <w:szCs w:val="72"/>
          <w:lang w:val="sr-Cyrl-RS"/>
        </w:rPr>
      </w:pPr>
      <w:r>
        <w:rPr>
          <w:rFonts w:ascii="Calibri" w:eastAsia="Calibri" w:hAnsi="Calibri" w:cs="Calibri"/>
          <w:bCs/>
          <w:szCs w:val="72"/>
          <w:lang w:val="sr-Cyrl-RS"/>
        </w:rPr>
        <w:br w:type="column"/>
      </w:r>
      <w:r w:rsidR="001E3E7D" w:rsidRPr="00A173E9">
        <w:rPr>
          <w:rFonts w:ascii="Calibri" w:eastAsia="Calibri" w:hAnsi="Calibri" w:cs="Calibri"/>
          <w:bCs/>
          <w:szCs w:val="72"/>
          <w:lang w:val="sr-Cyrl-RS"/>
        </w:rPr>
        <w:t>6. ризици везани за дистрибуцију трошкова сервисирања</w:t>
      </w:r>
    </w:p>
    <w:p w14:paraId="0CC4548B" w14:textId="77777777" w:rsidR="001E3E7D" w:rsidRPr="00A173E9" w:rsidRDefault="001E3E7D" w:rsidP="001E3E7D">
      <w:pPr>
        <w:numPr>
          <w:ilvl w:val="0"/>
          <w:numId w:val="17"/>
        </w:numPr>
        <w:tabs>
          <w:tab w:val="left" w:pos="90"/>
        </w:tabs>
        <w:spacing w:line="256" w:lineRule="auto"/>
        <w:ind w:left="180" w:hanging="270"/>
        <w:contextualSpacing/>
        <w:rPr>
          <w:rFonts w:ascii="Calibri" w:eastAsia="Calibri" w:hAnsi="Calibri" w:cs="Calibri"/>
          <w:bCs/>
          <w:szCs w:val="72"/>
          <w:lang w:val="sr-Cyrl-RS"/>
        </w:rPr>
      </w:pPr>
      <w:r w:rsidRPr="00A173E9">
        <w:rPr>
          <w:rFonts w:ascii="Calibri" w:eastAsia="Calibri" w:hAnsi="Calibri" w:cs="Calibri"/>
          <w:bCs/>
          <w:szCs w:val="72"/>
          <w:lang w:val="sr-Cyrl-RS"/>
        </w:rPr>
        <w:t>адекватно планирање задуживања на годишњем нивоу и равномерна расподела у наредним годинама и током фискалне године како би се избегао ризик велике концентрације обавеза за рефинансирање;</w:t>
      </w:r>
    </w:p>
    <w:p w14:paraId="62EC04A1" w14:textId="77777777" w:rsidR="001E3E7D" w:rsidRPr="00A173E9" w:rsidRDefault="001E3E7D" w:rsidP="001E0603">
      <w:pPr>
        <w:numPr>
          <w:ilvl w:val="0"/>
          <w:numId w:val="17"/>
        </w:numPr>
        <w:tabs>
          <w:tab w:val="left" w:pos="90"/>
        </w:tabs>
        <w:spacing w:line="257" w:lineRule="auto"/>
        <w:ind w:left="181" w:hanging="272"/>
        <w:rPr>
          <w:rFonts w:ascii="Calibri" w:eastAsia="Calibri" w:hAnsi="Calibri" w:cs="Calibri"/>
          <w:bCs/>
          <w:szCs w:val="72"/>
          <w:lang w:val="sr-Cyrl-RS"/>
        </w:rPr>
      </w:pPr>
      <w:r w:rsidRPr="00A173E9">
        <w:rPr>
          <w:rFonts w:ascii="Calibri" w:eastAsia="Calibri" w:hAnsi="Calibri" w:cs="Calibri"/>
          <w:bCs/>
          <w:szCs w:val="72"/>
          <w:lang w:val="sr-Cyrl-RS"/>
        </w:rPr>
        <w:t>избегавање концентрације обавеза по основу јавног дуга на месечном нивоу, који не би могао бити амортизован слободним новчаним средствима на рачунима Републике Србије.</w:t>
      </w:r>
    </w:p>
    <w:p w14:paraId="137A6DCE" w14:textId="77777777" w:rsidR="001E3E7D" w:rsidRPr="00A173E9" w:rsidRDefault="001E3E7D" w:rsidP="008265F0">
      <w:pPr>
        <w:tabs>
          <w:tab w:val="left" w:pos="90"/>
        </w:tabs>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Захваљујући спровођењу дефинисаних мера у претходних неколико година дошло је до значајног побољшања структуре јавног дуга у скоро свим сегментима – побољшане су валутна структура и структура каматних стопа, значајно повећана рочност, смањени трошкови задуживања, смањен гарантовани јавни дуг, долази до равномерније расподеле обавеза уз перманентно одржавање адекватног нивоа ликвидности. Примера ради, на централном нивоу власти удео јавног дуга у динарима је порастао са 20,9%, колико је износио на крају 2016. године, на 30,5% на крају марта 2021. године. У истом временском интервалу удео јавног дуга у америчким доларима се смањио са 33,9% на 12,3%. Удео дуга са фиксном каматном стопом је у периоду од 2013. године до марта 2021. године порастао са 73,2% на 87,1%. У истом периоду је дошло до пада гарантованог дуга са 2,8 млрд евра на 1,4 млрд евра и пада просечно пондерисане каматне стопе на јавни дуг са 5,64% на </w:t>
      </w:r>
      <w:r w:rsidRPr="00A173E9">
        <w:rPr>
          <w:rFonts w:ascii="Calibri" w:eastAsia="Calibri" w:hAnsi="Calibri" w:cs="Calibri"/>
          <w:bCs/>
          <w:szCs w:val="72"/>
          <w:lang w:val="sr-Latn-RS"/>
        </w:rPr>
        <w:t>2</w:t>
      </w:r>
      <w:r w:rsidRPr="00A173E9">
        <w:rPr>
          <w:rFonts w:ascii="Calibri" w:eastAsia="Calibri" w:hAnsi="Calibri" w:cs="Calibri"/>
          <w:bCs/>
          <w:szCs w:val="72"/>
          <w:lang w:val="sr-Cyrl-RS"/>
        </w:rPr>
        <w:t>,</w:t>
      </w:r>
      <w:r w:rsidRPr="00A173E9">
        <w:rPr>
          <w:rFonts w:ascii="Calibri" w:eastAsia="Calibri" w:hAnsi="Calibri" w:cs="Calibri"/>
          <w:bCs/>
          <w:szCs w:val="72"/>
          <w:lang w:val="sr-Latn-RS"/>
        </w:rPr>
        <w:t>86</w:t>
      </w:r>
      <w:r w:rsidRPr="00A173E9">
        <w:rPr>
          <w:rFonts w:ascii="Calibri" w:eastAsia="Calibri" w:hAnsi="Calibri" w:cs="Calibri"/>
          <w:bCs/>
          <w:szCs w:val="72"/>
          <w:lang w:val="sr-Cyrl-RS"/>
        </w:rPr>
        <w:t>%.</w:t>
      </w:r>
    </w:p>
    <w:p w14:paraId="5AD33F17"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Анализе коришћене приликом израде Стратегије за управљање јавним дугом</w:t>
      </w:r>
    </w:p>
    <w:p w14:paraId="75284B97"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Управа за јавни дуг је користила квантитативни приступ за формулисање Стратегије за управљање јавним дугом, идентификујући могућа ограничења кроз макроекономске показатеље, анализу трошкова и ризика и тржишних услова који утичу на управљање јавним дугом. Приликом анализирања трошкова и ризика упоредно се разматрају алтернативни извори финансирања. Удео сваког инструмента у укупним потребама за финансирањем у датој години одређен је у складу са циљевима Стратегије.</w:t>
      </w:r>
    </w:p>
    <w:p w14:paraId="25E8D1D3"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lastRenderedPageBreak/>
        <w:t>У сврху анализе коришћени су доле описани инструменти доступни на домаћем и међународном финансијском тржишту.</w:t>
      </w:r>
    </w:p>
    <w:p w14:paraId="6FC649C4" w14:textId="77777777" w:rsidR="001E3E7D" w:rsidRPr="00A173E9" w:rsidRDefault="001E3E7D" w:rsidP="008265F0">
      <w:pPr>
        <w:spacing w:line="256" w:lineRule="auto"/>
        <w:rPr>
          <w:rFonts w:ascii="Calibri" w:eastAsia="Calibri" w:hAnsi="Calibri" w:cs="Calibri"/>
          <w:bCs/>
          <w:szCs w:val="72"/>
          <w:lang w:val="sr-Latn-RS"/>
        </w:rPr>
      </w:pPr>
      <w:r w:rsidRPr="00A173E9">
        <w:rPr>
          <w:rFonts w:ascii="Calibri" w:eastAsia="Calibri" w:hAnsi="Calibri" w:cs="Calibri"/>
          <w:bCs/>
          <w:szCs w:val="72"/>
          <w:lang w:val="sr-Cyrl-RS"/>
        </w:rPr>
        <w:t>Извори финансирања деноминовани у страној валути</w:t>
      </w:r>
      <w:r w:rsidRPr="00A173E9">
        <w:rPr>
          <w:rFonts w:ascii="Calibri" w:eastAsia="Calibri" w:hAnsi="Calibri" w:cs="Calibri"/>
          <w:bCs/>
          <w:szCs w:val="72"/>
          <w:lang w:val="sr-Latn-RS"/>
        </w:rPr>
        <w:t>:</w:t>
      </w:r>
    </w:p>
    <w:p w14:paraId="2508D44C" w14:textId="77777777" w:rsidR="001E3E7D" w:rsidRPr="00A173E9" w:rsidRDefault="001E3E7D" w:rsidP="001E3E7D">
      <w:pPr>
        <w:numPr>
          <w:ilvl w:val="0"/>
          <w:numId w:val="18"/>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Зајмови страних влада и међународних финансијских институција – приказани као концесионални инструменти деноминовани у еврима или америчким доларима, са фиксном или варијабилном каматном стопом;</w:t>
      </w:r>
    </w:p>
    <w:p w14:paraId="5EC53742" w14:textId="77777777" w:rsidR="001E3E7D" w:rsidRPr="00A173E9" w:rsidRDefault="001E3E7D" w:rsidP="001E3E7D">
      <w:pPr>
        <w:numPr>
          <w:ilvl w:val="0"/>
          <w:numId w:val="18"/>
        </w:numPr>
        <w:spacing w:line="256" w:lineRule="auto"/>
        <w:ind w:left="180" w:hanging="180"/>
        <w:contextualSpacing/>
        <w:rPr>
          <w:rFonts w:ascii="Calibri" w:eastAsia="Calibri" w:hAnsi="Calibri" w:cs="Calibri"/>
          <w:bCs/>
          <w:szCs w:val="72"/>
          <w:lang w:val="sr-Cyrl-RS"/>
        </w:rPr>
      </w:pPr>
      <w:r w:rsidRPr="00A173E9">
        <w:rPr>
          <w:rFonts w:ascii="Calibri" w:eastAsia="Calibri" w:hAnsi="Calibri" w:cs="Calibri"/>
          <w:bCs/>
          <w:szCs w:val="72"/>
          <w:lang w:val="sr-Cyrl-RS"/>
        </w:rPr>
        <w:t>Домаћи дуг деноминован у еврима исказан кроз два инструмента – државни записи и државне обвезнице емитоване на домаћем финансијском тржишту;</w:t>
      </w:r>
    </w:p>
    <w:p w14:paraId="4EE5BC09" w14:textId="77777777" w:rsidR="001E3E7D" w:rsidRPr="00A173E9" w:rsidRDefault="001E3E7D" w:rsidP="001E3E7D">
      <w:pPr>
        <w:numPr>
          <w:ilvl w:val="1"/>
          <w:numId w:val="21"/>
        </w:numPr>
        <w:spacing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Еврообвезница (еуробонд) – емитована у еврима или америчким доларима на међународном финансијском тржишту.</w:t>
      </w:r>
    </w:p>
    <w:p w14:paraId="5E6B9609" w14:textId="77777777" w:rsidR="001E3E7D" w:rsidRPr="00A173E9" w:rsidRDefault="001E3E7D" w:rsidP="008265F0">
      <w:pPr>
        <w:spacing w:line="256" w:lineRule="auto"/>
        <w:rPr>
          <w:rFonts w:ascii="Calibri" w:eastAsia="Calibri" w:hAnsi="Calibri" w:cs="Calibri"/>
          <w:bCs/>
          <w:szCs w:val="72"/>
          <w:lang w:val="sr-Latn-RS"/>
        </w:rPr>
      </w:pPr>
      <w:r w:rsidRPr="00A173E9">
        <w:rPr>
          <w:rFonts w:ascii="Calibri" w:eastAsia="Calibri" w:hAnsi="Calibri" w:cs="Calibri"/>
          <w:bCs/>
          <w:szCs w:val="72"/>
          <w:lang w:val="sr-Cyrl-RS"/>
        </w:rPr>
        <w:t>Извори финансирања у домаћој валути</w:t>
      </w:r>
      <w:r w:rsidRPr="00A173E9">
        <w:rPr>
          <w:rFonts w:ascii="Calibri" w:eastAsia="Calibri" w:hAnsi="Calibri" w:cs="Calibri"/>
          <w:bCs/>
          <w:szCs w:val="72"/>
          <w:lang w:val="sr-Latn-RS"/>
        </w:rPr>
        <w:t>:</w:t>
      </w:r>
    </w:p>
    <w:p w14:paraId="6067BF45" w14:textId="77777777" w:rsidR="001E3E7D" w:rsidRPr="00A173E9" w:rsidRDefault="001E3E7D" w:rsidP="001E3E7D">
      <w:pPr>
        <w:numPr>
          <w:ilvl w:val="1"/>
          <w:numId w:val="21"/>
        </w:numPr>
        <w:spacing w:line="256" w:lineRule="auto"/>
        <w:ind w:left="181" w:hanging="181"/>
        <w:rPr>
          <w:rFonts w:ascii="Calibri" w:eastAsia="Calibri" w:hAnsi="Calibri" w:cs="Calibri"/>
          <w:bCs/>
          <w:szCs w:val="72"/>
          <w:lang w:val="sr-Cyrl-RS"/>
        </w:rPr>
      </w:pPr>
      <w:r w:rsidRPr="00A173E9">
        <w:rPr>
          <w:rFonts w:ascii="Calibri" w:eastAsia="Calibri" w:hAnsi="Calibri" w:cs="Calibri"/>
          <w:bCs/>
          <w:szCs w:val="72"/>
          <w:lang w:val="sr-Cyrl-RS"/>
        </w:rPr>
        <w:t>Све државне хартије од вредности деноминоване у динарима груписане су на  државне записе (са роковима доспећа до 53 недеље) и државне обвезнице (са роковима доспећа од 2 године до 12,5 година).</w:t>
      </w:r>
    </w:p>
    <w:p w14:paraId="07219868"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Будуће тржишне каматне стопе и сценарио анализа</w:t>
      </w:r>
    </w:p>
    <w:p w14:paraId="2EE0753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Приликом израде средњорочне стратегије управљања јавним дугом за период 2022–2024. година коришћене су квантитативне анализе трошкова и ризика засноване на различитим сценаријима и пројекцијама.</w:t>
      </w:r>
    </w:p>
    <w:p w14:paraId="73FCC778"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Полази се од основног сценарија који се базира на највише вероватним тржишним условима. Затим, идентификоване су три групе тржишних варијабли: девизни курс, каматне стопе на међународном тржишту и каматне стопе на домаћем тржишту. Претпостављено је кретање курса динара у односу на евро и у односу на амерички долар у складу са макроекономским оквиром у посматраном периоду и задржан је релативно стабилан однос евра и америчког долара, како би се добила чиста слика датог ефекта примењеног шока. У шоковима су тестирани ефекти промена тржишних каматних стопа. Приступ за динарске и евро каматне стопе </w:t>
      </w:r>
      <w:r w:rsidRPr="00A173E9">
        <w:rPr>
          <w:rFonts w:ascii="Calibri" w:eastAsia="Calibri" w:hAnsi="Calibri" w:cs="Calibri"/>
          <w:bCs/>
          <w:szCs w:val="72"/>
          <w:lang w:val="sr-Cyrl-RS"/>
        </w:rPr>
        <w:t>заснива се на стопама оствареним током претходне и текуће године.</w:t>
      </w:r>
    </w:p>
    <w:p w14:paraId="437D2B4C"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Након дефинисања основног сценарија, у циљу стрес тестирања одабране су додатне врсте сценарија – шокова:</w:t>
      </w:r>
    </w:p>
    <w:p w14:paraId="33F2E13F"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Депрецијација динара у односу на све валуте од 15% у 2023.</w:t>
      </w:r>
      <w:r w:rsidRPr="00A173E9">
        <w:rPr>
          <w:rFonts w:ascii="Calibri" w:eastAsia="Calibri" w:hAnsi="Calibri" w:cs="Calibri"/>
          <w:bCs/>
          <w:color w:val="FF0000"/>
          <w:szCs w:val="72"/>
          <w:lang w:val="sr-Cyrl-RS"/>
        </w:rPr>
        <w:t xml:space="preserve"> </w:t>
      </w:r>
      <w:r w:rsidRPr="00A173E9">
        <w:rPr>
          <w:rFonts w:ascii="Calibri" w:eastAsia="Calibri" w:hAnsi="Calibri" w:cs="Calibri"/>
          <w:bCs/>
          <w:szCs w:val="72"/>
          <w:lang w:val="sr-Cyrl-RS"/>
        </w:rPr>
        <w:t>години. У овом сценарију однос евра и америчког долара би остао стабилан, док би само динар депрецирао у односу на обе валуте;</w:t>
      </w:r>
    </w:p>
    <w:p w14:paraId="07B7F12D"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Повећање каматних стопа на домаћем и међународном тржишту за око 2 п.п.;</w:t>
      </w:r>
    </w:p>
    <w:p w14:paraId="36AC032C"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pacing w:val="-2"/>
          <w:szCs w:val="72"/>
          <w:lang w:val="sr-Cyrl-RS"/>
        </w:rPr>
        <w:t>-  Повећање каматних стопа на међународном тржишту до 3 п.п., а на домаћем тржишту до 4 п.п</w:t>
      </w:r>
      <w:r w:rsidRPr="00A173E9">
        <w:rPr>
          <w:rFonts w:ascii="Calibri" w:eastAsia="Calibri" w:hAnsi="Calibri" w:cs="Calibri"/>
          <w:bCs/>
          <w:szCs w:val="72"/>
          <w:lang w:val="sr-Cyrl-RS"/>
        </w:rPr>
        <w:t>.;</w:t>
      </w:r>
    </w:p>
    <w:p w14:paraId="00026ED4"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Комбиновани шок који се односи на депрецијацију динара у односу на долар 15% у 2023. години и раст каматних стопа за око 2 п.п.;</w:t>
      </w:r>
    </w:p>
    <w:p w14:paraId="7862653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Сваки од горе наведених стрес тестова или сценарија ризика је коришћен за преглед ефеката коштања разматраних стратегија.</w:t>
      </w:r>
    </w:p>
    <w:p w14:paraId="71D1397B"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Алтернативне стратегије задуживања за период 2022–2024. година</w:t>
      </w:r>
    </w:p>
    <w:p w14:paraId="0297174D"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Оптимални избор између трошкова и ризика, на бази модела Светске банке </w:t>
      </w:r>
      <w:r w:rsidRPr="00A173E9">
        <w:rPr>
          <w:rFonts w:ascii="Calibri" w:eastAsia="Calibri" w:hAnsi="Calibri" w:cs="Calibri"/>
          <w:bCs/>
          <w:i/>
          <w:szCs w:val="72"/>
          <w:lang w:val="sr-Cyrl-RS"/>
        </w:rPr>
        <w:t>Medium Term Debt Strategy Model</w:t>
      </w:r>
      <w:r w:rsidRPr="00A173E9">
        <w:rPr>
          <w:rFonts w:ascii="Calibri" w:eastAsia="Calibri" w:hAnsi="Calibri" w:cs="Calibri"/>
          <w:bCs/>
          <w:szCs w:val="72"/>
          <w:lang w:val="sr-Cyrl-RS"/>
        </w:rPr>
        <w:t xml:space="preserve"> – MTDS, дефинисао је правац основне стратегије задуживања за наредни средњорочни период. Анализиране алтернативне стратегије задуживања су:</w:t>
      </w:r>
    </w:p>
    <w:p w14:paraId="7965A2EF"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Основна стратегија (С1): представља стратегију која покрива потребе за финансирањем већим делом (око 70%) коришћењем извора финансирања у страној валути (емисијом хартија од вредности на домаћем и иностраном тржишту, као и кредитним задуживањем код иностраних поверилаца), а мањим делом (око 30%) коришћењем извора финансирања у домаћој валути (емисијом хартија од вредности на домаћем тржишту).</w:t>
      </w:r>
    </w:p>
    <w:p w14:paraId="4B28B358"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Стратегија (С2): у односу на стратегију С1, целокупне потребе за финансирањем задовољавају се емисијом еврообвезница у доларима, рочности десет и петнаест година.</w:t>
      </w:r>
    </w:p>
    <w:p w14:paraId="737525EF"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lastRenderedPageBreak/>
        <w:t>Стратегија (С3): у односу на стратегију С1, представља стратегију која целокупно финансирање заснива на емисијама еврообвезница у еврима рочности десет, дванаест и двадесет година.</w:t>
      </w:r>
    </w:p>
    <w:p w14:paraId="703D4266"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Стратегија додатне динаризације (С4): представља стратегију која целокупно финансирање заснива на емисијама динарских хартија од вредности.</w:t>
      </w:r>
    </w:p>
    <w:p w14:paraId="79293791"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Финансирање издатака буџета Републике Србије по свим стратегијама вршиће се углавном путем емисија државних хартија од вредности на међународном и домаћем тржишту капитала.</w:t>
      </w:r>
    </w:p>
    <w:p w14:paraId="3D45A0E6"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Times New Roman"/>
          <w:b/>
          <w:color w:val="2F5496" w:themeColor="accent1" w:themeShade="BF"/>
          <w:sz w:val="22"/>
          <w:lang w:val="sr-Cyrl-RS"/>
        </w:rPr>
        <w:t>Поређење алтернативних стратегија</w:t>
      </w:r>
    </w:p>
    <w:p w14:paraId="333A6EB3"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Квантитативна анализа представља учинке сваке од четири алтернативне стратегије задуживања, где се на вертикалној оси налази учешће дуга у БДП, односно трошка камата у БДП при основном макроекономском оквиру, док се на хоризонталној оси налази потенцијални трошак одређене стратегије задуживања (резултат стрес теста). Примењене су две мере трошкова: однос јавног дуга према БДП и номинална камата као проценат БДП. Први однос је индикатор стања, а други индикатор тока. У циљу поређења, пажња је усмерена на резултате разматраних стратегија на крају 2024. године.</w:t>
      </w:r>
    </w:p>
    <w:p w14:paraId="63B58604" w14:textId="77777777" w:rsidR="001E3E7D" w:rsidRPr="00A173E9" w:rsidRDefault="001E3E7D" w:rsidP="008265F0">
      <w:pPr>
        <w:spacing w:line="256" w:lineRule="auto"/>
        <w:rPr>
          <w:rFonts w:ascii="Calibri" w:eastAsia="Calibri" w:hAnsi="Calibri" w:cs="Calibri"/>
          <w:bCs/>
          <w:spacing w:val="-2"/>
          <w:szCs w:val="72"/>
          <w:lang w:val="sr-Cyrl-RS"/>
        </w:rPr>
      </w:pPr>
      <w:r w:rsidRPr="00A173E9">
        <w:rPr>
          <w:rFonts w:ascii="Calibri" w:eastAsia="Calibri" w:hAnsi="Calibri" w:cs="Calibri"/>
          <w:bCs/>
          <w:spacing w:val="-2"/>
          <w:szCs w:val="72"/>
          <w:lang w:val="sr-Cyrl-RS"/>
        </w:rPr>
        <w:t xml:space="preserve">На основу графикона јасно се уочавају трошкови које свака од разматраних стратегија носи са собом. Стратегија С1 при основном макроекономском оквиру има најнижи рацио учешћа дуга у БДП на крају </w:t>
      </w:r>
      <w:r w:rsidR="00103068">
        <w:rPr>
          <w:rFonts w:ascii="Calibri" w:eastAsia="Calibri" w:hAnsi="Calibri" w:cs="Calibri"/>
          <w:bCs/>
          <w:spacing w:val="-2"/>
          <w:szCs w:val="72"/>
          <w:lang w:val="sr-Cyrl-RS"/>
        </w:rPr>
        <w:t xml:space="preserve">2024. године, у комбинацији са </w:t>
      </w:r>
      <w:r w:rsidRPr="00A173E9">
        <w:rPr>
          <w:rFonts w:ascii="Calibri" w:eastAsia="Calibri" w:hAnsi="Calibri" w:cs="Calibri"/>
          <w:bCs/>
          <w:spacing w:val="-2"/>
          <w:szCs w:val="72"/>
          <w:lang w:val="sr-Cyrl-RS"/>
        </w:rPr>
        <w:t>умереном изложеношћу ризику девизног курса у поређењу са осталим стратегијама. Најнижу изложеност промени девизног курса има стратегија С4 јер се заснива на емисији динарских хартија, али је са друге стране то најскупља страте</w:t>
      </w:r>
      <w:r w:rsidR="00103068">
        <w:rPr>
          <w:rFonts w:ascii="Calibri" w:eastAsia="Calibri" w:hAnsi="Calibri" w:cs="Calibri"/>
          <w:bCs/>
          <w:spacing w:val="-2"/>
          <w:szCs w:val="72"/>
          <w:lang w:val="sr-Cyrl-RS"/>
        </w:rPr>
        <w:t>гија мерено учешћем дуга у БДП.</w:t>
      </w:r>
      <w:r w:rsidRPr="00A173E9">
        <w:rPr>
          <w:rFonts w:ascii="Calibri" w:eastAsia="Calibri" w:hAnsi="Calibri" w:cs="Calibri"/>
          <w:bCs/>
          <w:spacing w:val="-2"/>
          <w:szCs w:val="72"/>
          <w:lang w:val="sr-Cyrl-RS"/>
        </w:rPr>
        <w:t xml:space="preserve"> Стратегије С2 и С3 имају релативно највећу изложеност ризику девизног курса, јер се потпуно заснивају на изворима</w:t>
      </w:r>
      <w:r w:rsidR="00103068">
        <w:rPr>
          <w:rFonts w:ascii="Calibri" w:eastAsia="Calibri" w:hAnsi="Calibri" w:cs="Calibri"/>
          <w:bCs/>
          <w:spacing w:val="-2"/>
          <w:szCs w:val="72"/>
          <w:lang w:val="sr-Cyrl-RS"/>
        </w:rPr>
        <w:t xml:space="preserve"> финансирања у страној валути, </w:t>
      </w:r>
      <w:r w:rsidRPr="00A173E9">
        <w:rPr>
          <w:rFonts w:ascii="Calibri" w:eastAsia="Calibri" w:hAnsi="Calibri" w:cs="Calibri"/>
          <w:bCs/>
          <w:spacing w:val="-2"/>
          <w:szCs w:val="72"/>
          <w:lang w:val="sr-Cyrl-RS"/>
        </w:rPr>
        <w:t xml:space="preserve">али су мерене учешћем дуга у БДП повољније од стратегије С4. Са аспекта учешћа камата у БДП, стратегија С4 је релативно скупља и има већи ризик од повећања учешћа камата у БДП јер је изложена осцилацијама </w:t>
      </w:r>
      <w:r w:rsidRPr="00A173E9">
        <w:rPr>
          <w:rFonts w:ascii="Calibri" w:eastAsia="Calibri" w:hAnsi="Calibri" w:cs="Calibri"/>
          <w:bCs/>
          <w:spacing w:val="-2"/>
          <w:szCs w:val="72"/>
          <w:lang w:val="sr-Cyrl-RS"/>
        </w:rPr>
        <w:t>динарских каматних стопа. Код стратегија С1, С2 и С3 присутан је нижи ризик од повећања учешћа камата у БДП јер је и шок од промене каматних стопа мањи. Мерено учешћем камата у БДП, стратегије С1, С2 и С3 имају ниже трошкове камате у односу на стратегију С4.</w:t>
      </w:r>
    </w:p>
    <w:p w14:paraId="45E3421C"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Анализом учешћа јавног дуга у БДП оцењено је да стратегија С1, при ос</w:t>
      </w:r>
      <w:r w:rsidR="00103068">
        <w:rPr>
          <w:rFonts w:ascii="Calibri" w:eastAsia="Calibri" w:hAnsi="Calibri" w:cs="Calibri"/>
          <w:bCs/>
          <w:szCs w:val="72"/>
          <w:lang w:val="sr-Cyrl-RS"/>
        </w:rPr>
        <w:t xml:space="preserve">новном сценарију, има нижи </w:t>
      </w:r>
      <w:r w:rsidRPr="00A173E9">
        <w:rPr>
          <w:rFonts w:ascii="Calibri" w:eastAsia="Calibri" w:hAnsi="Calibri" w:cs="Calibri"/>
          <w:bCs/>
          <w:szCs w:val="72"/>
          <w:lang w:val="sr-Cyrl-RS"/>
        </w:rPr>
        <w:t>рацио у односу на остале стратегије. Такође ризик повећања учешћа дуга у БДП због промене девизног курса, код</w:t>
      </w:r>
      <w:r w:rsidR="00103068">
        <w:rPr>
          <w:rFonts w:ascii="Calibri" w:eastAsia="Calibri" w:hAnsi="Calibri" w:cs="Calibri"/>
          <w:bCs/>
          <w:szCs w:val="72"/>
          <w:lang w:val="sr-Cyrl-RS"/>
        </w:rPr>
        <w:t xml:space="preserve"> С1 је нижи од С2 и С3. Мерено </w:t>
      </w:r>
      <w:r w:rsidRPr="00A173E9">
        <w:rPr>
          <w:rFonts w:ascii="Calibri" w:eastAsia="Calibri" w:hAnsi="Calibri" w:cs="Calibri"/>
          <w:bCs/>
          <w:szCs w:val="72"/>
          <w:lang w:val="sr-Cyrl-RS"/>
        </w:rPr>
        <w:t>учешћем камата у БДП и могућим повећањем овог раци</w:t>
      </w:r>
      <w:r w:rsidRPr="00A173E9">
        <w:rPr>
          <w:rFonts w:ascii="Calibri" w:eastAsia="Calibri" w:hAnsi="Calibri" w:cs="Calibri"/>
          <w:bCs/>
          <w:szCs w:val="72"/>
          <w:lang w:val="sr-Latn-RS"/>
        </w:rPr>
        <w:t>j</w:t>
      </w:r>
      <w:r w:rsidRPr="00A173E9">
        <w:rPr>
          <w:rFonts w:ascii="Calibri" w:eastAsia="Calibri" w:hAnsi="Calibri" w:cs="Calibri"/>
          <w:bCs/>
          <w:szCs w:val="72"/>
          <w:lang w:val="sr-Cyrl-RS"/>
        </w:rPr>
        <w:t>а проузрокованог шоком раста каматних стопа, стратегије С1 представља једну од боље позиционираних стратегија. Имајући у виду наведено, евидентно је да ће се у наредном средњорочном периоду основне операције задуживања заснивати на стратегији С1.</w:t>
      </w:r>
    </w:p>
    <w:p w14:paraId="3A6C1346" w14:textId="77777777" w:rsidR="001E3E7D" w:rsidRPr="00645FE5"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noProof/>
        </w:rPr>
        <w:drawing>
          <wp:anchor distT="0" distB="0" distL="114300" distR="114300" simplePos="0" relativeHeight="251684352" behindDoc="1" locked="0" layoutInCell="1" allowOverlap="1" wp14:anchorId="7DB4F063" wp14:editId="2177044C">
            <wp:simplePos x="0" y="0"/>
            <wp:positionH relativeFrom="column">
              <wp:posOffset>9525</wp:posOffset>
            </wp:positionH>
            <wp:positionV relativeFrom="paragraph">
              <wp:posOffset>192405</wp:posOffset>
            </wp:positionV>
            <wp:extent cx="2688590" cy="1981200"/>
            <wp:effectExtent l="0" t="0" r="0" b="0"/>
            <wp:wrapSquare wrapText="bothSides"/>
            <wp:docPr id="60"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14:sizeRelH relativeFrom="margin">
              <wp14:pctWidth>0</wp14:pctWidth>
            </wp14:sizeRelH>
            <wp14:sizeRelV relativeFrom="margin">
              <wp14:pctHeight>0</wp14:pctHeight>
            </wp14:sizeRelV>
          </wp:anchor>
        </w:drawing>
      </w:r>
      <w:r w:rsidRPr="00A173E9">
        <w:rPr>
          <w:rFonts w:ascii="Calibri" w:eastAsia="Calibri" w:hAnsi="Calibri" w:cs="Times New Roman"/>
          <w:b/>
          <w:color w:val="002060"/>
          <w:lang w:val="sr-Cyrl-RS"/>
        </w:rPr>
        <w:t>Однос дуга и БДП на крају 2024. године</w:t>
      </w:r>
    </w:p>
    <w:p w14:paraId="5F2C3BDF" w14:textId="77777777" w:rsidR="001E3E7D" w:rsidRDefault="001E3E7D" w:rsidP="008265F0">
      <w:pPr>
        <w:spacing w:line="256" w:lineRule="auto"/>
        <w:rPr>
          <w:rFonts w:ascii="Calibri" w:eastAsia="Calibri" w:hAnsi="Calibri" w:cs="Times New Roman"/>
          <w:b/>
          <w:color w:val="002060"/>
          <w:lang w:val="sr-Cyrl-RS"/>
        </w:rPr>
      </w:pPr>
    </w:p>
    <w:p w14:paraId="3F01B2E1" w14:textId="77777777" w:rsidR="001E3E7D" w:rsidRPr="00645FE5" w:rsidRDefault="001E3E7D" w:rsidP="00645FE5">
      <w:pPr>
        <w:spacing w:line="256" w:lineRule="auto"/>
        <w:jc w:val="center"/>
        <w:rPr>
          <w:rFonts w:ascii="Calibri" w:eastAsia="Calibri" w:hAnsi="Calibri" w:cs="Times New Roman"/>
          <w:b/>
          <w:color w:val="002060"/>
          <w:lang w:val="sr-Cyrl-RS"/>
        </w:rPr>
      </w:pPr>
      <w:r w:rsidRPr="00645FE5">
        <w:rPr>
          <w:rFonts w:ascii="Calibri" w:eastAsia="Calibri" w:hAnsi="Calibri" w:cs="Times New Roman"/>
          <w:b/>
          <w:color w:val="002060"/>
          <w:lang w:val="sr-Cyrl-RS"/>
        </w:rPr>
        <w:t>Однос камата и БДП на крају 2024. године</w:t>
      </w:r>
    </w:p>
    <w:p w14:paraId="3F38258C" w14:textId="77777777" w:rsidR="001E3E7D" w:rsidRPr="00A173E9" w:rsidRDefault="001E3E7D" w:rsidP="008265F0">
      <w:pPr>
        <w:spacing w:line="256" w:lineRule="auto"/>
        <w:rPr>
          <w:rFonts w:ascii="Calibri" w:eastAsia="Calibri" w:hAnsi="Calibri" w:cs="Times New Roman"/>
          <w:b/>
          <w:color w:val="FF0000"/>
          <w:lang w:val="sr-Cyrl-RS"/>
        </w:rPr>
      </w:pPr>
      <w:r w:rsidRPr="00A173E9">
        <w:rPr>
          <w:rFonts w:ascii="Calibri" w:eastAsia="Calibri" w:hAnsi="Calibri" w:cs="Times New Roman"/>
          <w:noProof/>
        </w:rPr>
        <w:drawing>
          <wp:anchor distT="0" distB="0" distL="114300" distR="114300" simplePos="0" relativeHeight="251685376" behindDoc="0" locked="0" layoutInCell="1" allowOverlap="1" wp14:anchorId="6DEC94AC" wp14:editId="28108C1D">
            <wp:simplePos x="0" y="0"/>
            <wp:positionH relativeFrom="column">
              <wp:posOffset>0</wp:posOffset>
            </wp:positionH>
            <wp:positionV relativeFrom="paragraph">
              <wp:posOffset>7620</wp:posOffset>
            </wp:positionV>
            <wp:extent cx="2688590" cy="1981200"/>
            <wp:effectExtent l="0" t="0" r="0" b="0"/>
            <wp:wrapNone/>
            <wp:docPr id="59"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14:sizeRelH relativeFrom="margin">
              <wp14:pctWidth>0</wp14:pctWidth>
            </wp14:sizeRelH>
            <wp14:sizeRelV relativeFrom="margin">
              <wp14:pctHeight>0</wp14:pctHeight>
            </wp14:sizeRelV>
          </wp:anchor>
        </w:drawing>
      </w:r>
    </w:p>
    <w:p w14:paraId="68055475"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2F85FC39"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4229E9E1"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5CFE280A"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1D52F687"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12C86C4B"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2DEF2528" w14:textId="77777777" w:rsidR="001E3E7D" w:rsidRDefault="001E3E7D" w:rsidP="008265F0">
      <w:pPr>
        <w:spacing w:after="240" w:line="256" w:lineRule="auto"/>
        <w:rPr>
          <w:rFonts w:ascii="Calibri" w:eastAsia="Calibri" w:hAnsi="Calibri" w:cs="Calibri"/>
          <w:bCs/>
          <w:szCs w:val="72"/>
          <w:lang w:val="sr-Cyrl-RS"/>
        </w:rPr>
      </w:pPr>
    </w:p>
    <w:p w14:paraId="4A7133F1" w14:textId="77777777" w:rsidR="001E3E7D" w:rsidRPr="00A173E9" w:rsidRDefault="001E3E7D" w:rsidP="008265F0">
      <w:pPr>
        <w:spacing w:after="0" w:line="256" w:lineRule="auto"/>
        <w:jc w:val="left"/>
        <w:rPr>
          <w:rFonts w:ascii="Calibri" w:eastAsia="Calibri" w:hAnsi="Calibri" w:cs="Calibri"/>
          <w:bCs/>
          <w:szCs w:val="72"/>
          <w:lang w:val="sr-Cyrl-RS"/>
        </w:rPr>
        <w:sectPr w:rsidR="001E3E7D" w:rsidRPr="00A173E9">
          <w:type w:val="continuous"/>
          <w:pgSz w:w="12240" w:h="15840"/>
          <w:pgMar w:top="1440" w:right="1440" w:bottom="1440" w:left="1440" w:header="720" w:footer="720" w:gutter="0"/>
          <w:cols w:num="2" w:space="720"/>
        </w:sectPr>
      </w:pPr>
    </w:p>
    <w:p w14:paraId="73E2782B" w14:textId="77777777" w:rsidR="001E3E7D" w:rsidRDefault="001E3E7D" w:rsidP="008265F0">
      <w:pPr>
        <w:spacing w:line="256" w:lineRule="auto"/>
        <w:jc w:val="center"/>
        <w:rPr>
          <w:rFonts w:ascii="Calibri" w:eastAsia="Calibri" w:hAnsi="Calibri" w:cs="Times New Roman"/>
          <w:b/>
          <w:color w:val="002060"/>
          <w:lang w:val="sr-Cyrl-RS"/>
        </w:rPr>
      </w:pPr>
    </w:p>
    <w:p w14:paraId="5228FEBC"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lastRenderedPageBreak/>
        <w:t>Табела 2</w:t>
      </w:r>
      <w:r w:rsidR="00FA5A89">
        <w:rPr>
          <w:rFonts w:ascii="Calibri" w:eastAsia="Calibri" w:hAnsi="Calibri" w:cs="Times New Roman"/>
          <w:b/>
          <w:color w:val="002060"/>
          <w:lang w:val="sr-Latn-RS"/>
        </w:rPr>
        <w:t>8</w:t>
      </w:r>
      <w:r w:rsidRPr="00A173E9">
        <w:rPr>
          <w:rFonts w:ascii="Calibri" w:eastAsia="Calibri" w:hAnsi="Calibri" w:cs="Times New Roman"/>
          <w:b/>
          <w:color w:val="002060"/>
          <w:lang w:val="sr-Cyrl-RS"/>
        </w:rPr>
        <w:t>. Однос јавног дуга и БДП на крају 2024.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1E3E7D" w:rsidRPr="00A173E9" w14:paraId="68D699E5" w14:textId="77777777" w:rsidTr="008265F0">
        <w:trPr>
          <w:cnfStyle w:val="100000000000" w:firstRow="1" w:lastRow="0" w:firstColumn="0" w:lastColumn="0" w:oddVBand="0" w:evenVBand="0" w:oddHBand="0"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nil"/>
            </w:tcBorders>
            <w:noWrap/>
            <w:hideMark/>
          </w:tcPr>
          <w:p w14:paraId="09C1488B" w14:textId="77777777" w:rsidR="001E3E7D" w:rsidRPr="00A173E9" w:rsidRDefault="001E3E7D" w:rsidP="008265F0">
            <w:pPr>
              <w:rPr>
                <w:rFonts w:ascii="Calibri" w:hAnsi="Calibri" w:cs="Calibri"/>
                <w:color w:val="002060"/>
                <w:sz w:val="18"/>
                <w:szCs w:val="18"/>
                <w:lang w:val="sr-Cyrl-RS"/>
              </w:rPr>
            </w:pPr>
            <w:r w:rsidRPr="00A173E9">
              <w:rPr>
                <w:rFonts w:ascii="Calibri" w:hAnsi="Calibri" w:cs="Calibri"/>
                <w:color w:val="002060"/>
                <w:sz w:val="18"/>
                <w:szCs w:val="18"/>
                <w:lang w:val="sr-Cyrl-RS"/>
              </w:rPr>
              <w:t>Сценарији</w:t>
            </w:r>
          </w:p>
        </w:tc>
        <w:tc>
          <w:tcPr>
            <w:tcW w:w="578" w:type="pct"/>
            <w:tcBorders>
              <w:top w:val="single" w:sz="4" w:space="0" w:color="002060"/>
              <w:bottom w:val="single" w:sz="4" w:space="0" w:color="002060"/>
            </w:tcBorders>
            <w:noWrap/>
            <w:hideMark/>
          </w:tcPr>
          <w:p w14:paraId="5708B298"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C1</w:t>
            </w:r>
          </w:p>
        </w:tc>
        <w:tc>
          <w:tcPr>
            <w:tcW w:w="578" w:type="pct"/>
            <w:tcBorders>
              <w:top w:val="single" w:sz="4" w:space="0" w:color="002060"/>
              <w:bottom w:val="single" w:sz="4" w:space="0" w:color="002060"/>
            </w:tcBorders>
            <w:noWrap/>
            <w:hideMark/>
          </w:tcPr>
          <w:p w14:paraId="03B8509B"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C2</w:t>
            </w:r>
          </w:p>
        </w:tc>
        <w:tc>
          <w:tcPr>
            <w:tcW w:w="578" w:type="pct"/>
            <w:tcBorders>
              <w:top w:val="single" w:sz="4" w:space="0" w:color="002060"/>
              <w:bottom w:val="single" w:sz="4" w:space="0" w:color="002060"/>
            </w:tcBorders>
            <w:noWrap/>
            <w:hideMark/>
          </w:tcPr>
          <w:p w14:paraId="50F9068D"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C3</w:t>
            </w:r>
          </w:p>
        </w:tc>
        <w:tc>
          <w:tcPr>
            <w:tcW w:w="578" w:type="pct"/>
            <w:tcBorders>
              <w:top w:val="single" w:sz="4" w:space="0" w:color="002060"/>
              <w:bottom w:val="single" w:sz="4" w:space="0" w:color="002060"/>
            </w:tcBorders>
            <w:noWrap/>
            <w:hideMark/>
          </w:tcPr>
          <w:p w14:paraId="7C7D2A8F"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C4</w:t>
            </w:r>
          </w:p>
        </w:tc>
      </w:tr>
      <w:tr w:rsidR="001E3E7D" w:rsidRPr="00A173E9" w14:paraId="35E683FF"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0BDAE067"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Основни сценарио</w:t>
            </w:r>
          </w:p>
        </w:tc>
        <w:tc>
          <w:tcPr>
            <w:tcW w:w="578" w:type="pct"/>
            <w:tcBorders>
              <w:top w:val="nil"/>
              <w:bottom w:val="nil"/>
            </w:tcBorders>
            <w:shd w:val="clear" w:color="auto" w:fill="E7E6E6" w:themeFill="background2"/>
            <w:noWrap/>
            <w:vAlign w:val="bottom"/>
            <w:hideMark/>
          </w:tcPr>
          <w:p w14:paraId="66DF8CB5"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53,2</w:t>
            </w:r>
          </w:p>
        </w:tc>
        <w:tc>
          <w:tcPr>
            <w:tcW w:w="578" w:type="pct"/>
            <w:tcBorders>
              <w:top w:val="nil"/>
              <w:bottom w:val="nil"/>
            </w:tcBorders>
            <w:shd w:val="clear" w:color="auto" w:fill="E7E6E6" w:themeFill="background2"/>
            <w:noWrap/>
            <w:vAlign w:val="bottom"/>
            <w:hideMark/>
          </w:tcPr>
          <w:p w14:paraId="2925EBEC"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53,4</w:t>
            </w:r>
          </w:p>
        </w:tc>
        <w:tc>
          <w:tcPr>
            <w:tcW w:w="578" w:type="pct"/>
            <w:tcBorders>
              <w:top w:val="nil"/>
              <w:bottom w:val="nil"/>
            </w:tcBorders>
            <w:shd w:val="clear" w:color="auto" w:fill="E7E6E6" w:themeFill="background2"/>
            <w:noWrap/>
            <w:vAlign w:val="bottom"/>
            <w:hideMark/>
          </w:tcPr>
          <w:p w14:paraId="2ED8935A"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53,2</w:t>
            </w:r>
          </w:p>
        </w:tc>
        <w:tc>
          <w:tcPr>
            <w:tcW w:w="578" w:type="pct"/>
            <w:tcBorders>
              <w:top w:val="nil"/>
              <w:bottom w:val="nil"/>
            </w:tcBorders>
            <w:shd w:val="clear" w:color="auto" w:fill="E7E6E6" w:themeFill="background2"/>
            <w:noWrap/>
            <w:vAlign w:val="bottom"/>
            <w:hideMark/>
          </w:tcPr>
          <w:p w14:paraId="4599BCA3"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53,5</w:t>
            </w:r>
          </w:p>
        </w:tc>
      </w:tr>
      <w:tr w:rsidR="001E3E7D" w:rsidRPr="00A173E9" w14:paraId="31CDE5A5"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67628BC0"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Шок девизног курса (15% све валуте) </w:t>
            </w:r>
          </w:p>
        </w:tc>
        <w:tc>
          <w:tcPr>
            <w:tcW w:w="578" w:type="pct"/>
            <w:tcBorders>
              <w:top w:val="nil"/>
              <w:left w:val="nil"/>
              <w:bottom w:val="nil"/>
              <w:right w:val="nil"/>
            </w:tcBorders>
            <w:shd w:val="clear" w:color="auto" w:fill="FFFFFF" w:themeFill="background1"/>
            <w:noWrap/>
            <w:vAlign w:val="bottom"/>
            <w:hideMark/>
          </w:tcPr>
          <w:p w14:paraId="4A9834D8"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58,9</w:t>
            </w:r>
          </w:p>
        </w:tc>
        <w:tc>
          <w:tcPr>
            <w:tcW w:w="578" w:type="pct"/>
            <w:tcBorders>
              <w:top w:val="nil"/>
              <w:left w:val="nil"/>
              <w:bottom w:val="nil"/>
              <w:right w:val="nil"/>
            </w:tcBorders>
            <w:shd w:val="clear" w:color="auto" w:fill="FFFFFF" w:themeFill="background1"/>
            <w:noWrap/>
            <w:vAlign w:val="bottom"/>
            <w:hideMark/>
          </w:tcPr>
          <w:p w14:paraId="4C30121E"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59,4</w:t>
            </w:r>
          </w:p>
        </w:tc>
        <w:tc>
          <w:tcPr>
            <w:tcW w:w="578" w:type="pct"/>
            <w:tcBorders>
              <w:top w:val="nil"/>
              <w:left w:val="nil"/>
              <w:bottom w:val="nil"/>
              <w:right w:val="nil"/>
            </w:tcBorders>
            <w:shd w:val="clear" w:color="auto" w:fill="FFFFFF" w:themeFill="background1"/>
            <w:noWrap/>
            <w:vAlign w:val="bottom"/>
            <w:hideMark/>
          </w:tcPr>
          <w:p w14:paraId="6B33E5F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59,2</w:t>
            </w:r>
          </w:p>
        </w:tc>
        <w:tc>
          <w:tcPr>
            <w:tcW w:w="578" w:type="pct"/>
            <w:tcBorders>
              <w:top w:val="nil"/>
              <w:left w:val="nil"/>
              <w:bottom w:val="nil"/>
              <w:right w:val="nil"/>
            </w:tcBorders>
            <w:shd w:val="clear" w:color="auto" w:fill="FFFFFF" w:themeFill="background1"/>
            <w:noWrap/>
            <w:vAlign w:val="bottom"/>
            <w:hideMark/>
          </w:tcPr>
          <w:p w14:paraId="4109D8C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58,4</w:t>
            </w:r>
          </w:p>
        </w:tc>
      </w:tr>
      <w:tr w:rsidR="001E3E7D" w:rsidRPr="00A173E9" w14:paraId="46EFE267"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42EFA9E2"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Каматни шок (сценарио 1) </w:t>
            </w:r>
          </w:p>
        </w:tc>
        <w:tc>
          <w:tcPr>
            <w:tcW w:w="578" w:type="pct"/>
            <w:tcBorders>
              <w:top w:val="nil"/>
              <w:bottom w:val="nil"/>
            </w:tcBorders>
            <w:shd w:val="clear" w:color="auto" w:fill="E7E6E6" w:themeFill="background2"/>
            <w:noWrap/>
            <w:vAlign w:val="bottom"/>
            <w:hideMark/>
          </w:tcPr>
          <w:p w14:paraId="7F550CC1"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53,8</w:t>
            </w:r>
          </w:p>
        </w:tc>
        <w:tc>
          <w:tcPr>
            <w:tcW w:w="578" w:type="pct"/>
            <w:tcBorders>
              <w:top w:val="nil"/>
              <w:bottom w:val="nil"/>
            </w:tcBorders>
            <w:shd w:val="clear" w:color="auto" w:fill="E7E6E6" w:themeFill="background2"/>
            <w:noWrap/>
            <w:vAlign w:val="bottom"/>
            <w:hideMark/>
          </w:tcPr>
          <w:p w14:paraId="7CD73727"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54,0</w:t>
            </w:r>
          </w:p>
        </w:tc>
        <w:tc>
          <w:tcPr>
            <w:tcW w:w="578" w:type="pct"/>
            <w:tcBorders>
              <w:top w:val="nil"/>
              <w:bottom w:val="nil"/>
            </w:tcBorders>
            <w:shd w:val="clear" w:color="auto" w:fill="E7E6E6" w:themeFill="background2"/>
            <w:noWrap/>
            <w:vAlign w:val="bottom"/>
            <w:hideMark/>
          </w:tcPr>
          <w:p w14:paraId="676BDADC"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53,8</w:t>
            </w:r>
          </w:p>
        </w:tc>
        <w:tc>
          <w:tcPr>
            <w:tcW w:w="578" w:type="pct"/>
            <w:tcBorders>
              <w:top w:val="nil"/>
              <w:bottom w:val="nil"/>
            </w:tcBorders>
            <w:shd w:val="clear" w:color="auto" w:fill="E7E6E6" w:themeFill="background2"/>
            <w:noWrap/>
            <w:vAlign w:val="bottom"/>
            <w:hideMark/>
          </w:tcPr>
          <w:p w14:paraId="2FB82854"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54,1</w:t>
            </w:r>
          </w:p>
        </w:tc>
      </w:tr>
      <w:tr w:rsidR="001E3E7D" w:rsidRPr="00A173E9" w14:paraId="3F934BE0"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7BCD529F"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Каматни шок (сценарио 2)</w:t>
            </w:r>
          </w:p>
        </w:tc>
        <w:tc>
          <w:tcPr>
            <w:tcW w:w="578" w:type="pct"/>
            <w:tcBorders>
              <w:top w:val="nil"/>
              <w:left w:val="nil"/>
              <w:bottom w:val="nil"/>
              <w:right w:val="nil"/>
            </w:tcBorders>
            <w:shd w:val="clear" w:color="auto" w:fill="FFFFFF" w:themeFill="background1"/>
            <w:noWrap/>
            <w:vAlign w:val="bottom"/>
            <w:hideMark/>
          </w:tcPr>
          <w:p w14:paraId="0EE7895D"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54,1</w:t>
            </w:r>
          </w:p>
        </w:tc>
        <w:tc>
          <w:tcPr>
            <w:tcW w:w="578" w:type="pct"/>
            <w:tcBorders>
              <w:top w:val="nil"/>
              <w:left w:val="nil"/>
              <w:bottom w:val="nil"/>
              <w:right w:val="nil"/>
            </w:tcBorders>
            <w:shd w:val="clear" w:color="auto" w:fill="FFFFFF" w:themeFill="background1"/>
            <w:noWrap/>
            <w:vAlign w:val="bottom"/>
            <w:hideMark/>
          </w:tcPr>
          <w:p w14:paraId="638D61F7"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54,3</w:t>
            </w:r>
          </w:p>
        </w:tc>
        <w:tc>
          <w:tcPr>
            <w:tcW w:w="578" w:type="pct"/>
            <w:tcBorders>
              <w:top w:val="nil"/>
              <w:left w:val="nil"/>
              <w:bottom w:val="nil"/>
              <w:right w:val="nil"/>
            </w:tcBorders>
            <w:shd w:val="clear" w:color="auto" w:fill="FFFFFF" w:themeFill="background1"/>
            <w:noWrap/>
            <w:vAlign w:val="bottom"/>
            <w:hideMark/>
          </w:tcPr>
          <w:p w14:paraId="41F42EE0"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54,2</w:t>
            </w:r>
          </w:p>
        </w:tc>
        <w:tc>
          <w:tcPr>
            <w:tcW w:w="578" w:type="pct"/>
            <w:tcBorders>
              <w:top w:val="nil"/>
              <w:left w:val="nil"/>
              <w:bottom w:val="nil"/>
              <w:right w:val="nil"/>
            </w:tcBorders>
            <w:shd w:val="clear" w:color="auto" w:fill="FFFFFF" w:themeFill="background1"/>
            <w:noWrap/>
            <w:vAlign w:val="bottom"/>
            <w:hideMark/>
          </w:tcPr>
          <w:p w14:paraId="4FB721AA"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54,7</w:t>
            </w:r>
          </w:p>
        </w:tc>
      </w:tr>
      <w:tr w:rsidR="001E3E7D" w:rsidRPr="00A173E9" w14:paraId="025D3739"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0D2B768"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Комбиновани шок (15% УСД и каматни шок1) </w:t>
            </w:r>
          </w:p>
        </w:tc>
        <w:tc>
          <w:tcPr>
            <w:tcW w:w="578" w:type="pct"/>
            <w:tcBorders>
              <w:top w:val="nil"/>
              <w:bottom w:val="single" w:sz="4" w:space="0" w:color="auto"/>
            </w:tcBorders>
            <w:shd w:val="clear" w:color="auto" w:fill="E7E6E6" w:themeFill="background2"/>
            <w:noWrap/>
            <w:vAlign w:val="bottom"/>
            <w:hideMark/>
          </w:tcPr>
          <w:p w14:paraId="7ED2BAE3"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54,9</w:t>
            </w:r>
          </w:p>
        </w:tc>
        <w:tc>
          <w:tcPr>
            <w:tcW w:w="578" w:type="pct"/>
            <w:tcBorders>
              <w:top w:val="nil"/>
              <w:bottom w:val="single" w:sz="4" w:space="0" w:color="auto"/>
            </w:tcBorders>
            <w:shd w:val="clear" w:color="auto" w:fill="E7E6E6" w:themeFill="background2"/>
            <w:noWrap/>
            <w:vAlign w:val="bottom"/>
            <w:hideMark/>
          </w:tcPr>
          <w:p w14:paraId="755899D0"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56,3</w:t>
            </w:r>
          </w:p>
        </w:tc>
        <w:tc>
          <w:tcPr>
            <w:tcW w:w="578" w:type="pct"/>
            <w:tcBorders>
              <w:top w:val="nil"/>
              <w:bottom w:val="single" w:sz="4" w:space="0" w:color="auto"/>
            </w:tcBorders>
            <w:shd w:val="clear" w:color="auto" w:fill="E7E6E6" w:themeFill="background2"/>
            <w:noWrap/>
            <w:vAlign w:val="bottom"/>
            <w:hideMark/>
          </w:tcPr>
          <w:p w14:paraId="6311AA6F"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54,9</w:t>
            </w:r>
          </w:p>
        </w:tc>
        <w:tc>
          <w:tcPr>
            <w:tcW w:w="578" w:type="pct"/>
            <w:tcBorders>
              <w:top w:val="nil"/>
              <w:bottom w:val="single" w:sz="4" w:space="0" w:color="auto"/>
            </w:tcBorders>
            <w:shd w:val="clear" w:color="auto" w:fill="E7E6E6" w:themeFill="background2"/>
            <w:noWrap/>
            <w:vAlign w:val="bottom"/>
            <w:hideMark/>
          </w:tcPr>
          <w:p w14:paraId="37C4577D"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55,2</w:t>
            </w:r>
          </w:p>
        </w:tc>
      </w:tr>
      <w:tr w:rsidR="001E3E7D" w:rsidRPr="00A173E9" w14:paraId="5A6EBB1C" w14:textId="77777777" w:rsidTr="00645FE5">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auto"/>
              <w:right w:val="nil"/>
            </w:tcBorders>
            <w:noWrap/>
            <w:hideMark/>
          </w:tcPr>
          <w:p w14:paraId="4D1C2CE5"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Максимални ризик </w:t>
            </w:r>
          </w:p>
        </w:tc>
        <w:tc>
          <w:tcPr>
            <w:tcW w:w="578" w:type="pct"/>
            <w:tcBorders>
              <w:top w:val="single" w:sz="4" w:space="0" w:color="auto"/>
              <w:left w:val="nil"/>
              <w:bottom w:val="single" w:sz="4" w:space="0" w:color="002060"/>
              <w:right w:val="nil"/>
            </w:tcBorders>
            <w:shd w:val="clear" w:color="auto" w:fill="FFFFFF" w:themeFill="background1"/>
            <w:noWrap/>
            <w:vAlign w:val="bottom"/>
            <w:hideMark/>
          </w:tcPr>
          <w:p w14:paraId="4CF326F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5,6</w:t>
            </w:r>
          </w:p>
        </w:tc>
        <w:tc>
          <w:tcPr>
            <w:tcW w:w="578" w:type="pct"/>
            <w:tcBorders>
              <w:top w:val="single" w:sz="4" w:space="0" w:color="auto"/>
              <w:left w:val="nil"/>
              <w:bottom w:val="single" w:sz="4" w:space="0" w:color="002060"/>
              <w:right w:val="nil"/>
            </w:tcBorders>
            <w:shd w:val="clear" w:color="auto" w:fill="FFFFFF" w:themeFill="background1"/>
            <w:noWrap/>
            <w:vAlign w:val="bottom"/>
            <w:hideMark/>
          </w:tcPr>
          <w:p w14:paraId="272A66B6"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6,0</w:t>
            </w:r>
          </w:p>
        </w:tc>
        <w:tc>
          <w:tcPr>
            <w:tcW w:w="578" w:type="pct"/>
            <w:tcBorders>
              <w:top w:val="single" w:sz="4" w:space="0" w:color="auto"/>
              <w:left w:val="nil"/>
              <w:bottom w:val="single" w:sz="4" w:space="0" w:color="002060"/>
              <w:right w:val="nil"/>
            </w:tcBorders>
            <w:shd w:val="clear" w:color="auto" w:fill="FFFFFF" w:themeFill="background1"/>
            <w:noWrap/>
            <w:vAlign w:val="bottom"/>
            <w:hideMark/>
          </w:tcPr>
          <w:p w14:paraId="20B32890"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6,0</w:t>
            </w:r>
          </w:p>
        </w:tc>
        <w:tc>
          <w:tcPr>
            <w:tcW w:w="578" w:type="pct"/>
            <w:tcBorders>
              <w:top w:val="single" w:sz="4" w:space="0" w:color="auto"/>
              <w:left w:val="nil"/>
              <w:bottom w:val="single" w:sz="4" w:space="0" w:color="002060"/>
              <w:right w:val="nil"/>
            </w:tcBorders>
            <w:shd w:val="clear" w:color="auto" w:fill="FFFFFF" w:themeFill="background1"/>
            <w:noWrap/>
            <w:vAlign w:val="bottom"/>
            <w:hideMark/>
          </w:tcPr>
          <w:p w14:paraId="1427EAFD"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4,8</w:t>
            </w:r>
          </w:p>
        </w:tc>
      </w:tr>
    </w:tbl>
    <w:p w14:paraId="650CFAC9" w14:textId="77777777" w:rsidR="001E3E7D" w:rsidRPr="00A173E9" w:rsidRDefault="001E3E7D" w:rsidP="008265F0">
      <w:pPr>
        <w:spacing w:line="256" w:lineRule="auto"/>
        <w:jc w:val="center"/>
        <w:rPr>
          <w:rFonts w:ascii="Calibri" w:eastAsia="Calibri" w:hAnsi="Calibri" w:cs="Times New Roman"/>
          <w:b/>
          <w:color w:val="002060"/>
          <w:lang w:val="sr-Cyrl-RS"/>
        </w:rPr>
      </w:pPr>
    </w:p>
    <w:p w14:paraId="3DFDD426"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Табела 2</w:t>
      </w:r>
      <w:r w:rsidR="00FA5A89">
        <w:rPr>
          <w:rFonts w:ascii="Calibri" w:eastAsia="Calibri" w:hAnsi="Calibri" w:cs="Times New Roman"/>
          <w:b/>
          <w:color w:val="002060"/>
          <w:lang w:val="sr-Latn-RS"/>
        </w:rPr>
        <w:t>9</w:t>
      </w:r>
      <w:r w:rsidRPr="00A173E9">
        <w:rPr>
          <w:rFonts w:ascii="Calibri" w:eastAsia="Calibri" w:hAnsi="Calibri" w:cs="Times New Roman"/>
          <w:b/>
          <w:color w:val="002060"/>
          <w:lang w:val="sr-Cyrl-RS"/>
        </w:rPr>
        <w:t>. Однос плаћања по основу камата и БДП на крају 2024. године</w:t>
      </w:r>
    </w:p>
    <w:tbl>
      <w:tblPr>
        <w:tblStyle w:val="LightShading-Accent1222"/>
        <w:tblW w:w="5000" w:type="pct"/>
        <w:tblInd w:w="0" w:type="dxa"/>
        <w:tblLook w:val="04A0" w:firstRow="1" w:lastRow="0" w:firstColumn="1" w:lastColumn="0" w:noHBand="0" w:noVBand="1"/>
      </w:tblPr>
      <w:tblGrid>
        <w:gridCol w:w="5032"/>
        <w:gridCol w:w="1082"/>
        <w:gridCol w:w="1082"/>
        <w:gridCol w:w="1082"/>
        <w:gridCol w:w="1082"/>
      </w:tblGrid>
      <w:tr w:rsidR="001E3E7D" w:rsidRPr="00A173E9" w14:paraId="40CA8AD4" w14:textId="77777777" w:rsidTr="008265F0">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4" w:space="0" w:color="002060"/>
              <w:bottom w:val="single" w:sz="8" w:space="0" w:color="FFFFFF" w:themeColor="background1"/>
            </w:tcBorders>
            <w:noWrap/>
            <w:hideMark/>
          </w:tcPr>
          <w:p w14:paraId="4DC09B8F" w14:textId="77777777" w:rsidR="001E3E7D" w:rsidRPr="00A173E9" w:rsidRDefault="001E3E7D" w:rsidP="008265F0">
            <w:pPr>
              <w:rPr>
                <w:rFonts w:ascii="Calibri" w:hAnsi="Calibri" w:cs="Calibri"/>
                <w:color w:val="002060"/>
                <w:sz w:val="18"/>
                <w:szCs w:val="18"/>
                <w:lang w:val="sr-Cyrl-RS"/>
              </w:rPr>
            </w:pPr>
            <w:r w:rsidRPr="00A173E9">
              <w:rPr>
                <w:rFonts w:ascii="Calibri" w:hAnsi="Calibri" w:cs="Calibri"/>
                <w:color w:val="002060"/>
                <w:sz w:val="18"/>
                <w:szCs w:val="18"/>
                <w:lang w:val="sr-Cyrl-RS"/>
              </w:rPr>
              <w:t>Сценарији</w:t>
            </w:r>
          </w:p>
        </w:tc>
        <w:tc>
          <w:tcPr>
            <w:tcW w:w="578" w:type="pct"/>
            <w:tcBorders>
              <w:top w:val="single" w:sz="4" w:space="0" w:color="002060"/>
              <w:bottom w:val="single" w:sz="4" w:space="0" w:color="002060"/>
            </w:tcBorders>
            <w:noWrap/>
            <w:hideMark/>
          </w:tcPr>
          <w:p w14:paraId="711C8A0C"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C1</w:t>
            </w:r>
          </w:p>
        </w:tc>
        <w:tc>
          <w:tcPr>
            <w:tcW w:w="578" w:type="pct"/>
            <w:tcBorders>
              <w:top w:val="single" w:sz="4" w:space="0" w:color="002060"/>
              <w:bottom w:val="single" w:sz="4" w:space="0" w:color="002060"/>
            </w:tcBorders>
            <w:noWrap/>
            <w:hideMark/>
          </w:tcPr>
          <w:p w14:paraId="6EE8EB0A"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C2</w:t>
            </w:r>
          </w:p>
        </w:tc>
        <w:tc>
          <w:tcPr>
            <w:tcW w:w="578" w:type="pct"/>
            <w:tcBorders>
              <w:top w:val="single" w:sz="4" w:space="0" w:color="002060"/>
              <w:bottom w:val="single" w:sz="4" w:space="0" w:color="002060"/>
            </w:tcBorders>
            <w:noWrap/>
            <w:hideMark/>
          </w:tcPr>
          <w:p w14:paraId="788DC20F"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C3</w:t>
            </w:r>
          </w:p>
        </w:tc>
        <w:tc>
          <w:tcPr>
            <w:tcW w:w="578" w:type="pct"/>
            <w:tcBorders>
              <w:top w:val="single" w:sz="4" w:space="0" w:color="002060"/>
              <w:bottom w:val="single" w:sz="4" w:space="0" w:color="002060"/>
            </w:tcBorders>
            <w:noWrap/>
            <w:hideMark/>
          </w:tcPr>
          <w:p w14:paraId="715ABB26" w14:textId="77777777" w:rsidR="001E3E7D" w:rsidRPr="00A173E9" w:rsidRDefault="001E3E7D" w:rsidP="008265F0">
            <w:pPr>
              <w:jc w:val="right"/>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C4</w:t>
            </w:r>
          </w:p>
        </w:tc>
      </w:tr>
      <w:tr w:rsidR="001E3E7D" w:rsidRPr="00A173E9" w14:paraId="4726E085"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single" w:sz="8" w:space="0" w:color="FFFFFF" w:themeColor="background1"/>
              <w:bottom w:val="nil"/>
            </w:tcBorders>
            <w:shd w:val="clear" w:color="auto" w:fill="E7E6E6" w:themeFill="background2"/>
            <w:noWrap/>
            <w:hideMark/>
          </w:tcPr>
          <w:p w14:paraId="353CC1C1"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Основни сценарио</w:t>
            </w:r>
          </w:p>
        </w:tc>
        <w:tc>
          <w:tcPr>
            <w:tcW w:w="578" w:type="pct"/>
            <w:tcBorders>
              <w:top w:val="nil"/>
              <w:bottom w:val="nil"/>
            </w:tcBorders>
            <w:shd w:val="clear" w:color="auto" w:fill="E7E6E6" w:themeFill="background2"/>
            <w:noWrap/>
            <w:hideMark/>
          </w:tcPr>
          <w:p w14:paraId="76E1E1AD"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1,2</w:t>
            </w:r>
          </w:p>
        </w:tc>
        <w:tc>
          <w:tcPr>
            <w:tcW w:w="578" w:type="pct"/>
            <w:tcBorders>
              <w:top w:val="nil"/>
              <w:bottom w:val="nil"/>
            </w:tcBorders>
            <w:shd w:val="clear" w:color="auto" w:fill="E7E6E6" w:themeFill="background2"/>
            <w:noWrap/>
            <w:hideMark/>
          </w:tcPr>
          <w:p w14:paraId="529B9E83"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1,3</w:t>
            </w:r>
          </w:p>
        </w:tc>
        <w:tc>
          <w:tcPr>
            <w:tcW w:w="578" w:type="pct"/>
            <w:tcBorders>
              <w:top w:val="nil"/>
              <w:bottom w:val="nil"/>
            </w:tcBorders>
            <w:shd w:val="clear" w:color="auto" w:fill="E7E6E6" w:themeFill="background2"/>
            <w:noWrap/>
            <w:hideMark/>
          </w:tcPr>
          <w:p w14:paraId="371CDA63"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1,2</w:t>
            </w:r>
          </w:p>
        </w:tc>
        <w:tc>
          <w:tcPr>
            <w:tcW w:w="578" w:type="pct"/>
            <w:tcBorders>
              <w:top w:val="nil"/>
              <w:bottom w:val="nil"/>
            </w:tcBorders>
            <w:shd w:val="clear" w:color="auto" w:fill="E7E6E6" w:themeFill="background2"/>
            <w:noWrap/>
            <w:hideMark/>
          </w:tcPr>
          <w:p w14:paraId="68F2D6CA"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1,5</w:t>
            </w:r>
          </w:p>
        </w:tc>
      </w:tr>
      <w:tr w:rsidR="001E3E7D" w:rsidRPr="00A173E9" w14:paraId="37FD71E8"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39801FB0"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Шок девизног курса (15% све валуте) </w:t>
            </w:r>
          </w:p>
        </w:tc>
        <w:tc>
          <w:tcPr>
            <w:tcW w:w="578" w:type="pct"/>
            <w:tcBorders>
              <w:top w:val="nil"/>
              <w:left w:val="nil"/>
              <w:bottom w:val="nil"/>
              <w:right w:val="nil"/>
            </w:tcBorders>
            <w:noWrap/>
            <w:hideMark/>
          </w:tcPr>
          <w:p w14:paraId="034C86D2"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1,3</w:t>
            </w:r>
          </w:p>
        </w:tc>
        <w:tc>
          <w:tcPr>
            <w:tcW w:w="578" w:type="pct"/>
            <w:tcBorders>
              <w:top w:val="nil"/>
              <w:left w:val="nil"/>
              <w:bottom w:val="nil"/>
              <w:right w:val="nil"/>
            </w:tcBorders>
            <w:noWrap/>
            <w:hideMark/>
          </w:tcPr>
          <w:p w14:paraId="29DCDEA3"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1,4</w:t>
            </w:r>
          </w:p>
        </w:tc>
        <w:tc>
          <w:tcPr>
            <w:tcW w:w="578" w:type="pct"/>
            <w:tcBorders>
              <w:top w:val="nil"/>
              <w:left w:val="nil"/>
              <w:bottom w:val="nil"/>
              <w:right w:val="nil"/>
            </w:tcBorders>
            <w:noWrap/>
            <w:hideMark/>
          </w:tcPr>
          <w:p w14:paraId="1955DD79"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1,3</w:t>
            </w:r>
          </w:p>
        </w:tc>
        <w:tc>
          <w:tcPr>
            <w:tcW w:w="578" w:type="pct"/>
            <w:tcBorders>
              <w:top w:val="nil"/>
              <w:left w:val="nil"/>
              <w:bottom w:val="nil"/>
              <w:right w:val="nil"/>
            </w:tcBorders>
            <w:noWrap/>
            <w:hideMark/>
          </w:tcPr>
          <w:p w14:paraId="0E1E35AA"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1,6</w:t>
            </w:r>
          </w:p>
        </w:tc>
      </w:tr>
      <w:tr w:rsidR="001E3E7D" w:rsidRPr="00A173E9" w14:paraId="1F8EBD91"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11079F23"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Каматни шок (сценарио 1) </w:t>
            </w:r>
          </w:p>
        </w:tc>
        <w:tc>
          <w:tcPr>
            <w:tcW w:w="578" w:type="pct"/>
            <w:tcBorders>
              <w:top w:val="nil"/>
              <w:bottom w:val="nil"/>
            </w:tcBorders>
            <w:shd w:val="clear" w:color="auto" w:fill="E7E6E6" w:themeFill="background2"/>
            <w:noWrap/>
            <w:hideMark/>
          </w:tcPr>
          <w:p w14:paraId="6C70AAA0"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1,6</w:t>
            </w:r>
          </w:p>
        </w:tc>
        <w:tc>
          <w:tcPr>
            <w:tcW w:w="578" w:type="pct"/>
            <w:tcBorders>
              <w:top w:val="nil"/>
              <w:bottom w:val="nil"/>
            </w:tcBorders>
            <w:shd w:val="clear" w:color="auto" w:fill="E7E6E6" w:themeFill="background2"/>
            <w:noWrap/>
            <w:hideMark/>
          </w:tcPr>
          <w:p w14:paraId="394E9CB5"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1,7</w:t>
            </w:r>
          </w:p>
        </w:tc>
        <w:tc>
          <w:tcPr>
            <w:tcW w:w="578" w:type="pct"/>
            <w:tcBorders>
              <w:top w:val="nil"/>
              <w:bottom w:val="nil"/>
            </w:tcBorders>
            <w:shd w:val="clear" w:color="auto" w:fill="E7E6E6" w:themeFill="background2"/>
            <w:noWrap/>
            <w:hideMark/>
          </w:tcPr>
          <w:p w14:paraId="17DEAAD7"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1,6</w:t>
            </w:r>
          </w:p>
        </w:tc>
        <w:tc>
          <w:tcPr>
            <w:tcW w:w="578" w:type="pct"/>
            <w:tcBorders>
              <w:top w:val="nil"/>
              <w:bottom w:val="nil"/>
            </w:tcBorders>
            <w:shd w:val="clear" w:color="auto" w:fill="E7E6E6" w:themeFill="background2"/>
            <w:noWrap/>
            <w:hideMark/>
          </w:tcPr>
          <w:p w14:paraId="544CC0D6"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1,9</w:t>
            </w:r>
          </w:p>
        </w:tc>
      </w:tr>
      <w:tr w:rsidR="001E3E7D" w:rsidRPr="00A173E9" w14:paraId="7007FEDD" w14:textId="77777777" w:rsidTr="008265F0">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nil"/>
              <w:right w:val="nil"/>
            </w:tcBorders>
            <w:noWrap/>
            <w:hideMark/>
          </w:tcPr>
          <w:p w14:paraId="420B25C3"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Каматни шок (сценарио 2)</w:t>
            </w:r>
          </w:p>
        </w:tc>
        <w:tc>
          <w:tcPr>
            <w:tcW w:w="578" w:type="pct"/>
            <w:tcBorders>
              <w:top w:val="nil"/>
              <w:left w:val="nil"/>
              <w:bottom w:val="nil"/>
              <w:right w:val="nil"/>
            </w:tcBorders>
            <w:noWrap/>
            <w:hideMark/>
          </w:tcPr>
          <w:p w14:paraId="40B48B9F"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1,8</w:t>
            </w:r>
          </w:p>
        </w:tc>
        <w:tc>
          <w:tcPr>
            <w:tcW w:w="578" w:type="pct"/>
            <w:tcBorders>
              <w:top w:val="nil"/>
              <w:left w:val="nil"/>
              <w:bottom w:val="nil"/>
              <w:right w:val="nil"/>
            </w:tcBorders>
            <w:noWrap/>
            <w:hideMark/>
          </w:tcPr>
          <w:p w14:paraId="695D2E2C"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1,9</w:t>
            </w:r>
          </w:p>
        </w:tc>
        <w:tc>
          <w:tcPr>
            <w:tcW w:w="578" w:type="pct"/>
            <w:tcBorders>
              <w:top w:val="nil"/>
              <w:left w:val="nil"/>
              <w:bottom w:val="nil"/>
              <w:right w:val="nil"/>
            </w:tcBorders>
            <w:noWrap/>
            <w:hideMark/>
          </w:tcPr>
          <w:p w14:paraId="36C13EE7"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1,8</w:t>
            </w:r>
          </w:p>
        </w:tc>
        <w:tc>
          <w:tcPr>
            <w:tcW w:w="578" w:type="pct"/>
            <w:tcBorders>
              <w:top w:val="nil"/>
              <w:left w:val="nil"/>
              <w:bottom w:val="nil"/>
              <w:right w:val="nil"/>
            </w:tcBorders>
            <w:noWrap/>
            <w:hideMark/>
          </w:tcPr>
          <w:p w14:paraId="2E96F37E"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2,3</w:t>
            </w:r>
          </w:p>
        </w:tc>
      </w:tr>
      <w:tr w:rsidR="001E3E7D" w:rsidRPr="00A173E9" w14:paraId="0F8AA210" w14:textId="77777777" w:rsidTr="0004447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bottom w:val="nil"/>
            </w:tcBorders>
            <w:shd w:val="clear" w:color="auto" w:fill="E7E6E6" w:themeFill="background2"/>
            <w:noWrap/>
            <w:hideMark/>
          </w:tcPr>
          <w:p w14:paraId="7DC9592B"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Комбиновани шок (15% УСД и каматни шок1) </w:t>
            </w:r>
          </w:p>
        </w:tc>
        <w:tc>
          <w:tcPr>
            <w:tcW w:w="578" w:type="pct"/>
            <w:tcBorders>
              <w:top w:val="nil"/>
              <w:bottom w:val="single" w:sz="4" w:space="0" w:color="auto"/>
            </w:tcBorders>
            <w:shd w:val="clear" w:color="auto" w:fill="E7E6E6" w:themeFill="background2"/>
            <w:noWrap/>
            <w:hideMark/>
          </w:tcPr>
          <w:p w14:paraId="306ED49D"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1,6</w:t>
            </w:r>
          </w:p>
        </w:tc>
        <w:tc>
          <w:tcPr>
            <w:tcW w:w="578" w:type="pct"/>
            <w:tcBorders>
              <w:top w:val="nil"/>
              <w:bottom w:val="single" w:sz="4" w:space="0" w:color="auto"/>
            </w:tcBorders>
            <w:shd w:val="clear" w:color="auto" w:fill="E7E6E6" w:themeFill="background2"/>
            <w:noWrap/>
            <w:hideMark/>
          </w:tcPr>
          <w:p w14:paraId="26DF469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1,8</w:t>
            </w:r>
          </w:p>
        </w:tc>
        <w:tc>
          <w:tcPr>
            <w:tcW w:w="578" w:type="pct"/>
            <w:tcBorders>
              <w:top w:val="nil"/>
              <w:bottom w:val="single" w:sz="4" w:space="0" w:color="auto"/>
            </w:tcBorders>
            <w:shd w:val="clear" w:color="auto" w:fill="E7E6E6" w:themeFill="background2"/>
            <w:noWrap/>
            <w:hideMark/>
          </w:tcPr>
          <w:p w14:paraId="5EA46B4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1,6</w:t>
            </w:r>
          </w:p>
        </w:tc>
        <w:tc>
          <w:tcPr>
            <w:tcW w:w="578" w:type="pct"/>
            <w:tcBorders>
              <w:top w:val="nil"/>
              <w:bottom w:val="single" w:sz="4" w:space="0" w:color="auto"/>
            </w:tcBorders>
            <w:shd w:val="clear" w:color="auto" w:fill="E7E6E6" w:themeFill="background2"/>
            <w:noWrap/>
            <w:hideMark/>
          </w:tcPr>
          <w:p w14:paraId="64B504E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2,0</w:t>
            </w:r>
          </w:p>
        </w:tc>
      </w:tr>
      <w:tr w:rsidR="001E3E7D" w:rsidRPr="00A173E9" w14:paraId="13D8E5FD" w14:textId="77777777" w:rsidTr="00645FE5">
        <w:trPr>
          <w:trHeight w:val="253"/>
        </w:trPr>
        <w:tc>
          <w:tcPr>
            <w:cnfStyle w:val="001000000000" w:firstRow="0" w:lastRow="0" w:firstColumn="1" w:lastColumn="0" w:oddVBand="0" w:evenVBand="0" w:oddHBand="0" w:evenHBand="0" w:firstRowFirstColumn="0" w:firstRowLastColumn="0" w:lastRowFirstColumn="0" w:lastRowLastColumn="0"/>
            <w:tcW w:w="2688" w:type="pct"/>
            <w:tcBorders>
              <w:top w:val="nil"/>
              <w:left w:val="nil"/>
              <w:bottom w:val="single" w:sz="4" w:space="0" w:color="002060"/>
              <w:right w:val="nil"/>
            </w:tcBorders>
            <w:noWrap/>
            <w:hideMark/>
          </w:tcPr>
          <w:p w14:paraId="5477E87F"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 Максимални ризик </w:t>
            </w:r>
          </w:p>
        </w:tc>
        <w:tc>
          <w:tcPr>
            <w:tcW w:w="578" w:type="pct"/>
            <w:tcBorders>
              <w:top w:val="single" w:sz="4" w:space="0" w:color="auto"/>
              <w:left w:val="nil"/>
              <w:bottom w:val="single" w:sz="4" w:space="0" w:color="002060"/>
              <w:right w:val="nil"/>
            </w:tcBorders>
            <w:noWrap/>
            <w:hideMark/>
          </w:tcPr>
          <w:p w14:paraId="171F422E"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0,6</w:t>
            </w:r>
          </w:p>
        </w:tc>
        <w:tc>
          <w:tcPr>
            <w:tcW w:w="578" w:type="pct"/>
            <w:tcBorders>
              <w:top w:val="single" w:sz="4" w:space="0" w:color="auto"/>
              <w:left w:val="nil"/>
              <w:bottom w:val="single" w:sz="4" w:space="0" w:color="002060"/>
              <w:right w:val="nil"/>
            </w:tcBorders>
            <w:noWrap/>
            <w:hideMark/>
          </w:tcPr>
          <w:p w14:paraId="253AA3B9"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0,6</w:t>
            </w:r>
          </w:p>
        </w:tc>
        <w:tc>
          <w:tcPr>
            <w:tcW w:w="578" w:type="pct"/>
            <w:tcBorders>
              <w:top w:val="single" w:sz="4" w:space="0" w:color="auto"/>
              <w:left w:val="nil"/>
              <w:bottom w:val="single" w:sz="4" w:space="0" w:color="002060"/>
              <w:right w:val="nil"/>
            </w:tcBorders>
            <w:noWrap/>
            <w:hideMark/>
          </w:tcPr>
          <w:p w14:paraId="55A7AED9"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0,6</w:t>
            </w:r>
          </w:p>
        </w:tc>
        <w:tc>
          <w:tcPr>
            <w:tcW w:w="578" w:type="pct"/>
            <w:tcBorders>
              <w:top w:val="single" w:sz="4" w:space="0" w:color="auto"/>
              <w:left w:val="nil"/>
              <w:bottom w:val="single" w:sz="4" w:space="0" w:color="002060"/>
              <w:right w:val="nil"/>
            </w:tcBorders>
            <w:noWrap/>
            <w:hideMark/>
          </w:tcPr>
          <w:p w14:paraId="1CEB8EFB"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0,7</w:t>
            </w:r>
          </w:p>
        </w:tc>
      </w:tr>
    </w:tbl>
    <w:p w14:paraId="02FBD43C" w14:textId="77777777" w:rsidR="001E3E7D" w:rsidRPr="00A173E9" w:rsidRDefault="001E3E7D" w:rsidP="008265F0">
      <w:pPr>
        <w:spacing w:after="60" w:line="276" w:lineRule="auto"/>
        <w:rPr>
          <w:rFonts w:ascii="Calibri" w:eastAsia="Calibri" w:hAnsi="Calibri" w:cs="Calibri"/>
          <w:bCs/>
          <w:szCs w:val="72"/>
          <w:lang w:val="sr-Cyrl-RS"/>
        </w:rPr>
      </w:pPr>
    </w:p>
    <w:p w14:paraId="1209B38D" w14:textId="77777777" w:rsidR="001E3E7D" w:rsidRPr="00A173E9" w:rsidRDefault="001E3E7D" w:rsidP="008265F0">
      <w:pPr>
        <w:spacing w:after="0" w:line="276" w:lineRule="auto"/>
        <w:jc w:val="left"/>
        <w:rPr>
          <w:rFonts w:ascii="Calibri" w:eastAsia="Calibri" w:hAnsi="Calibri" w:cs="Calibri"/>
          <w:bCs/>
          <w:szCs w:val="72"/>
          <w:lang w:val="sr-Cyrl-RS"/>
        </w:rPr>
        <w:sectPr w:rsidR="001E3E7D" w:rsidRPr="00A173E9">
          <w:type w:val="continuous"/>
          <w:pgSz w:w="12240" w:h="15840"/>
          <w:pgMar w:top="1440" w:right="1440" w:bottom="1440" w:left="1440" w:header="720" w:footer="720" w:gutter="0"/>
          <w:cols w:space="720"/>
        </w:sectPr>
      </w:pPr>
    </w:p>
    <w:p w14:paraId="1939F315"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Calibri"/>
          <w:bCs/>
          <w:szCs w:val="72"/>
          <w:lang w:val="sr-Cyrl-RS"/>
        </w:rPr>
        <w:t xml:space="preserve">Наредна табела приказује кретања основних параметара јавног дуга по основу све четири </w:t>
      </w:r>
      <w:r w:rsidRPr="00A173E9">
        <w:rPr>
          <w:rFonts w:ascii="Calibri" w:eastAsia="Calibri" w:hAnsi="Calibri" w:cs="Calibri"/>
          <w:bCs/>
          <w:szCs w:val="72"/>
          <w:lang w:val="sr-Cyrl-RS"/>
        </w:rPr>
        <w:t>разматране стратегије, што осликава горе поменуте карактеристике сваке стратегије:</w:t>
      </w:r>
    </w:p>
    <w:p w14:paraId="5F2F225A" w14:textId="77777777" w:rsidR="001E3E7D" w:rsidRPr="00A173E9" w:rsidRDefault="001E3E7D" w:rsidP="008265F0">
      <w:pPr>
        <w:spacing w:after="0" w:line="256" w:lineRule="auto"/>
        <w:jc w:val="left"/>
        <w:rPr>
          <w:rFonts w:ascii="Calibri" w:eastAsia="Calibri" w:hAnsi="Calibri" w:cs="Times New Roman"/>
          <w:b/>
          <w:color w:val="002060"/>
          <w:lang w:val="sr-Cyrl-RS"/>
        </w:rPr>
        <w:sectPr w:rsidR="001E3E7D" w:rsidRPr="00A173E9">
          <w:type w:val="continuous"/>
          <w:pgSz w:w="12240" w:h="15840"/>
          <w:pgMar w:top="1440" w:right="1440" w:bottom="1440" w:left="1440" w:header="720" w:footer="720" w:gutter="0"/>
          <w:cols w:num="2" w:space="720"/>
        </w:sectPr>
      </w:pPr>
    </w:p>
    <w:p w14:paraId="2E45B99A"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 xml:space="preserve">Табела </w:t>
      </w:r>
      <w:r w:rsidR="00FA5A89">
        <w:rPr>
          <w:rFonts w:ascii="Calibri" w:eastAsia="Calibri" w:hAnsi="Calibri" w:cs="Times New Roman"/>
          <w:b/>
          <w:color w:val="002060"/>
          <w:lang w:val="sr-Latn-RS"/>
        </w:rPr>
        <w:t>30</w:t>
      </w:r>
      <w:r w:rsidRPr="00A173E9">
        <w:rPr>
          <w:rFonts w:ascii="Calibri" w:eastAsia="Calibri" w:hAnsi="Calibri" w:cs="Times New Roman"/>
          <w:b/>
          <w:color w:val="002060"/>
          <w:lang w:val="sr-Cyrl-RS"/>
        </w:rPr>
        <w:t>. Индикатори ризика за алтернативне стратегије на крају 2024. године</w:t>
      </w:r>
    </w:p>
    <w:tbl>
      <w:tblPr>
        <w:tblStyle w:val="LightShading-Accent1222"/>
        <w:tblW w:w="5000" w:type="pct"/>
        <w:tblInd w:w="0" w:type="dxa"/>
        <w:tblLook w:val="04A0" w:firstRow="1" w:lastRow="0" w:firstColumn="1" w:lastColumn="0" w:noHBand="0" w:noVBand="1"/>
      </w:tblPr>
      <w:tblGrid>
        <w:gridCol w:w="2950"/>
        <w:gridCol w:w="3664"/>
        <w:gridCol w:w="685"/>
        <w:gridCol w:w="687"/>
        <w:gridCol w:w="685"/>
        <w:gridCol w:w="689"/>
      </w:tblGrid>
      <w:tr w:rsidR="001E3E7D" w:rsidRPr="00A173E9" w14:paraId="40E65932" w14:textId="77777777" w:rsidTr="008265F0">
        <w:trPr>
          <w:cnfStyle w:val="100000000000" w:firstRow="1" w:lastRow="0" w:firstColumn="0" w:lastColumn="0" w:oddVBand="0" w:evenVBand="0" w:oddHBand="0"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single" w:sz="4" w:space="0" w:color="002060"/>
              <w:bottom w:val="nil"/>
            </w:tcBorders>
            <w:noWrap/>
            <w:hideMark/>
          </w:tcPr>
          <w:p w14:paraId="43EE19CB" w14:textId="77777777" w:rsidR="001E3E7D" w:rsidRPr="00A173E9" w:rsidRDefault="001E3E7D" w:rsidP="008265F0">
            <w:pPr>
              <w:spacing w:line="256" w:lineRule="auto"/>
              <w:rPr>
                <w:rFonts w:ascii="Calibri" w:hAnsi="Calibri"/>
                <w:color w:val="002060"/>
                <w:lang w:val="sr-Cyrl-RS"/>
              </w:rPr>
            </w:pPr>
          </w:p>
        </w:tc>
        <w:tc>
          <w:tcPr>
            <w:tcW w:w="1957" w:type="pct"/>
            <w:tcBorders>
              <w:top w:val="single" w:sz="4" w:space="0" w:color="002060"/>
              <w:bottom w:val="single" w:sz="4" w:space="0" w:color="auto"/>
            </w:tcBorders>
          </w:tcPr>
          <w:p w14:paraId="20605A36" w14:textId="77777777" w:rsidR="001E3E7D" w:rsidRPr="00A173E9" w:rsidRDefault="001E3E7D" w:rsidP="008265F0">
            <w:pP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p>
        </w:tc>
        <w:tc>
          <w:tcPr>
            <w:tcW w:w="1467" w:type="pct"/>
            <w:gridSpan w:val="4"/>
            <w:tcBorders>
              <w:top w:val="single" w:sz="4" w:space="0" w:color="002060"/>
              <w:bottom w:val="single" w:sz="4" w:space="0" w:color="auto"/>
            </w:tcBorders>
            <w:noWrap/>
            <w:hideMark/>
          </w:tcPr>
          <w:p w14:paraId="2B719ED0" w14:textId="77777777" w:rsidR="001E3E7D" w:rsidRPr="00A173E9" w:rsidRDefault="001E3E7D" w:rsidP="008265F0">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C1</w:t>
            </w:r>
            <w:r w:rsidRPr="00A173E9">
              <w:rPr>
                <w:rFonts w:ascii="Calibri" w:hAnsi="Calibri" w:cs="Calibri"/>
                <w:color w:val="002060"/>
                <w:sz w:val="18"/>
                <w:szCs w:val="18"/>
                <w:lang w:val="sr-Cyrl-RS"/>
              </w:rPr>
              <w:tab/>
              <w:t>C2</w:t>
            </w:r>
            <w:r w:rsidRPr="00A173E9">
              <w:rPr>
                <w:rFonts w:ascii="Calibri" w:hAnsi="Calibri" w:cs="Calibri"/>
                <w:color w:val="002060"/>
                <w:sz w:val="18"/>
                <w:szCs w:val="18"/>
                <w:lang w:val="sr-Cyrl-RS"/>
              </w:rPr>
              <w:tab/>
              <w:t>C3</w:t>
            </w:r>
            <w:r w:rsidRPr="00A173E9">
              <w:rPr>
                <w:rFonts w:ascii="Calibri" w:hAnsi="Calibri" w:cs="Calibri"/>
                <w:color w:val="002060"/>
                <w:sz w:val="18"/>
                <w:szCs w:val="18"/>
                <w:lang w:val="sr-Cyrl-RS"/>
              </w:rPr>
              <w:tab/>
              <w:t>C4</w:t>
            </w:r>
          </w:p>
        </w:tc>
      </w:tr>
      <w:tr w:rsidR="001E3E7D" w:rsidRPr="00A173E9" w14:paraId="3A9AA18B" w14:textId="77777777" w:rsidTr="0004447C">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nil"/>
              <w:bottom w:val="nil"/>
            </w:tcBorders>
            <w:shd w:val="clear" w:color="auto" w:fill="E7E6E6" w:themeFill="background2"/>
            <w:noWrap/>
            <w:hideMark/>
          </w:tcPr>
          <w:p w14:paraId="5FF89F84"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Номинални дуг (% БДП)</w:t>
            </w:r>
          </w:p>
        </w:tc>
        <w:tc>
          <w:tcPr>
            <w:tcW w:w="1957" w:type="pct"/>
            <w:tcBorders>
              <w:top w:val="single" w:sz="4" w:space="0" w:color="auto"/>
              <w:bottom w:val="nil"/>
            </w:tcBorders>
            <w:shd w:val="clear" w:color="auto" w:fill="E7E6E6" w:themeFill="background2"/>
            <w:noWrap/>
            <w:hideMark/>
          </w:tcPr>
          <w:p w14:paraId="600C6850" w14:textId="77777777" w:rsidR="001E3E7D" w:rsidRPr="00A173E9" w:rsidRDefault="001E3E7D" w:rsidP="008265F0">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 </w:t>
            </w:r>
          </w:p>
        </w:tc>
        <w:tc>
          <w:tcPr>
            <w:tcW w:w="366" w:type="pct"/>
            <w:tcBorders>
              <w:top w:val="single" w:sz="4" w:space="0" w:color="auto"/>
              <w:bottom w:val="nil"/>
            </w:tcBorders>
            <w:shd w:val="clear" w:color="auto" w:fill="E7E6E6" w:themeFill="background2"/>
            <w:noWrap/>
            <w:vAlign w:val="bottom"/>
            <w:hideMark/>
          </w:tcPr>
          <w:p w14:paraId="570AAB57"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53,2</w:t>
            </w:r>
          </w:p>
        </w:tc>
        <w:tc>
          <w:tcPr>
            <w:tcW w:w="367" w:type="pct"/>
            <w:tcBorders>
              <w:top w:val="single" w:sz="4" w:space="0" w:color="auto"/>
              <w:bottom w:val="nil"/>
            </w:tcBorders>
            <w:shd w:val="clear" w:color="auto" w:fill="E7E6E6" w:themeFill="background2"/>
            <w:noWrap/>
            <w:vAlign w:val="bottom"/>
            <w:hideMark/>
          </w:tcPr>
          <w:p w14:paraId="4F5C001F"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53,4</w:t>
            </w:r>
          </w:p>
        </w:tc>
        <w:tc>
          <w:tcPr>
            <w:tcW w:w="366" w:type="pct"/>
            <w:tcBorders>
              <w:top w:val="single" w:sz="4" w:space="0" w:color="auto"/>
              <w:bottom w:val="nil"/>
            </w:tcBorders>
            <w:shd w:val="clear" w:color="auto" w:fill="E7E6E6" w:themeFill="background2"/>
            <w:noWrap/>
            <w:vAlign w:val="bottom"/>
            <w:hideMark/>
          </w:tcPr>
          <w:p w14:paraId="177D8519"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53,2</w:t>
            </w:r>
          </w:p>
        </w:tc>
        <w:tc>
          <w:tcPr>
            <w:tcW w:w="368" w:type="pct"/>
            <w:tcBorders>
              <w:top w:val="single" w:sz="4" w:space="0" w:color="auto"/>
              <w:bottom w:val="nil"/>
            </w:tcBorders>
            <w:shd w:val="clear" w:color="auto" w:fill="E7E6E6" w:themeFill="background2"/>
            <w:noWrap/>
            <w:vAlign w:val="bottom"/>
            <w:hideMark/>
          </w:tcPr>
          <w:p w14:paraId="4567CFC5"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53,5</w:t>
            </w:r>
          </w:p>
        </w:tc>
      </w:tr>
      <w:tr w:rsidR="001E3E7D" w:rsidRPr="00A173E9" w14:paraId="0A47739B" w14:textId="77777777" w:rsidTr="008265F0">
        <w:trPr>
          <w:trHeight w:hRule="exact" w:val="269"/>
        </w:trPr>
        <w:tc>
          <w:tcPr>
            <w:cnfStyle w:val="001000000000" w:firstRow="0" w:lastRow="0" w:firstColumn="1" w:lastColumn="0" w:oddVBand="0" w:evenVBand="0" w:oddHBand="0" w:evenHBand="0" w:firstRowFirstColumn="0" w:firstRowLastColumn="0" w:lastRowFirstColumn="0" w:lastRowLastColumn="0"/>
            <w:tcW w:w="3533" w:type="pct"/>
            <w:gridSpan w:val="2"/>
            <w:tcBorders>
              <w:top w:val="nil"/>
              <w:left w:val="nil"/>
              <w:bottom w:val="nil"/>
              <w:right w:val="nil"/>
            </w:tcBorders>
            <w:noWrap/>
            <w:hideMark/>
          </w:tcPr>
          <w:p w14:paraId="59341754"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Примењена каматна стопа (%)</w:t>
            </w:r>
          </w:p>
        </w:tc>
        <w:tc>
          <w:tcPr>
            <w:tcW w:w="366" w:type="pct"/>
            <w:tcBorders>
              <w:top w:val="nil"/>
              <w:left w:val="nil"/>
              <w:bottom w:val="nil"/>
              <w:right w:val="nil"/>
            </w:tcBorders>
            <w:noWrap/>
            <w:vAlign w:val="bottom"/>
            <w:hideMark/>
          </w:tcPr>
          <w:p w14:paraId="3E6FD672"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2,4</w:t>
            </w:r>
          </w:p>
        </w:tc>
        <w:tc>
          <w:tcPr>
            <w:tcW w:w="367" w:type="pct"/>
            <w:tcBorders>
              <w:top w:val="nil"/>
              <w:left w:val="nil"/>
              <w:bottom w:val="nil"/>
              <w:right w:val="nil"/>
            </w:tcBorders>
            <w:noWrap/>
            <w:vAlign w:val="bottom"/>
            <w:hideMark/>
          </w:tcPr>
          <w:p w14:paraId="6382A097"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2,5</w:t>
            </w:r>
          </w:p>
        </w:tc>
        <w:tc>
          <w:tcPr>
            <w:tcW w:w="366" w:type="pct"/>
            <w:tcBorders>
              <w:top w:val="nil"/>
              <w:left w:val="nil"/>
              <w:bottom w:val="nil"/>
              <w:right w:val="nil"/>
            </w:tcBorders>
            <w:noWrap/>
            <w:vAlign w:val="bottom"/>
            <w:hideMark/>
          </w:tcPr>
          <w:p w14:paraId="25579E2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2,3</w:t>
            </w:r>
          </w:p>
        </w:tc>
        <w:tc>
          <w:tcPr>
            <w:tcW w:w="368" w:type="pct"/>
            <w:tcBorders>
              <w:top w:val="nil"/>
              <w:left w:val="nil"/>
              <w:bottom w:val="nil"/>
              <w:right w:val="nil"/>
            </w:tcBorders>
            <w:noWrap/>
            <w:vAlign w:val="bottom"/>
            <w:hideMark/>
          </w:tcPr>
          <w:p w14:paraId="2D5AAA63"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2,9</w:t>
            </w:r>
          </w:p>
        </w:tc>
      </w:tr>
      <w:tr w:rsidR="001E3E7D" w:rsidRPr="00A173E9" w14:paraId="4759CC8D" w14:textId="77777777" w:rsidTr="0004447C">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nil"/>
              <w:bottom w:val="single" w:sz="4" w:space="0" w:color="002060"/>
            </w:tcBorders>
            <w:shd w:val="clear" w:color="auto" w:fill="E7E6E6" w:themeFill="background2"/>
            <w:noWrap/>
            <w:hideMark/>
          </w:tcPr>
          <w:p w14:paraId="722ABA67"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Ризик</w:t>
            </w:r>
          </w:p>
          <w:p w14:paraId="6C3DEAFD"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рефинансирања</w:t>
            </w:r>
          </w:p>
        </w:tc>
        <w:tc>
          <w:tcPr>
            <w:tcW w:w="1957" w:type="pct"/>
            <w:tcBorders>
              <w:top w:val="nil"/>
              <w:bottom w:val="nil"/>
            </w:tcBorders>
            <w:shd w:val="clear" w:color="auto" w:fill="E7E6E6" w:themeFill="background2"/>
            <w:noWrap/>
            <w:hideMark/>
          </w:tcPr>
          <w:p w14:paraId="1E6CE991" w14:textId="77777777" w:rsidR="001E3E7D" w:rsidRPr="00A173E9" w:rsidRDefault="001E3E7D" w:rsidP="008265F0">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ATM</w:t>
            </w:r>
            <w:r w:rsidRPr="00A173E9">
              <w:rPr>
                <w:rFonts w:ascii="Calibri" w:hAnsi="Calibri" w:cs="Calibri"/>
                <w:color w:val="002060"/>
                <w:sz w:val="18"/>
                <w:szCs w:val="18"/>
                <w:vertAlign w:val="superscript"/>
                <w:lang w:val="sr-Cyrl-RS"/>
              </w:rPr>
              <w:footnoteReference w:id="14"/>
            </w:r>
            <w:r w:rsidRPr="00A173E9">
              <w:rPr>
                <w:rFonts w:ascii="Calibri" w:hAnsi="Calibri" w:cs="Calibri"/>
                <w:color w:val="002060"/>
                <w:sz w:val="18"/>
                <w:szCs w:val="18"/>
                <w:lang w:val="sr-Cyrl-RS"/>
              </w:rPr>
              <w:t xml:space="preserve"> спољни портфолио (у годинама)</w:t>
            </w:r>
          </w:p>
        </w:tc>
        <w:tc>
          <w:tcPr>
            <w:tcW w:w="366" w:type="pct"/>
            <w:tcBorders>
              <w:top w:val="nil"/>
              <w:bottom w:val="nil"/>
            </w:tcBorders>
            <w:shd w:val="clear" w:color="auto" w:fill="E7E6E6" w:themeFill="background2"/>
            <w:noWrap/>
            <w:vAlign w:val="bottom"/>
            <w:hideMark/>
          </w:tcPr>
          <w:p w14:paraId="53492AAE"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7,9</w:t>
            </w:r>
          </w:p>
        </w:tc>
        <w:tc>
          <w:tcPr>
            <w:tcW w:w="367" w:type="pct"/>
            <w:tcBorders>
              <w:top w:val="nil"/>
              <w:bottom w:val="nil"/>
            </w:tcBorders>
            <w:shd w:val="clear" w:color="auto" w:fill="E7E6E6" w:themeFill="background2"/>
            <w:noWrap/>
            <w:vAlign w:val="bottom"/>
            <w:hideMark/>
          </w:tcPr>
          <w:p w14:paraId="38F7283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8,9</w:t>
            </w:r>
          </w:p>
        </w:tc>
        <w:tc>
          <w:tcPr>
            <w:tcW w:w="366" w:type="pct"/>
            <w:tcBorders>
              <w:top w:val="nil"/>
              <w:bottom w:val="nil"/>
            </w:tcBorders>
            <w:shd w:val="clear" w:color="auto" w:fill="E7E6E6" w:themeFill="background2"/>
            <w:noWrap/>
            <w:vAlign w:val="bottom"/>
            <w:hideMark/>
          </w:tcPr>
          <w:p w14:paraId="7CCF4329"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9,1</w:t>
            </w:r>
          </w:p>
        </w:tc>
        <w:tc>
          <w:tcPr>
            <w:tcW w:w="368" w:type="pct"/>
            <w:tcBorders>
              <w:top w:val="nil"/>
              <w:bottom w:val="nil"/>
            </w:tcBorders>
            <w:shd w:val="clear" w:color="auto" w:fill="E7E6E6" w:themeFill="background2"/>
            <w:noWrap/>
            <w:vAlign w:val="bottom"/>
            <w:hideMark/>
          </w:tcPr>
          <w:p w14:paraId="36507308"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7,1</w:t>
            </w:r>
          </w:p>
        </w:tc>
      </w:tr>
      <w:tr w:rsidR="001E3E7D" w:rsidRPr="00A173E9" w14:paraId="3D45A475" w14:textId="77777777" w:rsidTr="008265F0">
        <w:trPr>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nil"/>
              <w:left w:val="nil"/>
              <w:bottom w:val="single" w:sz="4" w:space="0" w:color="002060"/>
              <w:right w:val="nil"/>
            </w:tcBorders>
            <w:vAlign w:val="center"/>
            <w:hideMark/>
          </w:tcPr>
          <w:p w14:paraId="5B092479" w14:textId="77777777" w:rsidR="001E3E7D" w:rsidRPr="00A173E9" w:rsidRDefault="001E3E7D" w:rsidP="008265F0">
            <w:pPr>
              <w:jc w:val="left"/>
              <w:rPr>
                <w:rFonts w:ascii="Calibri" w:hAnsi="Calibri" w:cs="Calibri"/>
                <w:color w:val="002060"/>
                <w:sz w:val="18"/>
                <w:szCs w:val="18"/>
                <w:lang w:val="sr-Cyrl-RS"/>
              </w:rPr>
            </w:pPr>
          </w:p>
        </w:tc>
        <w:tc>
          <w:tcPr>
            <w:tcW w:w="1957" w:type="pct"/>
            <w:tcBorders>
              <w:top w:val="nil"/>
              <w:left w:val="nil"/>
              <w:bottom w:val="nil"/>
              <w:right w:val="nil"/>
            </w:tcBorders>
            <w:noWrap/>
            <w:hideMark/>
          </w:tcPr>
          <w:p w14:paraId="08C91B57" w14:textId="77777777" w:rsidR="001E3E7D" w:rsidRPr="00A173E9" w:rsidRDefault="001E3E7D" w:rsidP="008265F0">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RS"/>
              </w:rPr>
            </w:pPr>
            <w:r w:rsidRPr="00A173E9">
              <w:rPr>
                <w:rFonts w:ascii="Calibri" w:hAnsi="Calibri" w:cs="Calibri"/>
                <w:bCs/>
                <w:color w:val="002060"/>
                <w:sz w:val="18"/>
                <w:szCs w:val="18"/>
                <w:lang w:val="sr-Cyrl-RS"/>
              </w:rPr>
              <w:t>ATM домаћи портфолио (у годинама)</w:t>
            </w:r>
          </w:p>
        </w:tc>
        <w:tc>
          <w:tcPr>
            <w:tcW w:w="366" w:type="pct"/>
            <w:tcBorders>
              <w:top w:val="nil"/>
              <w:left w:val="nil"/>
              <w:bottom w:val="nil"/>
              <w:right w:val="nil"/>
            </w:tcBorders>
            <w:noWrap/>
            <w:vAlign w:val="bottom"/>
            <w:hideMark/>
          </w:tcPr>
          <w:p w14:paraId="262A82DE"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5,5</w:t>
            </w:r>
          </w:p>
        </w:tc>
        <w:tc>
          <w:tcPr>
            <w:tcW w:w="367" w:type="pct"/>
            <w:tcBorders>
              <w:top w:val="nil"/>
              <w:left w:val="nil"/>
              <w:bottom w:val="nil"/>
              <w:right w:val="nil"/>
            </w:tcBorders>
            <w:noWrap/>
            <w:vAlign w:val="bottom"/>
            <w:hideMark/>
          </w:tcPr>
          <w:p w14:paraId="47EB433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4,2</w:t>
            </w:r>
          </w:p>
        </w:tc>
        <w:tc>
          <w:tcPr>
            <w:tcW w:w="366" w:type="pct"/>
            <w:tcBorders>
              <w:top w:val="nil"/>
              <w:left w:val="nil"/>
              <w:bottom w:val="nil"/>
              <w:right w:val="nil"/>
            </w:tcBorders>
            <w:noWrap/>
            <w:vAlign w:val="bottom"/>
            <w:hideMark/>
          </w:tcPr>
          <w:p w14:paraId="277E29D0"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4,2</w:t>
            </w:r>
          </w:p>
        </w:tc>
        <w:tc>
          <w:tcPr>
            <w:tcW w:w="368" w:type="pct"/>
            <w:tcBorders>
              <w:top w:val="nil"/>
              <w:left w:val="nil"/>
              <w:bottom w:val="nil"/>
              <w:right w:val="nil"/>
            </w:tcBorders>
            <w:noWrap/>
            <w:vAlign w:val="bottom"/>
            <w:hideMark/>
          </w:tcPr>
          <w:p w14:paraId="2E16D712"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7,9</w:t>
            </w:r>
          </w:p>
        </w:tc>
      </w:tr>
      <w:tr w:rsidR="001E3E7D" w:rsidRPr="00A173E9" w14:paraId="296A7F5D" w14:textId="77777777" w:rsidTr="0004447C">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nil"/>
              <w:bottom w:val="single" w:sz="4" w:space="0" w:color="002060"/>
            </w:tcBorders>
            <w:vAlign w:val="center"/>
            <w:hideMark/>
          </w:tcPr>
          <w:p w14:paraId="33C2EAF4" w14:textId="77777777" w:rsidR="001E3E7D" w:rsidRPr="00A173E9" w:rsidRDefault="001E3E7D" w:rsidP="008265F0">
            <w:pPr>
              <w:jc w:val="left"/>
              <w:rPr>
                <w:rFonts w:ascii="Calibri" w:hAnsi="Calibri" w:cs="Calibri"/>
                <w:color w:val="002060"/>
                <w:sz w:val="18"/>
                <w:szCs w:val="18"/>
                <w:lang w:val="sr-Cyrl-RS"/>
              </w:rPr>
            </w:pPr>
          </w:p>
        </w:tc>
        <w:tc>
          <w:tcPr>
            <w:tcW w:w="1957" w:type="pct"/>
            <w:tcBorders>
              <w:top w:val="nil"/>
              <w:bottom w:val="single" w:sz="4" w:space="0" w:color="auto"/>
            </w:tcBorders>
            <w:shd w:val="clear" w:color="auto" w:fill="E7E6E6" w:themeFill="background2"/>
            <w:noWrap/>
            <w:hideMark/>
          </w:tcPr>
          <w:p w14:paraId="57BC734C" w14:textId="77777777" w:rsidR="001E3E7D" w:rsidRPr="00A173E9" w:rsidRDefault="001E3E7D" w:rsidP="008265F0">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ATM укупан портфолио (у годинама)</w:t>
            </w:r>
          </w:p>
        </w:tc>
        <w:tc>
          <w:tcPr>
            <w:tcW w:w="366" w:type="pct"/>
            <w:tcBorders>
              <w:top w:val="nil"/>
              <w:bottom w:val="single" w:sz="4" w:space="0" w:color="auto"/>
            </w:tcBorders>
            <w:shd w:val="clear" w:color="auto" w:fill="E7E6E6" w:themeFill="background2"/>
            <w:noWrap/>
            <w:vAlign w:val="bottom"/>
            <w:hideMark/>
          </w:tcPr>
          <w:p w14:paraId="73A01095"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7,3</w:t>
            </w:r>
          </w:p>
        </w:tc>
        <w:tc>
          <w:tcPr>
            <w:tcW w:w="367" w:type="pct"/>
            <w:tcBorders>
              <w:top w:val="nil"/>
              <w:bottom w:val="single" w:sz="4" w:space="0" w:color="auto"/>
            </w:tcBorders>
            <w:shd w:val="clear" w:color="auto" w:fill="E7E6E6" w:themeFill="background2"/>
            <w:noWrap/>
            <w:vAlign w:val="bottom"/>
            <w:hideMark/>
          </w:tcPr>
          <w:p w14:paraId="5EA92C7F"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8,2</w:t>
            </w:r>
          </w:p>
        </w:tc>
        <w:tc>
          <w:tcPr>
            <w:tcW w:w="366" w:type="pct"/>
            <w:tcBorders>
              <w:top w:val="nil"/>
              <w:bottom w:val="single" w:sz="4" w:space="0" w:color="auto"/>
            </w:tcBorders>
            <w:shd w:val="clear" w:color="auto" w:fill="E7E6E6" w:themeFill="background2"/>
            <w:noWrap/>
            <w:vAlign w:val="bottom"/>
            <w:hideMark/>
          </w:tcPr>
          <w:p w14:paraId="1B1CF475"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8,4</w:t>
            </w:r>
          </w:p>
        </w:tc>
        <w:tc>
          <w:tcPr>
            <w:tcW w:w="368" w:type="pct"/>
            <w:tcBorders>
              <w:top w:val="nil"/>
              <w:bottom w:val="single" w:sz="4" w:space="0" w:color="auto"/>
            </w:tcBorders>
            <w:shd w:val="clear" w:color="auto" w:fill="E7E6E6" w:themeFill="background2"/>
            <w:noWrap/>
            <w:vAlign w:val="bottom"/>
            <w:hideMark/>
          </w:tcPr>
          <w:p w14:paraId="40DAEAB2"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7,5</w:t>
            </w:r>
          </w:p>
        </w:tc>
      </w:tr>
      <w:tr w:rsidR="001E3E7D" w:rsidRPr="00A173E9" w14:paraId="4A759DBD" w14:textId="77777777" w:rsidTr="008265F0">
        <w:trPr>
          <w:trHeight w:hRule="exact" w:val="269"/>
        </w:trPr>
        <w:tc>
          <w:tcPr>
            <w:cnfStyle w:val="001000000000" w:firstRow="0" w:lastRow="0" w:firstColumn="1" w:lastColumn="0" w:oddVBand="0" w:evenVBand="0" w:oddHBand="0" w:evenHBand="0" w:firstRowFirstColumn="0" w:firstRowLastColumn="0" w:lastRowFirstColumn="0" w:lastRowLastColumn="0"/>
            <w:tcW w:w="1576" w:type="pct"/>
            <w:vMerge w:val="restart"/>
            <w:tcBorders>
              <w:top w:val="single" w:sz="4" w:space="0" w:color="002060"/>
              <w:left w:val="nil"/>
              <w:bottom w:val="nil"/>
              <w:right w:val="nil"/>
            </w:tcBorders>
            <w:noWrap/>
            <w:hideMark/>
          </w:tcPr>
          <w:p w14:paraId="75A4DE4F"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Ризик каматних стопа</w:t>
            </w:r>
          </w:p>
        </w:tc>
        <w:tc>
          <w:tcPr>
            <w:tcW w:w="1957" w:type="pct"/>
            <w:tcBorders>
              <w:top w:val="single" w:sz="4" w:space="0" w:color="auto"/>
              <w:left w:val="nil"/>
              <w:bottom w:val="nil"/>
              <w:right w:val="nil"/>
            </w:tcBorders>
            <w:noWrap/>
            <w:hideMark/>
          </w:tcPr>
          <w:p w14:paraId="50F1807F" w14:textId="77777777" w:rsidR="001E3E7D" w:rsidRPr="00A173E9" w:rsidRDefault="001E3E7D" w:rsidP="008265F0">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RS"/>
              </w:rPr>
            </w:pPr>
            <w:r w:rsidRPr="00A173E9">
              <w:rPr>
                <w:rFonts w:ascii="Calibri" w:hAnsi="Calibri" w:cs="Calibri"/>
                <w:bCs/>
                <w:color w:val="002060"/>
                <w:sz w:val="18"/>
                <w:szCs w:val="18"/>
                <w:lang w:val="sr-Cyrl-RS"/>
              </w:rPr>
              <w:t>АТR</w:t>
            </w:r>
            <w:r w:rsidRPr="00A173E9">
              <w:rPr>
                <w:rFonts w:ascii="Calibri" w:hAnsi="Calibri" w:cs="Calibri"/>
                <w:bCs/>
                <w:color w:val="002060"/>
                <w:sz w:val="18"/>
                <w:szCs w:val="18"/>
                <w:vertAlign w:val="superscript"/>
                <w:lang w:val="sr-Cyrl-RS"/>
              </w:rPr>
              <w:footnoteReference w:id="15"/>
            </w:r>
            <w:r w:rsidRPr="00A173E9">
              <w:rPr>
                <w:rFonts w:ascii="Calibri" w:hAnsi="Calibri" w:cs="Calibri"/>
                <w:bCs/>
                <w:color w:val="002060"/>
                <w:sz w:val="18"/>
                <w:szCs w:val="18"/>
                <w:lang w:val="sr-Cyrl-RS"/>
              </w:rPr>
              <w:t xml:space="preserve"> (у годинама)</w:t>
            </w:r>
          </w:p>
        </w:tc>
        <w:tc>
          <w:tcPr>
            <w:tcW w:w="366" w:type="pct"/>
            <w:tcBorders>
              <w:top w:val="single" w:sz="4" w:space="0" w:color="auto"/>
              <w:left w:val="nil"/>
              <w:bottom w:val="nil"/>
              <w:right w:val="nil"/>
            </w:tcBorders>
            <w:noWrap/>
            <w:vAlign w:val="bottom"/>
            <w:hideMark/>
          </w:tcPr>
          <w:p w14:paraId="5BDB7575"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6,7</w:t>
            </w:r>
          </w:p>
        </w:tc>
        <w:tc>
          <w:tcPr>
            <w:tcW w:w="367" w:type="pct"/>
            <w:tcBorders>
              <w:top w:val="single" w:sz="4" w:space="0" w:color="auto"/>
              <w:left w:val="nil"/>
              <w:bottom w:val="nil"/>
              <w:right w:val="nil"/>
            </w:tcBorders>
            <w:noWrap/>
            <w:vAlign w:val="bottom"/>
            <w:hideMark/>
          </w:tcPr>
          <w:p w14:paraId="0D35E3DF"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7,9</w:t>
            </w:r>
          </w:p>
        </w:tc>
        <w:tc>
          <w:tcPr>
            <w:tcW w:w="366" w:type="pct"/>
            <w:tcBorders>
              <w:top w:val="single" w:sz="4" w:space="0" w:color="auto"/>
              <w:left w:val="nil"/>
              <w:bottom w:val="nil"/>
              <w:right w:val="nil"/>
            </w:tcBorders>
            <w:noWrap/>
            <w:vAlign w:val="bottom"/>
            <w:hideMark/>
          </w:tcPr>
          <w:p w14:paraId="677397BC"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8,0</w:t>
            </w:r>
          </w:p>
        </w:tc>
        <w:tc>
          <w:tcPr>
            <w:tcW w:w="368" w:type="pct"/>
            <w:tcBorders>
              <w:top w:val="single" w:sz="4" w:space="0" w:color="auto"/>
              <w:left w:val="nil"/>
              <w:bottom w:val="nil"/>
              <w:right w:val="nil"/>
            </w:tcBorders>
            <w:noWrap/>
            <w:vAlign w:val="bottom"/>
            <w:hideMark/>
          </w:tcPr>
          <w:p w14:paraId="5890EA33"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7,2</w:t>
            </w:r>
          </w:p>
        </w:tc>
      </w:tr>
      <w:tr w:rsidR="001E3E7D" w:rsidRPr="00A173E9" w14:paraId="653180F9" w14:textId="77777777" w:rsidTr="0004447C">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bottom w:val="nil"/>
            </w:tcBorders>
            <w:vAlign w:val="center"/>
            <w:hideMark/>
          </w:tcPr>
          <w:p w14:paraId="1D313521" w14:textId="77777777" w:rsidR="001E3E7D" w:rsidRPr="00A173E9" w:rsidRDefault="001E3E7D" w:rsidP="008265F0">
            <w:pPr>
              <w:jc w:val="left"/>
              <w:rPr>
                <w:rFonts w:ascii="Calibri" w:hAnsi="Calibri" w:cs="Calibri"/>
                <w:color w:val="002060"/>
                <w:sz w:val="18"/>
                <w:szCs w:val="18"/>
                <w:lang w:val="sr-Cyrl-RS"/>
              </w:rPr>
            </w:pPr>
          </w:p>
        </w:tc>
        <w:tc>
          <w:tcPr>
            <w:tcW w:w="1957" w:type="pct"/>
            <w:tcBorders>
              <w:top w:val="nil"/>
              <w:bottom w:val="nil"/>
            </w:tcBorders>
            <w:shd w:val="clear" w:color="auto" w:fill="E7E6E6" w:themeFill="background2"/>
            <w:noWrap/>
            <w:hideMark/>
          </w:tcPr>
          <w:p w14:paraId="03CFE1D3" w14:textId="77777777" w:rsidR="001E3E7D" w:rsidRPr="00A173E9" w:rsidRDefault="001E3E7D" w:rsidP="008265F0">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Рефиксирање (% укупног дуга)</w:t>
            </w:r>
          </w:p>
        </w:tc>
        <w:tc>
          <w:tcPr>
            <w:tcW w:w="366" w:type="pct"/>
            <w:tcBorders>
              <w:top w:val="nil"/>
              <w:bottom w:val="nil"/>
            </w:tcBorders>
            <w:shd w:val="clear" w:color="auto" w:fill="E7E6E6" w:themeFill="background2"/>
            <w:noWrap/>
            <w:vAlign w:val="bottom"/>
            <w:hideMark/>
          </w:tcPr>
          <w:p w14:paraId="5916FCE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14,2</w:t>
            </w:r>
          </w:p>
        </w:tc>
        <w:tc>
          <w:tcPr>
            <w:tcW w:w="367" w:type="pct"/>
            <w:tcBorders>
              <w:top w:val="nil"/>
              <w:bottom w:val="nil"/>
            </w:tcBorders>
            <w:shd w:val="clear" w:color="auto" w:fill="E7E6E6" w:themeFill="background2"/>
            <w:noWrap/>
            <w:vAlign w:val="bottom"/>
            <w:hideMark/>
          </w:tcPr>
          <w:p w14:paraId="61F1B616"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10,6</w:t>
            </w:r>
          </w:p>
        </w:tc>
        <w:tc>
          <w:tcPr>
            <w:tcW w:w="366" w:type="pct"/>
            <w:tcBorders>
              <w:top w:val="nil"/>
              <w:bottom w:val="nil"/>
            </w:tcBorders>
            <w:shd w:val="clear" w:color="auto" w:fill="E7E6E6" w:themeFill="background2"/>
            <w:noWrap/>
            <w:vAlign w:val="bottom"/>
            <w:hideMark/>
          </w:tcPr>
          <w:p w14:paraId="10E3475B"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10,7</w:t>
            </w:r>
          </w:p>
        </w:tc>
        <w:tc>
          <w:tcPr>
            <w:tcW w:w="368" w:type="pct"/>
            <w:tcBorders>
              <w:top w:val="nil"/>
              <w:bottom w:val="nil"/>
            </w:tcBorders>
            <w:shd w:val="clear" w:color="auto" w:fill="E7E6E6" w:themeFill="background2"/>
            <w:noWrap/>
            <w:vAlign w:val="bottom"/>
            <w:hideMark/>
          </w:tcPr>
          <w:p w14:paraId="7A352DF8"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10,6</w:t>
            </w:r>
          </w:p>
        </w:tc>
      </w:tr>
      <w:tr w:rsidR="001E3E7D" w:rsidRPr="00A173E9" w14:paraId="2CEAC63A" w14:textId="77777777" w:rsidTr="008265F0">
        <w:trPr>
          <w:trHeight w:hRule="exact" w:val="269"/>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002060"/>
              <w:left w:val="nil"/>
              <w:bottom w:val="nil"/>
              <w:right w:val="nil"/>
            </w:tcBorders>
            <w:vAlign w:val="center"/>
            <w:hideMark/>
          </w:tcPr>
          <w:p w14:paraId="372DB04B" w14:textId="77777777" w:rsidR="001E3E7D" w:rsidRPr="00A173E9" w:rsidRDefault="001E3E7D" w:rsidP="008265F0">
            <w:pPr>
              <w:jc w:val="left"/>
              <w:rPr>
                <w:rFonts w:ascii="Calibri" w:hAnsi="Calibri" w:cs="Calibri"/>
                <w:color w:val="002060"/>
                <w:sz w:val="18"/>
                <w:szCs w:val="18"/>
                <w:lang w:val="sr-Cyrl-RS"/>
              </w:rPr>
            </w:pPr>
          </w:p>
        </w:tc>
        <w:tc>
          <w:tcPr>
            <w:tcW w:w="1957" w:type="pct"/>
            <w:tcBorders>
              <w:top w:val="nil"/>
              <w:left w:val="nil"/>
              <w:bottom w:val="nil"/>
              <w:right w:val="nil"/>
            </w:tcBorders>
            <w:noWrap/>
            <w:hideMark/>
          </w:tcPr>
          <w:p w14:paraId="6ED0ECEF" w14:textId="77777777" w:rsidR="001E3E7D" w:rsidRPr="00A173E9" w:rsidRDefault="001E3E7D" w:rsidP="008265F0">
            <w:pPr>
              <w:spacing w:line="240" w:lineRule="auto"/>
              <w:cnfStyle w:val="000000000000" w:firstRow="0" w:lastRow="0" w:firstColumn="0" w:lastColumn="0" w:oddVBand="0" w:evenVBand="0" w:oddHBand="0" w:evenHBand="0" w:firstRowFirstColumn="0" w:firstRowLastColumn="0" w:lastRowFirstColumn="0" w:lastRowLastColumn="0"/>
              <w:rPr>
                <w:rFonts w:ascii="Calibri" w:hAnsi="Calibri" w:cs="Calibri"/>
                <w:bCs/>
                <w:color w:val="002060"/>
                <w:sz w:val="18"/>
                <w:szCs w:val="18"/>
                <w:lang w:val="sr-Cyrl-RS"/>
              </w:rPr>
            </w:pPr>
            <w:r w:rsidRPr="00A173E9">
              <w:rPr>
                <w:rFonts w:ascii="Calibri" w:hAnsi="Calibri" w:cs="Calibri"/>
                <w:bCs/>
                <w:color w:val="002060"/>
                <w:sz w:val="18"/>
                <w:szCs w:val="18"/>
                <w:lang w:val="sr-Cyrl-RS"/>
              </w:rPr>
              <w:t>Дуг по фиксним стопама (% укупног дуга)</w:t>
            </w:r>
          </w:p>
        </w:tc>
        <w:tc>
          <w:tcPr>
            <w:tcW w:w="366" w:type="pct"/>
            <w:tcBorders>
              <w:top w:val="nil"/>
              <w:left w:val="nil"/>
              <w:bottom w:val="nil"/>
              <w:right w:val="nil"/>
            </w:tcBorders>
            <w:noWrap/>
            <w:vAlign w:val="bottom"/>
            <w:hideMark/>
          </w:tcPr>
          <w:p w14:paraId="601E75CC"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90,2</w:t>
            </w:r>
          </w:p>
        </w:tc>
        <w:tc>
          <w:tcPr>
            <w:tcW w:w="367" w:type="pct"/>
            <w:tcBorders>
              <w:top w:val="nil"/>
              <w:left w:val="nil"/>
              <w:bottom w:val="nil"/>
              <w:right w:val="nil"/>
            </w:tcBorders>
            <w:noWrap/>
            <w:vAlign w:val="bottom"/>
            <w:hideMark/>
          </w:tcPr>
          <w:p w14:paraId="0B99FF62"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93,8</w:t>
            </w:r>
          </w:p>
        </w:tc>
        <w:tc>
          <w:tcPr>
            <w:tcW w:w="366" w:type="pct"/>
            <w:tcBorders>
              <w:top w:val="nil"/>
              <w:left w:val="nil"/>
              <w:bottom w:val="nil"/>
              <w:right w:val="nil"/>
            </w:tcBorders>
            <w:noWrap/>
            <w:vAlign w:val="bottom"/>
            <w:hideMark/>
          </w:tcPr>
          <w:p w14:paraId="2DE71823"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93,8</w:t>
            </w:r>
          </w:p>
        </w:tc>
        <w:tc>
          <w:tcPr>
            <w:tcW w:w="368" w:type="pct"/>
            <w:tcBorders>
              <w:top w:val="nil"/>
              <w:left w:val="nil"/>
              <w:bottom w:val="nil"/>
              <w:right w:val="nil"/>
            </w:tcBorders>
            <w:noWrap/>
            <w:vAlign w:val="bottom"/>
            <w:hideMark/>
          </w:tcPr>
          <w:p w14:paraId="1595BFC6" w14:textId="77777777" w:rsidR="001E3E7D" w:rsidRPr="00A173E9" w:rsidRDefault="001E3E7D" w:rsidP="008265F0">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93,8</w:t>
            </w:r>
          </w:p>
        </w:tc>
      </w:tr>
      <w:tr w:rsidR="001E3E7D" w:rsidRPr="00A173E9" w14:paraId="4E9BFB38" w14:textId="77777777" w:rsidTr="0004447C">
        <w:trPr>
          <w:cnfStyle w:val="000000100000" w:firstRow="0" w:lastRow="0" w:firstColumn="0" w:lastColumn="0" w:oddVBand="0" w:evenVBand="0" w:oddHBand="1" w:evenHBand="0" w:firstRowFirstColumn="0" w:firstRowLastColumn="0" w:lastRowFirstColumn="0" w:lastRowLastColumn="0"/>
          <w:trHeight w:hRule="exact" w:val="269"/>
        </w:trPr>
        <w:tc>
          <w:tcPr>
            <w:cnfStyle w:val="001000000000" w:firstRow="0" w:lastRow="0" w:firstColumn="1" w:lastColumn="0" w:oddVBand="0" w:evenVBand="0" w:oddHBand="0" w:evenHBand="0" w:firstRowFirstColumn="0" w:firstRowLastColumn="0" w:lastRowFirstColumn="0" w:lastRowLastColumn="0"/>
            <w:tcW w:w="1576" w:type="pct"/>
            <w:tcBorders>
              <w:top w:val="nil"/>
              <w:bottom w:val="single" w:sz="4" w:space="0" w:color="002060"/>
            </w:tcBorders>
            <w:shd w:val="clear" w:color="auto" w:fill="E7E6E6" w:themeFill="background2"/>
            <w:noWrap/>
            <w:hideMark/>
          </w:tcPr>
          <w:p w14:paraId="45C37ADC" w14:textId="77777777" w:rsidR="001E3E7D" w:rsidRPr="00A173E9" w:rsidRDefault="001E3E7D" w:rsidP="008265F0">
            <w:pPr>
              <w:spacing w:line="240" w:lineRule="auto"/>
              <w:rPr>
                <w:rFonts w:ascii="Calibri" w:hAnsi="Calibri" w:cs="Calibri"/>
                <w:color w:val="002060"/>
                <w:sz w:val="18"/>
                <w:szCs w:val="18"/>
                <w:lang w:val="sr-Cyrl-RS"/>
              </w:rPr>
            </w:pPr>
            <w:r w:rsidRPr="00A173E9">
              <w:rPr>
                <w:rFonts w:ascii="Calibri" w:hAnsi="Calibri" w:cs="Calibri"/>
                <w:color w:val="002060"/>
                <w:sz w:val="18"/>
                <w:szCs w:val="18"/>
                <w:lang w:val="sr-Cyrl-RS"/>
              </w:rPr>
              <w:t>Ризик девизног курса</w:t>
            </w:r>
          </w:p>
        </w:tc>
        <w:tc>
          <w:tcPr>
            <w:tcW w:w="1957" w:type="pct"/>
            <w:tcBorders>
              <w:top w:val="nil"/>
              <w:bottom w:val="single" w:sz="4" w:space="0" w:color="002060"/>
            </w:tcBorders>
            <w:shd w:val="clear" w:color="auto" w:fill="E7E6E6" w:themeFill="background2"/>
            <w:noWrap/>
            <w:hideMark/>
          </w:tcPr>
          <w:p w14:paraId="774D10F3" w14:textId="77777777" w:rsidR="001E3E7D" w:rsidRPr="00A173E9" w:rsidRDefault="001E3E7D" w:rsidP="008265F0">
            <w:pPr>
              <w:spacing w:line="240" w:lineRule="auto"/>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Ино-валутни дуг (% укупног дуга)</w:t>
            </w:r>
          </w:p>
        </w:tc>
        <w:tc>
          <w:tcPr>
            <w:tcW w:w="366" w:type="pct"/>
            <w:tcBorders>
              <w:top w:val="nil"/>
              <w:bottom w:val="single" w:sz="4" w:space="0" w:color="auto"/>
            </w:tcBorders>
            <w:shd w:val="clear" w:color="auto" w:fill="E7E6E6" w:themeFill="background2"/>
            <w:noWrap/>
            <w:vAlign w:val="bottom"/>
            <w:hideMark/>
          </w:tcPr>
          <w:p w14:paraId="629041F8"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74,2</w:t>
            </w:r>
          </w:p>
        </w:tc>
        <w:tc>
          <w:tcPr>
            <w:tcW w:w="367" w:type="pct"/>
            <w:tcBorders>
              <w:top w:val="nil"/>
              <w:bottom w:val="single" w:sz="4" w:space="0" w:color="auto"/>
            </w:tcBorders>
            <w:shd w:val="clear" w:color="auto" w:fill="E7E6E6" w:themeFill="background2"/>
            <w:noWrap/>
            <w:vAlign w:val="bottom"/>
            <w:hideMark/>
          </w:tcPr>
          <w:p w14:paraId="533FC57F"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85,1</w:t>
            </w:r>
          </w:p>
        </w:tc>
        <w:tc>
          <w:tcPr>
            <w:tcW w:w="366" w:type="pct"/>
            <w:tcBorders>
              <w:top w:val="nil"/>
              <w:bottom w:val="single" w:sz="4" w:space="0" w:color="auto"/>
            </w:tcBorders>
            <w:shd w:val="clear" w:color="auto" w:fill="E7E6E6" w:themeFill="background2"/>
            <w:noWrap/>
            <w:vAlign w:val="bottom"/>
            <w:hideMark/>
          </w:tcPr>
          <w:p w14:paraId="50888362"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85,0</w:t>
            </w:r>
          </w:p>
        </w:tc>
        <w:tc>
          <w:tcPr>
            <w:tcW w:w="368" w:type="pct"/>
            <w:tcBorders>
              <w:top w:val="nil"/>
              <w:bottom w:val="single" w:sz="4" w:space="0" w:color="auto"/>
            </w:tcBorders>
            <w:shd w:val="clear" w:color="auto" w:fill="E7E6E6" w:themeFill="background2"/>
            <w:noWrap/>
            <w:vAlign w:val="bottom"/>
            <w:hideMark/>
          </w:tcPr>
          <w:p w14:paraId="2025362C" w14:textId="77777777" w:rsidR="001E3E7D" w:rsidRPr="00A173E9" w:rsidRDefault="001E3E7D" w:rsidP="008265F0">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8"/>
                <w:szCs w:val="18"/>
                <w:lang w:val="sr-Cyrl-RS"/>
              </w:rPr>
            </w:pPr>
            <w:r w:rsidRPr="00A173E9">
              <w:rPr>
                <w:rFonts w:ascii="Calibri" w:hAnsi="Calibri" w:cs="Calibri"/>
                <w:color w:val="002060"/>
                <w:sz w:val="18"/>
                <w:szCs w:val="18"/>
                <w:lang w:val="sr-Cyrl-RS"/>
              </w:rPr>
              <w:t>48,6</w:t>
            </w:r>
          </w:p>
        </w:tc>
      </w:tr>
    </w:tbl>
    <w:p w14:paraId="510166E3" w14:textId="77777777" w:rsidR="001E3E7D" w:rsidRPr="00A173E9" w:rsidRDefault="001E3E7D" w:rsidP="008265F0">
      <w:pPr>
        <w:spacing w:after="0" w:line="256" w:lineRule="auto"/>
        <w:jc w:val="left"/>
        <w:rPr>
          <w:rFonts w:ascii="Cambria" w:eastAsia="Calibri" w:hAnsi="Cambria" w:cs="Times New Roman"/>
          <w:b/>
          <w:i/>
          <w:lang w:val="sr-Cyrl-RS"/>
        </w:rPr>
        <w:sectPr w:rsidR="001E3E7D" w:rsidRPr="00A173E9">
          <w:type w:val="continuous"/>
          <w:pgSz w:w="12240" w:h="15840"/>
          <w:pgMar w:top="1440" w:right="1440" w:bottom="1440" w:left="1440" w:header="720" w:footer="720" w:gutter="0"/>
          <w:cols w:space="720"/>
          <w15:footnoteColumns w:val="1"/>
        </w:sectPr>
      </w:pPr>
    </w:p>
    <w:p w14:paraId="3DD5009C"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Стрес-тест анализа</w:t>
      </w:r>
    </w:p>
    <w:p w14:paraId="2F853AF6" w14:textId="77777777" w:rsidR="001E3E7D" w:rsidRPr="00A173E9" w:rsidRDefault="001E3E7D" w:rsidP="008265F0">
      <w:pPr>
        <w:spacing w:line="276" w:lineRule="auto"/>
        <w:rPr>
          <w:rFonts w:ascii="Calibri" w:eastAsia="Calibri" w:hAnsi="Calibri" w:cs="Calibri"/>
          <w:bCs/>
          <w:spacing w:val="-4"/>
          <w:szCs w:val="72"/>
          <w:lang w:val="sr-Cyrl-RS"/>
        </w:rPr>
      </w:pPr>
      <w:r w:rsidRPr="00A173E9">
        <w:rPr>
          <w:rFonts w:ascii="Calibri" w:eastAsia="Calibri" w:hAnsi="Calibri" w:cs="Calibri"/>
          <w:bCs/>
          <w:spacing w:val="-4"/>
          <w:szCs w:val="72"/>
          <w:lang w:val="sr-Cyrl-RS"/>
        </w:rPr>
        <w:t>Фискално правило, дефинисано Законом о буџетском систему, прописује обавезу да јавни дуг општег нивоа државе не може бити већи од 45% БДП. У случају да износ дуга пређе тај ниво, Влада је дужна да донесе програм за смањење јавног дуга у односу на БДП, тј. за враћање дуга у законски оквир.</w:t>
      </w:r>
    </w:p>
    <w:p w14:paraId="2533C47D" w14:textId="77777777" w:rsidR="001E3E7D" w:rsidRPr="00A173E9" w:rsidRDefault="001E3E7D" w:rsidP="008265F0">
      <w:pPr>
        <w:spacing w:line="276" w:lineRule="auto"/>
        <w:rPr>
          <w:rFonts w:ascii="Calibri" w:eastAsia="Calibri" w:hAnsi="Calibri" w:cs="Calibri"/>
          <w:bCs/>
          <w:szCs w:val="72"/>
          <w:lang w:val="sr-Cyrl-RS"/>
        </w:rPr>
      </w:pPr>
      <w:r w:rsidRPr="00A173E9">
        <w:rPr>
          <w:rFonts w:ascii="Calibri" w:eastAsia="Calibri" w:hAnsi="Calibri" w:cs="Calibri"/>
          <w:bCs/>
          <w:szCs w:val="72"/>
          <w:lang w:val="sr-Cyrl-RS"/>
        </w:rPr>
        <w:t>На крају 20</w:t>
      </w:r>
      <w:r w:rsidRPr="00A173E9">
        <w:rPr>
          <w:rFonts w:ascii="Calibri" w:eastAsia="Calibri" w:hAnsi="Calibri" w:cs="Calibri"/>
          <w:bCs/>
          <w:szCs w:val="72"/>
          <w:lang w:val="sr-Latn-RS"/>
        </w:rPr>
        <w:t>20</w:t>
      </w:r>
      <w:r w:rsidRPr="00A173E9">
        <w:rPr>
          <w:rFonts w:ascii="Calibri" w:eastAsia="Calibri" w:hAnsi="Calibri" w:cs="Calibri"/>
          <w:bCs/>
          <w:szCs w:val="72"/>
          <w:lang w:val="sr-Cyrl-RS"/>
        </w:rPr>
        <w:t>. године стање дуга централног нивоа власти достигло је 5</w:t>
      </w:r>
      <w:r w:rsidRPr="00A173E9">
        <w:rPr>
          <w:rFonts w:ascii="Calibri" w:eastAsia="Calibri" w:hAnsi="Calibri" w:cs="Calibri"/>
          <w:bCs/>
          <w:szCs w:val="72"/>
          <w:lang w:val="sr-Latn-RS"/>
        </w:rPr>
        <w:t>7</w:t>
      </w:r>
      <w:r w:rsidRPr="00A173E9">
        <w:rPr>
          <w:rFonts w:ascii="Calibri" w:eastAsia="Calibri" w:hAnsi="Calibri" w:cs="Calibri"/>
          <w:bCs/>
          <w:szCs w:val="72"/>
          <w:lang w:val="sr-Cyrl-RS"/>
        </w:rPr>
        <w:t>,</w:t>
      </w:r>
      <w:r w:rsidRPr="00A173E9">
        <w:rPr>
          <w:rFonts w:ascii="Calibri" w:eastAsia="Calibri" w:hAnsi="Calibri" w:cs="Calibri"/>
          <w:bCs/>
          <w:szCs w:val="72"/>
          <w:lang w:val="sr-Latn-RS"/>
        </w:rPr>
        <w:t>4</w:t>
      </w:r>
      <w:r w:rsidRPr="00A173E9">
        <w:rPr>
          <w:rFonts w:ascii="Calibri" w:eastAsia="Calibri" w:hAnsi="Calibri" w:cs="Calibri"/>
          <w:bCs/>
          <w:szCs w:val="72"/>
          <w:lang w:val="sr-Cyrl-RS"/>
        </w:rPr>
        <w:t xml:space="preserve">% БДП, а опште државе </w:t>
      </w:r>
      <w:r w:rsidRPr="00A173E9">
        <w:rPr>
          <w:rFonts w:ascii="Calibri" w:eastAsia="Calibri" w:hAnsi="Calibri" w:cs="Calibri"/>
          <w:bCs/>
          <w:szCs w:val="72"/>
          <w:lang w:val="sr-Cyrl-RS"/>
        </w:rPr>
        <w:t>5</w:t>
      </w:r>
      <w:r w:rsidRPr="00A173E9">
        <w:rPr>
          <w:rFonts w:ascii="Calibri" w:eastAsia="Calibri" w:hAnsi="Calibri" w:cs="Calibri"/>
          <w:bCs/>
          <w:szCs w:val="72"/>
          <w:lang w:val="sr-Latn-RS"/>
        </w:rPr>
        <w:t>8</w:t>
      </w:r>
      <w:r w:rsidRPr="00A173E9">
        <w:rPr>
          <w:rFonts w:ascii="Calibri" w:eastAsia="Calibri" w:hAnsi="Calibri" w:cs="Calibri"/>
          <w:bCs/>
          <w:szCs w:val="72"/>
          <w:lang w:val="sr-Cyrl-RS"/>
        </w:rPr>
        <w:t>,</w:t>
      </w:r>
      <w:r w:rsidRPr="00A173E9">
        <w:rPr>
          <w:rFonts w:ascii="Calibri" w:eastAsia="Calibri" w:hAnsi="Calibri" w:cs="Calibri"/>
          <w:bCs/>
          <w:szCs w:val="72"/>
          <w:lang w:val="sr-Latn-RS"/>
        </w:rPr>
        <w:t>2</w:t>
      </w:r>
      <w:r w:rsidRPr="00A173E9">
        <w:rPr>
          <w:rFonts w:ascii="Calibri" w:eastAsia="Calibri" w:hAnsi="Calibri" w:cs="Calibri"/>
          <w:bCs/>
          <w:szCs w:val="72"/>
          <w:lang w:val="sr-Cyrl-RS"/>
        </w:rPr>
        <w:t>% БДП. Рацио јавни дуг/БДП централног нивоа власти на крају марта 2021. године износио је 55,7% БДП, а опште државе 56,5% БДП. До краја 2021. године се очекује благи раст рација на ниво од око 59,0% БДП на централном нивоу, односно 60,0% БДП на нивоу опште државе, услед потребе да се даље финансирају мере за сузбијање ут</w:t>
      </w:r>
      <w:r w:rsidR="00F752BB">
        <w:rPr>
          <w:rFonts w:ascii="Calibri" w:eastAsia="Calibri" w:hAnsi="Calibri" w:cs="Calibri"/>
          <w:bCs/>
          <w:szCs w:val="72"/>
          <w:lang w:val="sr-Cyrl-RS"/>
        </w:rPr>
        <w:t>ицаја пандемије изазване корона</w:t>
      </w:r>
      <w:r w:rsidRPr="00A173E9">
        <w:rPr>
          <w:rFonts w:ascii="Calibri" w:eastAsia="Calibri" w:hAnsi="Calibri" w:cs="Calibri"/>
          <w:bCs/>
          <w:szCs w:val="72"/>
          <w:lang w:val="sr-Cyrl-RS"/>
        </w:rPr>
        <w:t xml:space="preserve">вирусом COVID-19. Због високог учешћа дуга деноминованог у страној валути (69,5%), евидентно је да ће девизни ризик </w:t>
      </w:r>
      <w:r w:rsidRPr="00A173E9">
        <w:rPr>
          <w:rFonts w:ascii="Calibri" w:eastAsia="Calibri" w:hAnsi="Calibri" w:cs="Calibri"/>
          <w:bCs/>
          <w:szCs w:val="72"/>
          <w:lang w:val="sr-Cyrl-RS"/>
        </w:rPr>
        <w:lastRenderedPageBreak/>
        <w:t>детерминисати понашање рација јавни дуг/БДП у наредном периоду и битно условљавати успех мера фискалне политике на консолидацији јавних финансија и смањењу учешћа јавног дуга у БДП.</w:t>
      </w:r>
    </w:p>
    <w:p w14:paraId="4E05B013" w14:textId="77777777" w:rsidR="001E3E7D" w:rsidRPr="00A173E9" w:rsidRDefault="001E3E7D" w:rsidP="008265F0">
      <w:pPr>
        <w:spacing w:line="27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На основу планираног макроекономског оквира, а у случају изостанка утицаја могућих ризика, јавни </w:t>
      </w:r>
      <w:r w:rsidRPr="00A173E9">
        <w:rPr>
          <w:rFonts w:ascii="Calibri" w:eastAsia="Calibri" w:hAnsi="Calibri" w:cs="Calibri"/>
          <w:bCs/>
          <w:szCs w:val="72"/>
          <w:lang w:val="sr-Cyrl-RS"/>
        </w:rPr>
        <w:t>дуг централног нивоа власти би на кају 2024. године требало да буде на нивоу од 54,4% БДП.</w:t>
      </w:r>
    </w:p>
    <w:p w14:paraId="4B409960" w14:textId="77777777" w:rsidR="001E3E7D" w:rsidRPr="00A173E9" w:rsidRDefault="001E3E7D" w:rsidP="008265F0">
      <w:pPr>
        <w:spacing w:line="276" w:lineRule="auto"/>
        <w:rPr>
          <w:rFonts w:ascii="Calibri" w:eastAsia="Calibri" w:hAnsi="Calibri" w:cs="Calibri"/>
          <w:bCs/>
          <w:szCs w:val="72"/>
          <w:lang w:val="sr-Cyrl-RS"/>
        </w:rPr>
      </w:pPr>
      <w:r w:rsidRPr="00A173E9">
        <w:rPr>
          <w:rFonts w:ascii="Calibri" w:eastAsia="Calibri" w:hAnsi="Calibri" w:cs="Calibri"/>
          <w:bCs/>
          <w:szCs w:val="72"/>
          <w:lang w:val="sr-Cyrl-RS"/>
        </w:rPr>
        <w:t>Основни фактори који утичу на стабилизацију рација јавни дуг/БДП су раст БДП, позитивни примарни резултат, курс динара према ино-валутама и висина каматних стопа.</w:t>
      </w:r>
    </w:p>
    <w:p w14:paraId="0848D4DD" w14:textId="77777777" w:rsidR="00EF25B6" w:rsidRDefault="00EF25B6" w:rsidP="008265F0">
      <w:pPr>
        <w:spacing w:line="256" w:lineRule="auto"/>
        <w:jc w:val="center"/>
        <w:rPr>
          <w:rFonts w:ascii="Calibri" w:eastAsia="Calibri" w:hAnsi="Calibri" w:cs="Times New Roman"/>
          <w:b/>
          <w:color w:val="002060"/>
          <w:lang w:val="sr-Cyrl-RS"/>
        </w:rPr>
        <w:sectPr w:rsidR="00EF25B6" w:rsidSect="008265F0">
          <w:type w:val="continuous"/>
          <w:pgSz w:w="12240" w:h="15840" w:code="1"/>
          <w:pgMar w:top="1418" w:right="1418" w:bottom="1418" w:left="1418" w:header="720" w:footer="720" w:gutter="0"/>
          <w:cols w:num="2" w:space="720"/>
          <w:docGrid w:linePitch="272"/>
        </w:sectPr>
      </w:pPr>
    </w:p>
    <w:p w14:paraId="6D1AE5B8"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Табела 3</w:t>
      </w:r>
      <w:r w:rsidR="00FA5A89">
        <w:rPr>
          <w:rFonts w:ascii="Calibri" w:eastAsia="Calibri" w:hAnsi="Calibri" w:cs="Times New Roman"/>
          <w:b/>
          <w:color w:val="002060"/>
          <w:lang w:val="sr-Latn-RS"/>
        </w:rPr>
        <w:t>1</w:t>
      </w:r>
      <w:r w:rsidRPr="00A173E9">
        <w:rPr>
          <w:rFonts w:ascii="Calibri" w:eastAsia="Calibri" w:hAnsi="Calibri" w:cs="Times New Roman"/>
          <w:b/>
          <w:color w:val="002060"/>
          <w:lang w:val="sr-Cyrl-RS"/>
        </w:rPr>
        <w:t xml:space="preserve">. Доприноси основних макроекономских варијабли на промену рација </w:t>
      </w:r>
      <w:r w:rsidRPr="00A173E9">
        <w:rPr>
          <w:rFonts w:ascii="Calibri" w:eastAsia="Calibri" w:hAnsi="Calibri" w:cs="Times New Roman"/>
          <w:b/>
          <w:color w:val="002060"/>
          <w:lang w:val="sr-Cyrl-RS"/>
        </w:rPr>
        <w:br w:type="textWrapping" w:clear="all"/>
        <w:t>јавни дуг (централног нивоа државе) – БДП, у %</w:t>
      </w:r>
    </w:p>
    <w:tbl>
      <w:tblPr>
        <w:tblStyle w:val="LightShading-Accent1222"/>
        <w:tblW w:w="5000" w:type="pct"/>
        <w:tblInd w:w="0" w:type="dxa"/>
        <w:tblLook w:val="0420" w:firstRow="1" w:lastRow="0" w:firstColumn="0" w:lastColumn="0" w:noHBand="0" w:noVBand="1"/>
      </w:tblPr>
      <w:tblGrid>
        <w:gridCol w:w="3843"/>
        <w:gridCol w:w="926"/>
        <w:gridCol w:w="927"/>
        <w:gridCol w:w="927"/>
        <w:gridCol w:w="927"/>
        <w:gridCol w:w="927"/>
        <w:gridCol w:w="927"/>
      </w:tblGrid>
      <w:tr w:rsidR="001E3E7D" w:rsidRPr="00A173E9" w14:paraId="4687F86D" w14:textId="77777777" w:rsidTr="008265F0">
        <w:trPr>
          <w:cnfStyle w:val="100000000000" w:firstRow="1" w:lastRow="0" w:firstColumn="0" w:lastColumn="0" w:oddVBand="0" w:evenVBand="0" w:oddHBand="0" w:evenHBand="0" w:firstRowFirstColumn="0" w:firstRowLastColumn="0" w:lastRowFirstColumn="0" w:lastRowLastColumn="0"/>
          <w:trHeight w:val="196"/>
        </w:trPr>
        <w:tc>
          <w:tcPr>
            <w:tcW w:w="2043" w:type="pct"/>
            <w:tcBorders>
              <w:top w:val="single" w:sz="4" w:space="0" w:color="002060"/>
              <w:bottom w:val="single" w:sz="8" w:space="0" w:color="FFFFFF" w:themeColor="background1"/>
            </w:tcBorders>
            <w:noWrap/>
            <w:hideMark/>
          </w:tcPr>
          <w:p w14:paraId="3BEBAFF7"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 </w:t>
            </w:r>
          </w:p>
        </w:tc>
        <w:tc>
          <w:tcPr>
            <w:tcW w:w="492" w:type="pct"/>
            <w:tcBorders>
              <w:top w:val="single" w:sz="4" w:space="0" w:color="002060"/>
              <w:bottom w:val="single" w:sz="4" w:space="0" w:color="002060"/>
            </w:tcBorders>
            <w:hideMark/>
          </w:tcPr>
          <w:p w14:paraId="5BCA74C4"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2019 </w:t>
            </w:r>
          </w:p>
        </w:tc>
        <w:tc>
          <w:tcPr>
            <w:tcW w:w="493" w:type="pct"/>
            <w:tcBorders>
              <w:top w:val="single" w:sz="4" w:space="0" w:color="002060"/>
              <w:bottom w:val="single" w:sz="4" w:space="0" w:color="002060"/>
            </w:tcBorders>
            <w:hideMark/>
          </w:tcPr>
          <w:p w14:paraId="00EE5B79"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 xml:space="preserve">2020 </w:t>
            </w:r>
          </w:p>
        </w:tc>
        <w:tc>
          <w:tcPr>
            <w:tcW w:w="493" w:type="pct"/>
            <w:tcBorders>
              <w:top w:val="single" w:sz="4" w:space="0" w:color="002060"/>
              <w:bottom w:val="single" w:sz="4" w:space="0" w:color="002060"/>
            </w:tcBorders>
            <w:noWrap/>
            <w:hideMark/>
          </w:tcPr>
          <w:p w14:paraId="5337E362"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2021 п</w:t>
            </w:r>
          </w:p>
        </w:tc>
        <w:tc>
          <w:tcPr>
            <w:tcW w:w="493" w:type="pct"/>
            <w:tcBorders>
              <w:top w:val="single" w:sz="4" w:space="0" w:color="002060"/>
              <w:bottom w:val="single" w:sz="4" w:space="0" w:color="002060"/>
            </w:tcBorders>
            <w:noWrap/>
            <w:hideMark/>
          </w:tcPr>
          <w:p w14:paraId="221B09CF"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2022 п</w:t>
            </w:r>
          </w:p>
        </w:tc>
        <w:tc>
          <w:tcPr>
            <w:tcW w:w="493" w:type="pct"/>
            <w:tcBorders>
              <w:top w:val="single" w:sz="4" w:space="0" w:color="002060"/>
              <w:bottom w:val="single" w:sz="4" w:space="0" w:color="002060"/>
            </w:tcBorders>
            <w:noWrap/>
            <w:hideMark/>
          </w:tcPr>
          <w:p w14:paraId="02541C06"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2023 п</w:t>
            </w:r>
          </w:p>
        </w:tc>
        <w:tc>
          <w:tcPr>
            <w:tcW w:w="493" w:type="pct"/>
            <w:tcBorders>
              <w:top w:val="single" w:sz="4" w:space="0" w:color="002060"/>
              <w:bottom w:val="single" w:sz="4" w:space="0" w:color="002060"/>
            </w:tcBorders>
            <w:noWrap/>
            <w:hideMark/>
          </w:tcPr>
          <w:p w14:paraId="6FC3D324" w14:textId="77777777" w:rsidR="001E3E7D" w:rsidRPr="00A173E9" w:rsidRDefault="001E3E7D" w:rsidP="008265F0">
            <w:pPr>
              <w:jc w:val="center"/>
              <w:rPr>
                <w:rFonts w:ascii="Calibri" w:hAnsi="Calibri" w:cs="Calibri"/>
                <w:color w:val="002060"/>
                <w:sz w:val="18"/>
                <w:szCs w:val="18"/>
                <w:lang w:val="sr-Cyrl-RS"/>
              </w:rPr>
            </w:pPr>
            <w:r w:rsidRPr="00A173E9">
              <w:rPr>
                <w:rFonts w:ascii="Calibri" w:hAnsi="Calibri" w:cs="Calibri"/>
                <w:color w:val="002060"/>
                <w:sz w:val="18"/>
                <w:szCs w:val="18"/>
                <w:lang w:val="sr-Cyrl-RS"/>
              </w:rPr>
              <w:t>2024 п</w:t>
            </w:r>
          </w:p>
        </w:tc>
      </w:tr>
      <w:tr w:rsidR="001E3E7D" w:rsidRPr="00A173E9" w14:paraId="15F7D37E"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single" w:sz="8" w:space="0" w:color="FFFFFF" w:themeColor="background1"/>
              <w:bottom w:val="nil"/>
            </w:tcBorders>
            <w:shd w:val="clear" w:color="auto" w:fill="E7E6E6" w:themeFill="background2"/>
            <w:noWrap/>
            <w:hideMark/>
          </w:tcPr>
          <w:p w14:paraId="6952512D"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Дуг централне државе/БДП</w:t>
            </w:r>
          </w:p>
        </w:tc>
        <w:tc>
          <w:tcPr>
            <w:tcW w:w="492" w:type="pct"/>
            <w:tcBorders>
              <w:top w:val="single" w:sz="4" w:space="0" w:color="002060"/>
              <w:bottom w:val="nil"/>
            </w:tcBorders>
            <w:shd w:val="clear" w:color="auto" w:fill="E7E6E6" w:themeFill="background2"/>
            <w:hideMark/>
          </w:tcPr>
          <w:p w14:paraId="1601148D"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52,0</w:t>
            </w:r>
          </w:p>
        </w:tc>
        <w:tc>
          <w:tcPr>
            <w:tcW w:w="493" w:type="pct"/>
            <w:tcBorders>
              <w:top w:val="single" w:sz="4" w:space="0" w:color="002060"/>
              <w:bottom w:val="nil"/>
            </w:tcBorders>
            <w:shd w:val="clear" w:color="auto" w:fill="E7E6E6" w:themeFill="background2"/>
            <w:hideMark/>
          </w:tcPr>
          <w:p w14:paraId="427E1999"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57,4</w:t>
            </w:r>
          </w:p>
        </w:tc>
        <w:tc>
          <w:tcPr>
            <w:tcW w:w="493" w:type="pct"/>
            <w:tcBorders>
              <w:top w:val="single" w:sz="4" w:space="0" w:color="002060"/>
              <w:bottom w:val="nil"/>
            </w:tcBorders>
            <w:shd w:val="clear" w:color="auto" w:fill="E7E6E6" w:themeFill="background2"/>
            <w:noWrap/>
            <w:hideMark/>
          </w:tcPr>
          <w:p w14:paraId="7AA8DB25"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59,0</w:t>
            </w:r>
          </w:p>
        </w:tc>
        <w:tc>
          <w:tcPr>
            <w:tcW w:w="493" w:type="pct"/>
            <w:tcBorders>
              <w:top w:val="single" w:sz="4" w:space="0" w:color="002060"/>
              <w:bottom w:val="nil"/>
            </w:tcBorders>
            <w:shd w:val="clear" w:color="auto" w:fill="E7E6E6" w:themeFill="background2"/>
            <w:noWrap/>
            <w:hideMark/>
          </w:tcPr>
          <w:p w14:paraId="3AEC0F1B"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58,3</w:t>
            </w:r>
          </w:p>
        </w:tc>
        <w:tc>
          <w:tcPr>
            <w:tcW w:w="493" w:type="pct"/>
            <w:tcBorders>
              <w:top w:val="single" w:sz="4" w:space="0" w:color="002060"/>
              <w:bottom w:val="nil"/>
            </w:tcBorders>
            <w:shd w:val="clear" w:color="auto" w:fill="E7E6E6" w:themeFill="background2"/>
            <w:noWrap/>
            <w:hideMark/>
          </w:tcPr>
          <w:p w14:paraId="0D0C519C"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56,5</w:t>
            </w:r>
          </w:p>
        </w:tc>
        <w:tc>
          <w:tcPr>
            <w:tcW w:w="493" w:type="pct"/>
            <w:tcBorders>
              <w:top w:val="single" w:sz="4" w:space="0" w:color="002060"/>
              <w:bottom w:val="nil"/>
            </w:tcBorders>
            <w:shd w:val="clear" w:color="auto" w:fill="E7E6E6" w:themeFill="background2"/>
            <w:noWrap/>
            <w:hideMark/>
          </w:tcPr>
          <w:p w14:paraId="2CA37622"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54,4</w:t>
            </w:r>
          </w:p>
        </w:tc>
      </w:tr>
      <w:tr w:rsidR="001E3E7D" w:rsidRPr="00A173E9" w14:paraId="568E8A58" w14:textId="77777777" w:rsidTr="008265F0">
        <w:trPr>
          <w:trHeight w:val="284"/>
        </w:trPr>
        <w:tc>
          <w:tcPr>
            <w:tcW w:w="2043" w:type="pct"/>
            <w:tcBorders>
              <w:top w:val="nil"/>
              <w:left w:val="nil"/>
              <w:bottom w:val="nil"/>
              <w:right w:val="nil"/>
            </w:tcBorders>
            <w:noWrap/>
            <w:hideMark/>
          </w:tcPr>
          <w:p w14:paraId="5F7933C8"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Промена у односу на претходну год. у % БДП</w:t>
            </w:r>
          </w:p>
        </w:tc>
        <w:tc>
          <w:tcPr>
            <w:tcW w:w="492" w:type="pct"/>
            <w:tcBorders>
              <w:top w:val="nil"/>
              <w:left w:val="nil"/>
              <w:bottom w:val="nil"/>
              <w:right w:val="nil"/>
            </w:tcBorders>
            <w:hideMark/>
          </w:tcPr>
          <w:p w14:paraId="47C46389"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-1,7</w:t>
            </w:r>
          </w:p>
        </w:tc>
        <w:tc>
          <w:tcPr>
            <w:tcW w:w="493" w:type="pct"/>
            <w:tcBorders>
              <w:top w:val="nil"/>
              <w:left w:val="nil"/>
              <w:bottom w:val="nil"/>
              <w:right w:val="nil"/>
            </w:tcBorders>
            <w:hideMark/>
          </w:tcPr>
          <w:p w14:paraId="542B5D7A"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5,4</w:t>
            </w:r>
          </w:p>
        </w:tc>
        <w:tc>
          <w:tcPr>
            <w:tcW w:w="493" w:type="pct"/>
            <w:tcBorders>
              <w:top w:val="nil"/>
              <w:left w:val="nil"/>
              <w:bottom w:val="nil"/>
              <w:right w:val="nil"/>
            </w:tcBorders>
            <w:noWrap/>
            <w:hideMark/>
          </w:tcPr>
          <w:p w14:paraId="1EAE01F1"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1,6</w:t>
            </w:r>
          </w:p>
        </w:tc>
        <w:tc>
          <w:tcPr>
            <w:tcW w:w="493" w:type="pct"/>
            <w:tcBorders>
              <w:top w:val="nil"/>
              <w:left w:val="nil"/>
              <w:bottom w:val="nil"/>
              <w:right w:val="nil"/>
            </w:tcBorders>
            <w:noWrap/>
            <w:hideMark/>
          </w:tcPr>
          <w:p w14:paraId="148D2E41"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-0,7</w:t>
            </w:r>
          </w:p>
        </w:tc>
        <w:tc>
          <w:tcPr>
            <w:tcW w:w="493" w:type="pct"/>
            <w:tcBorders>
              <w:top w:val="nil"/>
              <w:left w:val="nil"/>
              <w:bottom w:val="nil"/>
              <w:right w:val="nil"/>
            </w:tcBorders>
            <w:noWrap/>
            <w:hideMark/>
          </w:tcPr>
          <w:p w14:paraId="073433D5"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-1,8</w:t>
            </w:r>
          </w:p>
        </w:tc>
        <w:tc>
          <w:tcPr>
            <w:tcW w:w="493" w:type="pct"/>
            <w:tcBorders>
              <w:top w:val="nil"/>
              <w:left w:val="nil"/>
              <w:bottom w:val="nil"/>
              <w:right w:val="nil"/>
            </w:tcBorders>
            <w:noWrap/>
            <w:hideMark/>
          </w:tcPr>
          <w:p w14:paraId="78B5190A"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-2,1</w:t>
            </w:r>
          </w:p>
        </w:tc>
      </w:tr>
      <w:tr w:rsidR="001E3E7D" w:rsidRPr="00A173E9" w14:paraId="5293C79B"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nil"/>
              <w:bottom w:val="nil"/>
            </w:tcBorders>
            <w:shd w:val="clear" w:color="auto" w:fill="E7E6E6" w:themeFill="background2"/>
            <w:noWrap/>
            <w:hideMark/>
          </w:tcPr>
          <w:p w14:paraId="355E3998"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Допринос примарног фискалног резултата</w:t>
            </w:r>
          </w:p>
        </w:tc>
        <w:tc>
          <w:tcPr>
            <w:tcW w:w="492" w:type="pct"/>
            <w:tcBorders>
              <w:top w:val="nil"/>
              <w:bottom w:val="nil"/>
            </w:tcBorders>
            <w:shd w:val="clear" w:color="auto" w:fill="E7E6E6" w:themeFill="background2"/>
            <w:hideMark/>
          </w:tcPr>
          <w:p w14:paraId="7AD45E12"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-2,2</w:t>
            </w:r>
          </w:p>
        </w:tc>
        <w:tc>
          <w:tcPr>
            <w:tcW w:w="493" w:type="pct"/>
            <w:tcBorders>
              <w:top w:val="nil"/>
              <w:bottom w:val="nil"/>
            </w:tcBorders>
            <w:shd w:val="clear" w:color="auto" w:fill="E7E6E6" w:themeFill="background2"/>
            <w:hideMark/>
          </w:tcPr>
          <w:p w14:paraId="4029E149"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6,4</w:t>
            </w:r>
          </w:p>
        </w:tc>
        <w:tc>
          <w:tcPr>
            <w:tcW w:w="493" w:type="pct"/>
            <w:tcBorders>
              <w:top w:val="nil"/>
              <w:bottom w:val="nil"/>
            </w:tcBorders>
            <w:shd w:val="clear" w:color="auto" w:fill="E7E6E6" w:themeFill="background2"/>
            <w:noWrap/>
            <w:hideMark/>
          </w:tcPr>
          <w:p w14:paraId="21B47407"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5,1</w:t>
            </w:r>
          </w:p>
        </w:tc>
        <w:tc>
          <w:tcPr>
            <w:tcW w:w="493" w:type="pct"/>
            <w:tcBorders>
              <w:top w:val="nil"/>
              <w:bottom w:val="nil"/>
            </w:tcBorders>
            <w:shd w:val="clear" w:color="auto" w:fill="E7E6E6" w:themeFill="background2"/>
            <w:noWrap/>
            <w:hideMark/>
          </w:tcPr>
          <w:p w14:paraId="22D40776"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1,2</w:t>
            </w:r>
          </w:p>
        </w:tc>
        <w:tc>
          <w:tcPr>
            <w:tcW w:w="493" w:type="pct"/>
            <w:tcBorders>
              <w:top w:val="nil"/>
              <w:bottom w:val="nil"/>
            </w:tcBorders>
            <w:shd w:val="clear" w:color="auto" w:fill="E7E6E6" w:themeFill="background2"/>
            <w:noWrap/>
            <w:hideMark/>
          </w:tcPr>
          <w:p w14:paraId="3B2F0851"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-0,1</w:t>
            </w:r>
          </w:p>
        </w:tc>
        <w:tc>
          <w:tcPr>
            <w:tcW w:w="493" w:type="pct"/>
            <w:tcBorders>
              <w:top w:val="nil"/>
              <w:bottom w:val="nil"/>
            </w:tcBorders>
            <w:shd w:val="clear" w:color="auto" w:fill="E7E6E6" w:themeFill="background2"/>
            <w:noWrap/>
            <w:hideMark/>
          </w:tcPr>
          <w:p w14:paraId="165EEC16"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-0,5</w:t>
            </w:r>
          </w:p>
        </w:tc>
      </w:tr>
      <w:tr w:rsidR="001E3E7D" w:rsidRPr="00A173E9" w14:paraId="22A26D25" w14:textId="77777777" w:rsidTr="008265F0">
        <w:trPr>
          <w:trHeight w:val="284"/>
        </w:trPr>
        <w:tc>
          <w:tcPr>
            <w:tcW w:w="2043" w:type="pct"/>
            <w:tcBorders>
              <w:top w:val="nil"/>
              <w:left w:val="nil"/>
              <w:bottom w:val="nil"/>
              <w:right w:val="nil"/>
            </w:tcBorders>
            <w:noWrap/>
            <w:hideMark/>
          </w:tcPr>
          <w:p w14:paraId="0A5D6752"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Допринос камата</w:t>
            </w:r>
          </w:p>
        </w:tc>
        <w:tc>
          <w:tcPr>
            <w:tcW w:w="492" w:type="pct"/>
            <w:tcBorders>
              <w:top w:val="nil"/>
              <w:left w:val="nil"/>
              <w:bottom w:val="nil"/>
              <w:right w:val="nil"/>
            </w:tcBorders>
            <w:hideMark/>
          </w:tcPr>
          <w:p w14:paraId="3C515861"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2,0</w:t>
            </w:r>
          </w:p>
        </w:tc>
        <w:tc>
          <w:tcPr>
            <w:tcW w:w="493" w:type="pct"/>
            <w:tcBorders>
              <w:top w:val="nil"/>
              <w:left w:val="nil"/>
              <w:bottom w:val="nil"/>
              <w:right w:val="nil"/>
            </w:tcBorders>
            <w:hideMark/>
          </w:tcPr>
          <w:p w14:paraId="17B865CB"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2,0</w:t>
            </w:r>
          </w:p>
        </w:tc>
        <w:tc>
          <w:tcPr>
            <w:tcW w:w="493" w:type="pct"/>
            <w:tcBorders>
              <w:top w:val="nil"/>
              <w:left w:val="nil"/>
              <w:bottom w:val="nil"/>
              <w:right w:val="nil"/>
            </w:tcBorders>
            <w:noWrap/>
            <w:hideMark/>
          </w:tcPr>
          <w:p w14:paraId="1825ED72"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1,9</w:t>
            </w:r>
          </w:p>
        </w:tc>
        <w:tc>
          <w:tcPr>
            <w:tcW w:w="493" w:type="pct"/>
            <w:tcBorders>
              <w:top w:val="nil"/>
              <w:left w:val="nil"/>
              <w:bottom w:val="nil"/>
              <w:right w:val="nil"/>
            </w:tcBorders>
            <w:noWrap/>
            <w:hideMark/>
          </w:tcPr>
          <w:p w14:paraId="0212F9F2"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1,7</w:t>
            </w:r>
          </w:p>
        </w:tc>
        <w:tc>
          <w:tcPr>
            <w:tcW w:w="493" w:type="pct"/>
            <w:tcBorders>
              <w:top w:val="nil"/>
              <w:left w:val="nil"/>
              <w:bottom w:val="nil"/>
              <w:right w:val="nil"/>
            </w:tcBorders>
            <w:noWrap/>
            <w:hideMark/>
          </w:tcPr>
          <w:p w14:paraId="2D0B6FFD"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1,6</w:t>
            </w:r>
          </w:p>
        </w:tc>
        <w:tc>
          <w:tcPr>
            <w:tcW w:w="493" w:type="pct"/>
            <w:tcBorders>
              <w:top w:val="nil"/>
              <w:left w:val="nil"/>
              <w:bottom w:val="nil"/>
              <w:right w:val="nil"/>
            </w:tcBorders>
            <w:noWrap/>
            <w:hideMark/>
          </w:tcPr>
          <w:p w14:paraId="2AD403CC"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1,6</w:t>
            </w:r>
          </w:p>
        </w:tc>
      </w:tr>
      <w:tr w:rsidR="001E3E7D" w:rsidRPr="00A173E9" w14:paraId="169DF015" w14:textId="77777777" w:rsidTr="0004447C">
        <w:trPr>
          <w:cnfStyle w:val="000000100000" w:firstRow="0" w:lastRow="0" w:firstColumn="0" w:lastColumn="0" w:oddVBand="0" w:evenVBand="0" w:oddHBand="1" w:evenHBand="0" w:firstRowFirstColumn="0" w:firstRowLastColumn="0" w:lastRowFirstColumn="0" w:lastRowLastColumn="0"/>
          <w:trHeight w:val="284"/>
        </w:trPr>
        <w:tc>
          <w:tcPr>
            <w:tcW w:w="2043" w:type="pct"/>
            <w:tcBorders>
              <w:top w:val="nil"/>
              <w:bottom w:val="nil"/>
            </w:tcBorders>
            <w:shd w:val="clear" w:color="auto" w:fill="E7E6E6" w:themeFill="background2"/>
            <w:hideMark/>
          </w:tcPr>
          <w:p w14:paraId="4C41FB95"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Допринос раста номиналног БДП</w:t>
            </w:r>
          </w:p>
        </w:tc>
        <w:tc>
          <w:tcPr>
            <w:tcW w:w="492" w:type="pct"/>
            <w:tcBorders>
              <w:top w:val="nil"/>
              <w:bottom w:val="nil"/>
            </w:tcBorders>
            <w:shd w:val="clear" w:color="auto" w:fill="E7E6E6" w:themeFill="background2"/>
            <w:hideMark/>
          </w:tcPr>
          <w:p w14:paraId="1A5D667D"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-3,4</w:t>
            </w:r>
          </w:p>
        </w:tc>
        <w:tc>
          <w:tcPr>
            <w:tcW w:w="493" w:type="pct"/>
            <w:tcBorders>
              <w:top w:val="nil"/>
              <w:bottom w:val="nil"/>
            </w:tcBorders>
            <w:shd w:val="clear" w:color="auto" w:fill="E7E6E6" w:themeFill="background2"/>
            <w:hideMark/>
          </w:tcPr>
          <w:p w14:paraId="0C317758"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-0,4</w:t>
            </w:r>
          </w:p>
        </w:tc>
        <w:tc>
          <w:tcPr>
            <w:tcW w:w="493" w:type="pct"/>
            <w:tcBorders>
              <w:top w:val="nil"/>
              <w:bottom w:val="nil"/>
            </w:tcBorders>
            <w:shd w:val="clear" w:color="auto" w:fill="E7E6E6" w:themeFill="background2"/>
            <w:noWrap/>
            <w:hideMark/>
          </w:tcPr>
          <w:p w14:paraId="60BC2BB5"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-4,6</w:t>
            </w:r>
          </w:p>
        </w:tc>
        <w:tc>
          <w:tcPr>
            <w:tcW w:w="493" w:type="pct"/>
            <w:tcBorders>
              <w:top w:val="nil"/>
              <w:bottom w:val="nil"/>
            </w:tcBorders>
            <w:shd w:val="clear" w:color="auto" w:fill="E7E6E6" w:themeFill="background2"/>
            <w:noWrap/>
            <w:hideMark/>
          </w:tcPr>
          <w:p w14:paraId="2DE59632"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-3,8</w:t>
            </w:r>
          </w:p>
        </w:tc>
        <w:tc>
          <w:tcPr>
            <w:tcW w:w="493" w:type="pct"/>
            <w:tcBorders>
              <w:top w:val="nil"/>
              <w:bottom w:val="nil"/>
            </w:tcBorders>
            <w:shd w:val="clear" w:color="auto" w:fill="E7E6E6" w:themeFill="background2"/>
            <w:noWrap/>
            <w:hideMark/>
          </w:tcPr>
          <w:p w14:paraId="5BBFD507"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-3,9</w:t>
            </w:r>
          </w:p>
        </w:tc>
        <w:tc>
          <w:tcPr>
            <w:tcW w:w="493" w:type="pct"/>
            <w:tcBorders>
              <w:top w:val="nil"/>
              <w:bottom w:val="nil"/>
            </w:tcBorders>
            <w:shd w:val="clear" w:color="auto" w:fill="E7E6E6" w:themeFill="background2"/>
            <w:noWrap/>
            <w:hideMark/>
          </w:tcPr>
          <w:p w14:paraId="695C57B7"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-3,4</w:t>
            </w:r>
          </w:p>
        </w:tc>
      </w:tr>
      <w:tr w:rsidR="001E3E7D" w:rsidRPr="00A173E9" w14:paraId="60773EE8" w14:textId="77777777" w:rsidTr="008265F0">
        <w:trPr>
          <w:trHeight w:val="80"/>
        </w:trPr>
        <w:tc>
          <w:tcPr>
            <w:tcW w:w="2043" w:type="pct"/>
            <w:tcBorders>
              <w:top w:val="nil"/>
              <w:left w:val="nil"/>
              <w:bottom w:val="single" w:sz="4" w:space="0" w:color="002060"/>
              <w:right w:val="nil"/>
            </w:tcBorders>
            <w:hideMark/>
          </w:tcPr>
          <w:p w14:paraId="44101EFC" w14:textId="77777777" w:rsidR="001E3E7D" w:rsidRPr="00A173E9" w:rsidRDefault="001E3E7D" w:rsidP="008265F0">
            <w:pPr>
              <w:spacing w:line="240" w:lineRule="auto"/>
              <w:rPr>
                <w:rFonts w:ascii="Calibri" w:hAnsi="Calibri" w:cs="Calibri"/>
                <w:bCs/>
                <w:color w:val="002060"/>
                <w:sz w:val="18"/>
                <w:szCs w:val="18"/>
                <w:lang w:val="sr-Cyrl-RS"/>
              </w:rPr>
            </w:pPr>
            <w:r w:rsidRPr="00A173E9">
              <w:rPr>
                <w:rFonts w:ascii="Calibri" w:hAnsi="Calibri" w:cs="Calibri"/>
                <w:bCs/>
                <w:color w:val="002060"/>
                <w:sz w:val="18"/>
                <w:szCs w:val="18"/>
                <w:lang w:val="sr-Cyrl-RS"/>
              </w:rPr>
              <w:t>Допринос осталих фактора</w:t>
            </w:r>
          </w:p>
        </w:tc>
        <w:tc>
          <w:tcPr>
            <w:tcW w:w="492" w:type="pct"/>
            <w:tcBorders>
              <w:top w:val="nil"/>
              <w:left w:val="nil"/>
              <w:bottom w:val="single" w:sz="4" w:space="0" w:color="002060"/>
              <w:right w:val="nil"/>
            </w:tcBorders>
            <w:hideMark/>
          </w:tcPr>
          <w:p w14:paraId="39817CB8"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2,0</w:t>
            </w:r>
          </w:p>
        </w:tc>
        <w:tc>
          <w:tcPr>
            <w:tcW w:w="493" w:type="pct"/>
            <w:tcBorders>
              <w:top w:val="nil"/>
              <w:left w:val="nil"/>
              <w:bottom w:val="single" w:sz="4" w:space="0" w:color="002060"/>
              <w:right w:val="nil"/>
            </w:tcBorders>
            <w:hideMark/>
          </w:tcPr>
          <w:p w14:paraId="379A6A26"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-2,5</w:t>
            </w:r>
          </w:p>
        </w:tc>
        <w:tc>
          <w:tcPr>
            <w:tcW w:w="493" w:type="pct"/>
            <w:tcBorders>
              <w:top w:val="nil"/>
              <w:left w:val="nil"/>
              <w:bottom w:val="single" w:sz="4" w:space="0" w:color="002060"/>
              <w:right w:val="nil"/>
            </w:tcBorders>
            <w:noWrap/>
            <w:hideMark/>
          </w:tcPr>
          <w:p w14:paraId="39E6FC56"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-0,8</w:t>
            </w:r>
          </w:p>
        </w:tc>
        <w:tc>
          <w:tcPr>
            <w:tcW w:w="493" w:type="pct"/>
            <w:tcBorders>
              <w:top w:val="nil"/>
              <w:left w:val="nil"/>
              <w:bottom w:val="single" w:sz="4" w:space="0" w:color="002060"/>
              <w:right w:val="nil"/>
            </w:tcBorders>
            <w:noWrap/>
            <w:hideMark/>
          </w:tcPr>
          <w:p w14:paraId="6D6B427C"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0,1</w:t>
            </w:r>
          </w:p>
        </w:tc>
        <w:tc>
          <w:tcPr>
            <w:tcW w:w="493" w:type="pct"/>
            <w:tcBorders>
              <w:top w:val="nil"/>
              <w:left w:val="nil"/>
              <w:bottom w:val="single" w:sz="4" w:space="0" w:color="002060"/>
              <w:right w:val="nil"/>
            </w:tcBorders>
            <w:noWrap/>
            <w:hideMark/>
          </w:tcPr>
          <w:p w14:paraId="46E287AE"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0,6</w:t>
            </w:r>
          </w:p>
        </w:tc>
        <w:tc>
          <w:tcPr>
            <w:tcW w:w="493" w:type="pct"/>
            <w:tcBorders>
              <w:top w:val="nil"/>
              <w:left w:val="nil"/>
              <w:bottom w:val="single" w:sz="4" w:space="0" w:color="002060"/>
              <w:right w:val="nil"/>
            </w:tcBorders>
            <w:noWrap/>
            <w:hideMark/>
          </w:tcPr>
          <w:p w14:paraId="7B7C0921" w14:textId="77777777" w:rsidR="001E3E7D" w:rsidRPr="00A173E9" w:rsidRDefault="001E3E7D" w:rsidP="008265F0">
            <w:pPr>
              <w:spacing w:line="240" w:lineRule="auto"/>
              <w:jc w:val="center"/>
              <w:rPr>
                <w:rFonts w:ascii="Calibri" w:hAnsi="Calibri" w:cs="Calibri"/>
                <w:bCs/>
                <w:color w:val="002060"/>
                <w:sz w:val="18"/>
                <w:szCs w:val="18"/>
                <w:lang w:val="sr-Cyrl-RS"/>
              </w:rPr>
            </w:pPr>
            <w:r w:rsidRPr="00A173E9">
              <w:rPr>
                <w:rFonts w:ascii="Calibri" w:hAnsi="Calibri" w:cs="Calibri"/>
                <w:bCs/>
                <w:color w:val="002060"/>
                <w:sz w:val="18"/>
                <w:szCs w:val="18"/>
                <w:lang w:val="sr-Cyrl-RS"/>
              </w:rPr>
              <w:t>0,3</w:t>
            </w:r>
          </w:p>
        </w:tc>
      </w:tr>
    </w:tbl>
    <w:p w14:paraId="59B5374D" w14:textId="77777777" w:rsidR="00EF25B6" w:rsidRDefault="00EF25B6" w:rsidP="008265F0">
      <w:pPr>
        <w:spacing w:line="256" w:lineRule="auto"/>
        <w:jc w:val="center"/>
        <w:rPr>
          <w:rFonts w:ascii="Calibri" w:eastAsia="Calibri" w:hAnsi="Calibri" w:cs="Times New Roman"/>
          <w:b/>
          <w:color w:val="002060"/>
          <w:lang w:val="sr-Cyrl-RS"/>
        </w:rPr>
        <w:sectPr w:rsidR="00EF25B6" w:rsidSect="00EF25B6">
          <w:type w:val="continuous"/>
          <w:pgSz w:w="12240" w:h="15840" w:code="1"/>
          <w:pgMar w:top="1418" w:right="1418" w:bottom="1418" w:left="1418" w:header="720" w:footer="720" w:gutter="0"/>
          <w:cols w:space="720"/>
          <w:docGrid w:linePitch="272"/>
        </w:sectPr>
      </w:pPr>
    </w:p>
    <w:p w14:paraId="181769D4" w14:textId="77777777" w:rsidR="001E3E7D" w:rsidRPr="00A173E9" w:rsidRDefault="001E3E7D" w:rsidP="008265F0">
      <w:pPr>
        <w:spacing w:line="256" w:lineRule="auto"/>
        <w:jc w:val="center"/>
        <w:rPr>
          <w:rFonts w:ascii="Calibri" w:eastAsia="Calibri" w:hAnsi="Calibri" w:cs="Times New Roman"/>
          <w:b/>
          <w:color w:val="002060"/>
          <w:lang w:val="sr-Cyrl-RS"/>
        </w:rPr>
      </w:pPr>
      <w:r w:rsidRPr="00A173E9">
        <w:rPr>
          <w:rFonts w:ascii="Calibri" w:eastAsia="Calibri" w:hAnsi="Calibri" w:cs="Times New Roman"/>
          <w:b/>
          <w:color w:val="002060"/>
          <w:lang w:val="sr-Cyrl-RS"/>
        </w:rPr>
        <w:t>Утицај промене курса динара према корпи валута из портфолија јавног дуга централног нивоа државе на промену рација јавни дуг – БДП</w:t>
      </w:r>
    </w:p>
    <w:p w14:paraId="5543B039" w14:textId="77777777" w:rsidR="001E3E7D" w:rsidRPr="00A173E9" w:rsidRDefault="001E3E7D" w:rsidP="008265F0">
      <w:pPr>
        <w:spacing w:line="256" w:lineRule="auto"/>
        <w:rPr>
          <w:rFonts w:ascii="Calibri" w:eastAsia="Calibri" w:hAnsi="Calibri" w:cs="Times New Roman"/>
          <w:b/>
          <w:lang w:val="sr-Latn-RS"/>
        </w:rPr>
      </w:pPr>
      <w:r w:rsidRPr="00A173E9">
        <w:rPr>
          <w:rFonts w:ascii="Calibri" w:eastAsia="Calibri" w:hAnsi="Calibri" w:cs="Times New Roman"/>
          <w:noProof/>
        </w:rPr>
        <w:drawing>
          <wp:inline distT="0" distB="0" distL="0" distR="0" wp14:anchorId="1DDBF14E" wp14:editId="19C4FCBA">
            <wp:extent cx="2750185" cy="3105150"/>
            <wp:effectExtent l="0" t="0" r="0" b="0"/>
            <wp:docPr id="50"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20CC5C1E"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На графикону је представљено кретање рација јавног дуга централног нивоа државе и БДП у зависности од промене курса динара према одређеној корпи валута. Приказана је основна пројекција са алтернативним сценаријима у зависности од апрецијације, односно депрецијације курса динара у распону од 10% </w:t>
      </w:r>
      <w:r w:rsidRPr="00A173E9">
        <w:rPr>
          <w:rFonts w:ascii="Calibri" w:eastAsia="Calibri" w:hAnsi="Calibri" w:cs="Calibri"/>
          <w:bCs/>
          <w:szCs w:val="72"/>
          <w:lang w:val="sr-Cyrl-RS"/>
        </w:rPr>
        <w:t>апрецијације до 10% депрецијације динара у односу на корпу валута. Применом наведених сценарија може се видети да би се рацио за 202</w:t>
      </w:r>
      <w:r w:rsidRPr="00A173E9">
        <w:rPr>
          <w:rFonts w:ascii="Calibri" w:eastAsia="Calibri" w:hAnsi="Calibri" w:cs="Calibri"/>
          <w:bCs/>
          <w:szCs w:val="72"/>
          <w:lang w:val="sr-Latn-RS"/>
        </w:rPr>
        <w:t>4</w:t>
      </w:r>
      <w:r w:rsidRPr="00A173E9">
        <w:rPr>
          <w:rFonts w:ascii="Calibri" w:eastAsia="Calibri" w:hAnsi="Calibri" w:cs="Calibri"/>
          <w:bCs/>
          <w:szCs w:val="72"/>
          <w:lang w:val="sr-Cyrl-RS"/>
        </w:rPr>
        <w:t>. годину кретао у распону од 5</w:t>
      </w:r>
      <w:r w:rsidRPr="00A173E9">
        <w:rPr>
          <w:rFonts w:ascii="Calibri" w:eastAsia="Calibri" w:hAnsi="Calibri" w:cs="Calibri"/>
          <w:bCs/>
          <w:szCs w:val="72"/>
          <w:lang w:val="sr-Latn-RS"/>
        </w:rPr>
        <w:t>0</w:t>
      </w:r>
      <w:r w:rsidRPr="00A173E9">
        <w:rPr>
          <w:rFonts w:ascii="Calibri" w:eastAsia="Calibri" w:hAnsi="Calibri" w:cs="Calibri"/>
          <w:bCs/>
          <w:szCs w:val="72"/>
          <w:lang w:val="sr-Cyrl-RS"/>
        </w:rPr>
        <w:t>,</w:t>
      </w:r>
      <w:r w:rsidRPr="00A173E9">
        <w:rPr>
          <w:rFonts w:ascii="Calibri" w:eastAsia="Calibri" w:hAnsi="Calibri" w:cs="Calibri"/>
          <w:bCs/>
          <w:szCs w:val="72"/>
          <w:lang w:val="sr-Latn-RS"/>
        </w:rPr>
        <w:t>7</w:t>
      </w:r>
      <w:r w:rsidRPr="00A173E9">
        <w:rPr>
          <w:rFonts w:ascii="Calibri" w:eastAsia="Calibri" w:hAnsi="Calibri" w:cs="Calibri"/>
          <w:bCs/>
          <w:szCs w:val="72"/>
          <w:lang w:val="sr-Cyrl-RS"/>
        </w:rPr>
        <w:t>% до 58,</w:t>
      </w:r>
      <w:r w:rsidRPr="00A173E9">
        <w:rPr>
          <w:rFonts w:ascii="Calibri" w:eastAsia="Calibri" w:hAnsi="Calibri" w:cs="Calibri"/>
          <w:bCs/>
          <w:szCs w:val="72"/>
          <w:lang w:val="sr-Latn-RS"/>
        </w:rPr>
        <w:t>0</w:t>
      </w:r>
      <w:r w:rsidRPr="00A173E9">
        <w:rPr>
          <w:rFonts w:ascii="Calibri" w:eastAsia="Calibri" w:hAnsi="Calibri" w:cs="Calibri"/>
          <w:bCs/>
          <w:szCs w:val="72"/>
          <w:lang w:val="sr-Cyrl-RS"/>
        </w:rPr>
        <w:t>%, док би за основни сценарио био на нивоу од 5</w:t>
      </w:r>
      <w:r w:rsidRPr="00A173E9">
        <w:rPr>
          <w:rFonts w:ascii="Calibri" w:eastAsia="Calibri" w:hAnsi="Calibri" w:cs="Calibri"/>
          <w:bCs/>
          <w:szCs w:val="72"/>
          <w:lang w:val="sr-Latn-RS"/>
        </w:rPr>
        <w:t>4</w:t>
      </w:r>
      <w:r w:rsidRPr="00A173E9">
        <w:rPr>
          <w:rFonts w:ascii="Calibri" w:eastAsia="Calibri" w:hAnsi="Calibri" w:cs="Calibri"/>
          <w:bCs/>
          <w:szCs w:val="72"/>
          <w:lang w:val="sr-Cyrl-RS"/>
        </w:rPr>
        <w:t>,</w:t>
      </w:r>
      <w:r w:rsidRPr="00A173E9">
        <w:rPr>
          <w:rFonts w:ascii="Calibri" w:eastAsia="Calibri" w:hAnsi="Calibri" w:cs="Calibri"/>
          <w:bCs/>
          <w:szCs w:val="72"/>
          <w:lang w:val="sr-Latn-RS"/>
        </w:rPr>
        <w:t>4</w:t>
      </w:r>
      <w:r w:rsidRPr="00A173E9">
        <w:rPr>
          <w:rFonts w:ascii="Calibri" w:eastAsia="Calibri" w:hAnsi="Calibri" w:cs="Calibri"/>
          <w:bCs/>
          <w:szCs w:val="72"/>
          <w:lang w:val="sr-Cyrl-RS"/>
        </w:rPr>
        <w:t>%.</w:t>
      </w:r>
    </w:p>
    <w:p w14:paraId="5AF6A378" w14:textId="77777777" w:rsidR="001E3E7D" w:rsidRPr="00A173E9" w:rsidRDefault="001E3E7D" w:rsidP="008265F0">
      <w:pPr>
        <w:spacing w:line="256" w:lineRule="auto"/>
        <w:rPr>
          <w:rFonts w:ascii="Calibri" w:eastAsia="Calibri" w:hAnsi="Calibri" w:cs="Calibri"/>
          <w:bCs/>
          <w:spacing w:val="-2"/>
          <w:szCs w:val="72"/>
          <w:lang w:val="sr-Cyrl-RS"/>
        </w:rPr>
      </w:pPr>
      <w:r w:rsidRPr="00A173E9">
        <w:rPr>
          <w:rFonts w:ascii="Calibri" w:eastAsia="Calibri" w:hAnsi="Calibri" w:cs="Calibri"/>
          <w:bCs/>
          <w:spacing w:val="-2"/>
          <w:szCs w:val="72"/>
          <w:lang w:val="sr-Cyrl-RS"/>
        </w:rPr>
        <w:t>Главни ризици за остварење Стратегије, поред горе наведених фактора који су квантификовани, су и стабилност макроекономске ситуације у Републици Србији, потребе за додатним задуживањем како би се регулисали дугови на другим нивоима власти, јавном сектору и финансијском сектору Републике Србије и активирање датих гаранција.</w:t>
      </w:r>
    </w:p>
    <w:p w14:paraId="42EA11C1"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Важно је напоменути да смањењу јавног дуга у односу на БДП доприноси и адекватна контрола издавања гаранција и унапређење процеса приоритизације инвестиционих пројеката, који се финансирају из кредитних линија мултилатералних и билатералних кредитора. Почев од 2015. године, гаранције се издају само за пројектне (инвестиционе) зајмове, односно прекинуто је издавање гаранција за зајмове за текућу ликвидност јавним предузећима, што је значајно утицало на смањење стања гарантованог јавног дуга у претходних шест година.</w:t>
      </w:r>
    </w:p>
    <w:p w14:paraId="28B7E6D1"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Дугорочни стратешки оквир за управљање јавним дугом</w:t>
      </w:r>
    </w:p>
    <w:p w14:paraId="321EA144"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Основни стратешки циљеви којима је потребно тежити у наредном дугорочном периоду, како би </w:t>
      </w:r>
      <w:r w:rsidRPr="00A173E9">
        <w:rPr>
          <w:rFonts w:ascii="Calibri" w:eastAsia="Calibri" w:hAnsi="Calibri" w:cs="Calibri"/>
          <w:bCs/>
          <w:szCs w:val="72"/>
          <w:lang w:val="sr-Cyrl-RS"/>
        </w:rPr>
        <w:lastRenderedPageBreak/>
        <w:t>се минимизирали ризици повећања задужености и трошкова сервисирања јавног дуга су:</w:t>
      </w:r>
    </w:p>
    <w:p w14:paraId="5C1D702A"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учешће дуга деноминованог у динарима износи најмање 30% укупног јавног дуга на средњи рок;</w:t>
      </w:r>
    </w:p>
    <w:p w14:paraId="7064D984"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учешће дуга деноминованог у еврима у јавном дугу износи најмање 65% дуга у ино-валути, укључујући будућа задуживања и трансакције;</w:t>
      </w:r>
    </w:p>
    <w:p w14:paraId="67F98A1F"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учешће дуга са варијабилном каматном стопом износи испод 15% у средњорочном интервалу;</w:t>
      </w:r>
    </w:p>
    <w:p w14:paraId="6B34BA20"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просечно време до промене каматне стопе (АТR) буде одржавано на нивоу од минимум 5,0 година, у складу са горе наведеном мером постепеног смањивања учешћа дуга са варијабилним каматним стопама;</w:t>
      </w:r>
    </w:p>
    <w:p w14:paraId="60D548EC"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просечна пондерисана каматна стопа (WAIR) на јавни дуг у домаћој валути не прелази 5,00%;</w:t>
      </w:r>
    </w:p>
    <w:p w14:paraId="715B63C4"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учешће краткорочног дуга (чије је доспеће до годину дана) износи до 15% укупног јавног дуга;</w:t>
      </w:r>
    </w:p>
    <w:p w14:paraId="5A0F54D5" w14:textId="77777777" w:rsidR="001E3E7D" w:rsidRPr="00A173E9" w:rsidRDefault="001E3E7D" w:rsidP="001E3E7D">
      <w:pPr>
        <w:numPr>
          <w:ilvl w:val="0"/>
          <w:numId w:val="13"/>
        </w:numPr>
        <w:spacing w:line="256" w:lineRule="auto"/>
        <w:ind w:left="142" w:hanging="142"/>
        <w:contextualSpacing/>
        <w:rPr>
          <w:rFonts w:ascii="Calibri" w:eastAsia="Calibri" w:hAnsi="Calibri" w:cs="Calibri"/>
          <w:bCs/>
          <w:szCs w:val="72"/>
          <w:lang w:val="sr-Cyrl-RS"/>
        </w:rPr>
      </w:pPr>
      <w:r w:rsidRPr="00A173E9">
        <w:rPr>
          <w:rFonts w:ascii="Calibri" w:eastAsia="Calibri" w:hAnsi="Calibri" w:cs="Calibri"/>
          <w:bCs/>
          <w:szCs w:val="72"/>
          <w:lang w:val="sr-Cyrl-RS"/>
        </w:rPr>
        <w:t>да просечно време до доспећа (АТМ) унутрашњег дуга буде на нивоу од најмање 5,0 година на средњи рок;</w:t>
      </w:r>
    </w:p>
    <w:p w14:paraId="19364852" w14:textId="77777777" w:rsidR="001E3E7D" w:rsidRPr="00A173E9" w:rsidRDefault="001E3E7D" w:rsidP="00EF25B6">
      <w:pPr>
        <w:numPr>
          <w:ilvl w:val="0"/>
          <w:numId w:val="13"/>
        </w:numPr>
        <w:spacing w:line="257" w:lineRule="auto"/>
        <w:ind w:left="142" w:hanging="142"/>
        <w:rPr>
          <w:rFonts w:ascii="Calibri" w:eastAsia="Calibri" w:hAnsi="Calibri" w:cs="Calibri"/>
          <w:bCs/>
          <w:szCs w:val="72"/>
          <w:lang w:val="sr-Cyrl-RS"/>
        </w:rPr>
      </w:pPr>
      <w:r w:rsidRPr="00A173E9">
        <w:rPr>
          <w:rFonts w:ascii="Calibri" w:eastAsia="Calibri" w:hAnsi="Calibri" w:cs="Calibri"/>
          <w:bCs/>
          <w:szCs w:val="72"/>
          <w:lang w:val="sr-Cyrl-RS"/>
        </w:rPr>
        <w:t>да се просечно време до доспећа (АТМ) спољног дуга одржава на нивоу од 7,0 ± 0,5 година у истом временском хоризонту.</w:t>
      </w:r>
    </w:p>
    <w:p w14:paraId="52813C91" w14:textId="77777777" w:rsidR="001E3E7D" w:rsidRPr="00A173E9" w:rsidRDefault="001E3E7D" w:rsidP="008265F0">
      <w:pPr>
        <w:spacing w:after="240" w:line="256" w:lineRule="auto"/>
        <w:jc w:val="center"/>
        <w:rPr>
          <w:rFonts w:ascii="Calibri" w:eastAsia="Calibri" w:hAnsi="Calibri" w:cs="Times New Roman"/>
          <w:b/>
          <w:color w:val="002060"/>
          <w:spacing w:val="-2"/>
          <w:lang w:val="sr-Cyrl-RS"/>
        </w:rPr>
      </w:pPr>
      <w:r w:rsidRPr="00A173E9">
        <w:rPr>
          <w:rFonts w:ascii="Calibri" w:eastAsia="Calibri" w:hAnsi="Calibri" w:cs="Times New Roman"/>
          <w:b/>
          <w:color w:val="002060"/>
          <w:spacing w:val="-2"/>
          <w:lang w:val="sr-Cyrl-RS"/>
        </w:rPr>
        <w:t xml:space="preserve">Кретање приноса до доспећа динарских </w:t>
      </w:r>
      <w:r w:rsidRPr="00A173E9">
        <w:rPr>
          <w:rFonts w:ascii="Calibri" w:eastAsia="Calibri" w:hAnsi="Calibri" w:cs="Calibri"/>
          <w:b/>
          <w:bCs/>
          <w:color w:val="002060"/>
          <w:spacing w:val="-2"/>
          <w:szCs w:val="72"/>
          <w:lang w:val="sr-Cyrl-RS"/>
        </w:rPr>
        <w:t>„</w:t>
      </w:r>
      <w:r w:rsidRPr="00A173E9">
        <w:rPr>
          <w:rFonts w:ascii="Calibri" w:eastAsia="Calibri" w:hAnsi="Calibri" w:cs="Times New Roman"/>
          <w:b/>
          <w:color w:val="002060"/>
          <w:spacing w:val="-2"/>
          <w:lang w:val="sr-Cyrl-RS"/>
        </w:rPr>
        <w:t>бенчмарк</w:t>
      </w:r>
      <w:r w:rsidR="00C6085C" w:rsidRPr="00C6085C">
        <w:rPr>
          <w:rFonts w:ascii="Calibri" w:eastAsia="Calibri" w:hAnsi="Calibri" w:cs="Times New Roman"/>
          <w:b/>
          <w:color w:val="002060"/>
          <w:spacing w:val="-2"/>
          <w:lang w:val="sr-Cyrl-RS"/>
        </w:rPr>
        <w:t>”</w:t>
      </w:r>
      <w:r w:rsidRPr="00A173E9">
        <w:rPr>
          <w:rFonts w:ascii="Calibri" w:eastAsia="Calibri" w:hAnsi="Calibri" w:cs="Times New Roman"/>
          <w:b/>
          <w:color w:val="002060"/>
          <w:spacing w:val="-2"/>
          <w:lang w:val="sr-Cyrl-RS"/>
        </w:rPr>
        <w:t xml:space="preserve"> емисија на секундарном трговању</w:t>
      </w:r>
    </w:p>
    <w:p w14:paraId="42FD6B28" w14:textId="77777777" w:rsidR="001E3E7D" w:rsidRPr="00A173E9" w:rsidRDefault="001E3E7D" w:rsidP="008265F0">
      <w:pPr>
        <w:spacing w:after="240" w:line="256" w:lineRule="auto"/>
        <w:jc w:val="center"/>
        <w:rPr>
          <w:rFonts w:ascii="Calibri" w:eastAsia="Calibri" w:hAnsi="Calibri" w:cs="Times New Roman"/>
          <w:b/>
          <w:lang w:val="sr-Cyrl-RS"/>
        </w:rPr>
      </w:pPr>
      <w:r w:rsidRPr="00A173E9">
        <w:rPr>
          <w:rFonts w:ascii="Calibri" w:eastAsia="Calibri" w:hAnsi="Calibri" w:cs="Times New Roman"/>
          <w:noProof/>
        </w:rPr>
        <w:drawing>
          <wp:inline distT="0" distB="0" distL="0" distR="0" wp14:anchorId="352038AC" wp14:editId="302AF4CE">
            <wp:extent cx="2750185" cy="1917700"/>
            <wp:effectExtent l="0" t="0" r="0" b="6350"/>
            <wp:docPr id="5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F04A744" w14:textId="77777777" w:rsidR="001E3E7D" w:rsidRPr="00A173E9" w:rsidRDefault="00EF25B6" w:rsidP="008265F0">
      <w:pPr>
        <w:spacing w:after="40" w:line="256" w:lineRule="auto"/>
        <w:jc w:val="center"/>
        <w:rPr>
          <w:rFonts w:ascii="Calibri" w:eastAsia="Calibri" w:hAnsi="Calibri" w:cs="Times New Roman"/>
          <w:b/>
          <w:color w:val="002060"/>
          <w:spacing w:val="-2"/>
          <w:lang w:val="sr-Cyrl-RS"/>
        </w:rPr>
      </w:pPr>
      <w:r>
        <w:rPr>
          <w:rFonts w:ascii="Calibri" w:eastAsia="Calibri" w:hAnsi="Calibri" w:cs="Times New Roman"/>
          <w:b/>
          <w:bCs/>
          <w:color w:val="002060"/>
          <w:lang w:val="sr-Cyrl-RS"/>
        </w:rPr>
        <w:br w:type="column"/>
      </w:r>
      <w:r w:rsidR="001E3E7D" w:rsidRPr="00A173E9">
        <w:rPr>
          <w:rFonts w:ascii="Calibri" w:eastAsia="Calibri" w:hAnsi="Calibri" w:cs="Times New Roman"/>
          <w:b/>
          <w:bCs/>
          <w:color w:val="002060"/>
          <w:lang w:val="sr-Cyrl-RS"/>
        </w:rPr>
        <w:t xml:space="preserve">Просечно време до доспећа (АТМ) државних хартија од вредности емитованих на домаћем финансијском тржишту у периоду </w:t>
      </w:r>
      <w:r w:rsidR="001E3E7D" w:rsidRPr="00A173E9">
        <w:rPr>
          <w:rFonts w:ascii="Calibri" w:eastAsia="Calibri" w:hAnsi="Calibri" w:cs="Times New Roman"/>
          <w:b/>
          <w:bCs/>
          <w:color w:val="002060"/>
          <w:lang w:val="sr-Cyrl-RS"/>
        </w:rPr>
        <w:br w:type="textWrapping" w:clear="all"/>
        <w:t>01. јануар 201</w:t>
      </w:r>
      <w:r w:rsidR="001E3E7D" w:rsidRPr="00A173E9">
        <w:rPr>
          <w:rFonts w:ascii="Calibri" w:eastAsia="Calibri" w:hAnsi="Calibri" w:cs="Times New Roman"/>
          <w:b/>
          <w:bCs/>
          <w:color w:val="002060"/>
          <w:lang w:val="sr-Latn-RS"/>
        </w:rPr>
        <w:t>7</w:t>
      </w:r>
      <w:r w:rsidR="001E3E7D" w:rsidRPr="00A173E9">
        <w:rPr>
          <w:rFonts w:ascii="Calibri" w:eastAsia="Calibri" w:hAnsi="Calibri" w:cs="Times New Roman"/>
          <w:b/>
          <w:bCs/>
          <w:color w:val="002060"/>
          <w:lang w:val="sr-Cyrl-RS"/>
        </w:rPr>
        <w:t>.–</w:t>
      </w:r>
      <w:r w:rsidR="001E3E7D" w:rsidRPr="00A173E9">
        <w:rPr>
          <w:rFonts w:ascii="Calibri" w:eastAsia="Calibri" w:hAnsi="Calibri" w:cs="Times New Roman"/>
          <w:b/>
          <w:color w:val="002060"/>
          <w:spacing w:val="-2"/>
          <w:lang w:val="sr-Cyrl-RS"/>
        </w:rPr>
        <w:t>3</w:t>
      </w:r>
      <w:r w:rsidR="001E3E7D" w:rsidRPr="00A173E9">
        <w:rPr>
          <w:rFonts w:ascii="Calibri" w:eastAsia="Calibri" w:hAnsi="Calibri" w:cs="Times New Roman"/>
          <w:b/>
          <w:color w:val="002060"/>
          <w:spacing w:val="-2"/>
          <w:lang w:val="sr-Latn-RS"/>
        </w:rPr>
        <w:t>1</w:t>
      </w:r>
      <w:r w:rsidR="001E3E7D" w:rsidRPr="00A173E9">
        <w:rPr>
          <w:rFonts w:ascii="Calibri" w:eastAsia="Calibri" w:hAnsi="Calibri" w:cs="Times New Roman"/>
          <w:b/>
          <w:color w:val="002060"/>
          <w:spacing w:val="-2"/>
          <w:lang w:val="sr-Cyrl-RS"/>
        </w:rPr>
        <w:t>. март 2021. године</w:t>
      </w:r>
    </w:p>
    <w:p w14:paraId="409184FD" w14:textId="77777777" w:rsidR="001E3E7D" w:rsidRPr="004E0C7D" w:rsidRDefault="001E3E7D" w:rsidP="00EF25B6">
      <w:pPr>
        <w:spacing w:line="257" w:lineRule="auto"/>
        <w:jc w:val="center"/>
        <w:rPr>
          <w:rFonts w:ascii="Calibri" w:eastAsia="Calibri" w:hAnsi="Calibri" w:cs="Times New Roman"/>
          <w:b/>
          <w:color w:val="002060"/>
          <w:spacing w:val="-2"/>
          <w:sz w:val="12"/>
          <w:szCs w:val="12"/>
          <w:lang w:val="sr-Cyrl-RS"/>
        </w:rPr>
      </w:pPr>
      <w:r w:rsidRPr="00A173E9">
        <w:rPr>
          <w:rFonts w:ascii="Calibri" w:eastAsia="Calibri" w:hAnsi="Calibri" w:cs="Times New Roman"/>
          <w:noProof/>
        </w:rPr>
        <w:drawing>
          <wp:inline distT="0" distB="0" distL="0" distR="0" wp14:anchorId="7AFE3FE6" wp14:editId="06E65C2F">
            <wp:extent cx="3029585" cy="1896745"/>
            <wp:effectExtent l="0" t="0" r="0" b="8255"/>
            <wp:docPr id="52"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29A7BAF9" w14:textId="77777777" w:rsidR="001E3E7D" w:rsidRPr="00A173E9" w:rsidRDefault="001E3E7D" w:rsidP="008265F0">
      <w:pPr>
        <w:spacing w:line="256" w:lineRule="auto"/>
        <w:rPr>
          <w:rFonts w:ascii="Calibri" w:eastAsia="Calibri" w:hAnsi="Calibri" w:cs="Times New Roman"/>
          <w:b/>
          <w:color w:val="2F5496" w:themeColor="accent1" w:themeShade="BF"/>
          <w:sz w:val="22"/>
          <w:lang w:val="sr-Cyrl-RS"/>
        </w:rPr>
      </w:pPr>
      <w:r w:rsidRPr="00A173E9">
        <w:rPr>
          <w:rFonts w:ascii="Calibri" w:eastAsia="Calibri" w:hAnsi="Calibri" w:cs="Times New Roman"/>
          <w:b/>
          <w:color w:val="2F5496" w:themeColor="accent1" w:themeShade="BF"/>
          <w:sz w:val="22"/>
          <w:lang w:val="sr-Cyrl-RS"/>
        </w:rPr>
        <w:t>Мере за унапређење тржишта динарских хартија од вредности у периоду 2022–2024. године</w:t>
      </w:r>
    </w:p>
    <w:p w14:paraId="22BCACDD"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Тржиште државних хартија од вредности, у периоду од 2012. године до марта 2021. године, карактерише испуњавање зацртаних стратешких циљева, првенствено у погледу инструмената финансирања, као и у развоју и одржавању стабилности диверсификоване базе инвеститора. Преласком са краткорочних извора финансирања који се везују за период до 2010. године, на средњорочне и дугорочне инструменте финансирања, уз константно смањење трошкова задуживања, утиче се на смањење ризика рефинансирања, као једног од примарних ризика у процесу управљања јавним дугом. На крају 2013. године учешће дугорочних динарских инструмената по оригиналној рочности од три и више година износило је 38,3% у стању динарских хартија од вредности, док је на крају марта 2021. године износило 90,6%.</w:t>
      </w:r>
    </w:p>
    <w:p w14:paraId="3B405BEC" w14:textId="77777777" w:rsidR="001E3E7D" w:rsidRPr="00866BE8" w:rsidRDefault="001E3E7D" w:rsidP="008265F0">
      <w:pPr>
        <w:spacing w:line="256" w:lineRule="auto"/>
        <w:rPr>
          <w:rFonts w:ascii="Calibri" w:eastAsia="Calibri" w:hAnsi="Calibri" w:cs="Calibri"/>
          <w:bCs/>
          <w:spacing w:val="-2"/>
          <w:szCs w:val="72"/>
          <w:lang w:val="sr-Cyrl-RS"/>
        </w:rPr>
      </w:pPr>
      <w:r w:rsidRPr="00A173E9">
        <w:rPr>
          <w:rFonts w:ascii="Calibri" w:eastAsia="Calibri" w:hAnsi="Calibri" w:cs="Calibri"/>
          <w:bCs/>
          <w:szCs w:val="72"/>
          <w:lang w:val="sr-Cyrl-RS"/>
        </w:rPr>
        <w:t>Транспарентност у раду и извештавању, као и присутност на међународном тржишту капитала, утичу на информисаност, а тиме и на заинтересованост нерезидената да инвестирају капитал у дужничке инструменте, првенствено у државне динарске дугорочне хартије од вредности, чиме се остварује раст стабилне базе инвеститора. Услед успешне реализације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емисија током 2014. и 2015. године, са истом праксом је настављено током 2016. године. У фебруару и јулу 2016. године емитоване су </w:t>
      </w:r>
      <w:r w:rsidRPr="00A173E9">
        <w:rPr>
          <w:rFonts w:ascii="Calibri" w:eastAsia="Calibri" w:hAnsi="Calibri" w:cs="Calibri"/>
          <w:bCs/>
          <w:szCs w:val="72"/>
          <w:lang w:val="sr-Cyrl-RS"/>
        </w:rPr>
        <w:lastRenderedPageBreak/>
        <w:t>„бенчмарк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трогодишња и седмогодишња обвезница обима емисије по 110,0 млрд динара. У априлу 2017. године емитована је трогодишња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обвезница обима емисије у износу од 110,0 млрд динара. У јануару и фебруару 2018. године емитоване су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петогодишња и десетогодишња обвезница обима емисије по 110,0 млрд динара. У јануару 2019. године емитоване су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трогодишња и седмогодишња обвезница обима емисије 100,0 и 150,0 млрд динара. </w:t>
      </w:r>
      <w:r w:rsidRPr="00866BE8">
        <w:rPr>
          <w:rFonts w:ascii="Calibri" w:eastAsia="Calibri" w:hAnsi="Calibri" w:cs="Calibri"/>
          <w:bCs/>
          <w:spacing w:val="-2"/>
          <w:szCs w:val="72"/>
          <w:lang w:val="sr-Cyrl-RS"/>
        </w:rPr>
        <w:t>У јануару и фебруару 2020. г</w:t>
      </w:r>
      <w:r w:rsidR="00866BE8" w:rsidRPr="00866BE8">
        <w:rPr>
          <w:rFonts w:ascii="Calibri" w:eastAsia="Calibri" w:hAnsi="Calibri" w:cs="Calibri"/>
          <w:bCs/>
          <w:spacing w:val="-2"/>
          <w:szCs w:val="72"/>
          <w:lang w:val="sr-Cyrl-RS"/>
        </w:rPr>
        <w:t xml:space="preserve">одине по први пут су емитоване </w:t>
      </w:r>
      <w:r w:rsidRPr="00866BE8">
        <w:rPr>
          <w:rFonts w:ascii="Calibri" w:eastAsia="Calibri" w:hAnsi="Calibri" w:cs="Calibri"/>
          <w:bCs/>
          <w:spacing w:val="-2"/>
          <w:szCs w:val="72"/>
          <w:lang w:val="sr-Cyrl-RS"/>
        </w:rPr>
        <w:t>петоипогодишње и дванаестоипогодишње обве</w:t>
      </w:r>
      <w:r w:rsidR="00866BE8" w:rsidRPr="00866BE8">
        <w:rPr>
          <w:rFonts w:ascii="Calibri" w:eastAsia="Calibri" w:hAnsi="Calibri" w:cs="Calibri"/>
          <w:bCs/>
          <w:spacing w:val="-2"/>
          <w:szCs w:val="72"/>
          <w:lang w:val="sr-Cyrl-RS"/>
        </w:rPr>
        <w:t xml:space="preserve">знице са полугодишњим купоном. </w:t>
      </w:r>
      <w:r w:rsidRPr="00866BE8">
        <w:rPr>
          <w:rFonts w:ascii="Calibri" w:eastAsia="Calibri" w:hAnsi="Calibri" w:cs="Calibri"/>
          <w:bCs/>
          <w:spacing w:val="-2"/>
          <w:szCs w:val="72"/>
          <w:lang w:val="sr-Cyrl-RS"/>
        </w:rPr>
        <w:t>У 2021. години изменама Уредбе о општим условима за емисију и продају државних хартија од вредности на примарном тржишту („Службени гласник РС”, бр. 100/2014, 78/2017, 66/2018, 78/2018 и 140/2020), омогућено је повећање обима раније емитованих обвезница, па је код петоипогодишње и дванаестоипогодишње обвез</w:t>
      </w:r>
      <w:r w:rsidR="007D4A1B">
        <w:rPr>
          <w:rFonts w:ascii="Calibri" w:eastAsia="Calibri" w:hAnsi="Calibri" w:cs="Calibri"/>
          <w:bCs/>
          <w:spacing w:val="-2"/>
          <w:szCs w:val="72"/>
          <w:lang w:val="sr-Cyrl-RS"/>
        </w:rPr>
        <w:t>н</w:t>
      </w:r>
      <w:r w:rsidRPr="00866BE8">
        <w:rPr>
          <w:rFonts w:ascii="Calibri" w:eastAsia="Calibri" w:hAnsi="Calibri" w:cs="Calibri"/>
          <w:bCs/>
          <w:spacing w:val="-2"/>
          <w:szCs w:val="72"/>
          <w:lang w:val="sr-Cyrl-RS"/>
        </w:rPr>
        <w:t>ице, повећан обим емисије за по 50 милијарди динара. Такође, повећање обима емисије, у износу од 10 милијарди динара, извршено је и код десетогодишње обвезнице првобитно емитоване 6. фебруара 2018. године.</w:t>
      </w:r>
    </w:p>
    <w:p w14:paraId="2F134B12"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Овим емисијама знатно је повећан обим секундарног трговања ових инструмената што је допринело и паду извршних стопа приноса на реотварањима поменутих емисија.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емисијама повећано је и учешће страних инвеститора у динарским хартијама од вредности, које је на крају марта 2021. године износило 25,0%. Почетком 2021. године, званично је потврђено да ће Републ</w:t>
      </w:r>
      <w:r w:rsidR="00F752BB">
        <w:rPr>
          <w:rFonts w:ascii="Calibri" w:eastAsia="Calibri" w:hAnsi="Calibri" w:cs="Calibri"/>
          <w:bCs/>
          <w:szCs w:val="72"/>
          <w:lang w:val="sr-Cyrl-RS"/>
        </w:rPr>
        <w:t xml:space="preserve">ика Србија у јуну 2021. године </w:t>
      </w:r>
      <w:r w:rsidRPr="00A173E9">
        <w:rPr>
          <w:rFonts w:ascii="Calibri" w:eastAsia="Calibri" w:hAnsi="Calibri" w:cs="Calibri"/>
          <w:bCs/>
          <w:szCs w:val="72"/>
          <w:lang w:val="sr-Cyrl-RS"/>
        </w:rPr>
        <w:t xml:space="preserve">ући у J.P Morgan индекс државних обвезница земаља у развоју (GBI-EM </w:t>
      </w:r>
      <w:r w:rsidRPr="007D4A1B">
        <w:rPr>
          <w:rFonts w:ascii="Calibri" w:eastAsia="Calibri" w:hAnsi="Calibri" w:cs="Calibri"/>
          <w:bCs/>
          <w:i/>
          <w:szCs w:val="72"/>
          <w:lang w:val="sr-Cyrl-RS"/>
        </w:rPr>
        <w:t>Global Diversified Index</w:t>
      </w:r>
      <w:r w:rsidRPr="00A173E9">
        <w:rPr>
          <w:rFonts w:ascii="Calibri" w:eastAsia="Calibri" w:hAnsi="Calibri" w:cs="Calibri"/>
          <w:bCs/>
          <w:szCs w:val="72"/>
          <w:lang w:val="sr-Cyrl-RS"/>
        </w:rPr>
        <w:t>). У индекс ће бити укључене три динарске бенчмарк обвезнице са доспећем 11. јануара 2026. године (RSMFRSD89592), 6. фебруара 2028. године (RSMFRSD55940) и 20. августа 2032. године (RSMFRSD86176).</w:t>
      </w:r>
    </w:p>
    <w:p w14:paraId="1233BF51"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 xml:space="preserve">У периоду за који се доноси ова Стратегија очекује се унапређење ефикасности примарног тржишта кроз концепт примарних дилера, као механизма продаје државних хартија од вредности који директно, у дужем року, доприноси смањењу трошкова задуживања, као и смањењу ризика рефинансирања. Увођење система продаје </w:t>
      </w:r>
      <w:r w:rsidRPr="00A173E9">
        <w:rPr>
          <w:rFonts w:ascii="Calibri" w:eastAsia="Calibri" w:hAnsi="Calibri" w:cs="Calibri"/>
          <w:bCs/>
          <w:szCs w:val="72"/>
          <w:lang w:val="sr-Cyrl-RS"/>
        </w:rPr>
        <w:t>државних хартија од вредности на домаћем финансијском тржишту преко примарних дилера, пружа добру основу за унапређење тржишне ефикасности секундарног тржишта државних хартија од вредности. Развојем секундарног тржишта, временом ће се успоставити концепт тржишне ефикасности у процесу вредновања државних хартија од вредности. Увођењем „бенчмарк</w:t>
      </w:r>
      <w:r w:rsidR="00C6085C" w:rsidRPr="00C6085C">
        <w:rPr>
          <w:rFonts w:eastAsia="MS PGothic" w:cstheme="minorHAnsi"/>
          <w:szCs w:val="20"/>
          <w:lang w:val="sr-Cyrl-CS" w:eastAsia="ja-JP"/>
        </w:rPr>
        <w:t>”</w:t>
      </w:r>
      <w:r w:rsidRPr="00A173E9">
        <w:rPr>
          <w:rFonts w:ascii="Calibri" w:eastAsia="Calibri" w:hAnsi="Calibri" w:cs="Calibri"/>
          <w:bCs/>
          <w:szCs w:val="72"/>
          <w:lang w:val="sr-Cyrl-RS"/>
        </w:rPr>
        <w:t xml:space="preserve"> емисија обвезница остварен је позитиван ефекат на обим и континуитет секундарног трговања, као и на унапређење тржишне ефикасности у поступку продаје државних хартија на примарном тржишту.</w:t>
      </w:r>
    </w:p>
    <w:p w14:paraId="663F4EBB"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Као водеће факторе који утичу на криву приноса државних хартија од вредности потребно је издвојити фискални резултат, очекивану стопу инфлације и девизни курс. Као посебну групу фактора потребно је издвојити макроекономска кретања и очекивања, као и промене на међународном финансијском тржишту, које се рефлектују на премију ризика земље.</w:t>
      </w:r>
    </w:p>
    <w:p w14:paraId="25BC40A4" w14:textId="77777777" w:rsidR="001E3E7D" w:rsidRPr="00A173E9" w:rsidRDefault="001E3E7D" w:rsidP="008265F0">
      <w:pPr>
        <w:spacing w:line="256" w:lineRule="auto"/>
        <w:rPr>
          <w:rFonts w:ascii="Calibri" w:eastAsia="Calibri" w:hAnsi="Calibri" w:cs="Calibri"/>
          <w:bCs/>
          <w:szCs w:val="72"/>
          <w:lang w:val="sr-Cyrl-RS"/>
        </w:rPr>
      </w:pPr>
      <w:r w:rsidRPr="00A173E9">
        <w:rPr>
          <w:rFonts w:ascii="Calibri" w:eastAsia="Calibri" w:hAnsi="Calibri" w:cs="Calibri"/>
          <w:bCs/>
          <w:szCs w:val="72"/>
          <w:lang w:val="sr-Cyrl-RS"/>
        </w:rPr>
        <w:t>На крају 2012. године просечна рочност динарских хартија од вредности износила je 394 дана (1,1 годину), на крају 2013. године 469 дана (1,3 године), на крају 2014. године 645 дана (1,8 годину), на крају 2015. године 749 дана (2,1 годину), на крају 2016. године 789 дана (2,2 године), на крају 2017. године 864 дана (2,4 године), на крају 2018. године 1.188 дана (3,3 године), на крају 2019. године 1.403 дана (3,8 година), на крају 2020. године 1.429 дана (3,9 година), а на крају марта 2021. године 1.452 дана (4 годинe). Развој домаћег тржишта државних хартија од вредности биће од стране Републике Србије потпомогнут следећим мерама:</w:t>
      </w:r>
    </w:p>
    <w:p w14:paraId="42088BD9" w14:textId="77777777" w:rsidR="001E3E7D" w:rsidRPr="00A173E9" w:rsidRDefault="001E3E7D" w:rsidP="001E3E7D">
      <w:pPr>
        <w:numPr>
          <w:ilvl w:val="0"/>
          <w:numId w:val="32"/>
        </w:numPr>
        <w:spacing w:after="60" w:line="254" w:lineRule="auto"/>
        <w:ind w:left="0" w:hanging="142"/>
        <w:rPr>
          <w:rFonts w:ascii="Calibri" w:eastAsia="Calibri" w:hAnsi="Calibri" w:cs="Calibri"/>
          <w:bCs/>
          <w:szCs w:val="72"/>
          <w:lang w:val="sr-Cyrl-RS"/>
        </w:rPr>
      </w:pPr>
      <w:r w:rsidRPr="00A173E9">
        <w:rPr>
          <w:rFonts w:ascii="Calibri" w:eastAsia="Calibri" w:hAnsi="Calibri" w:cs="Calibri"/>
          <w:bCs/>
          <w:szCs w:val="72"/>
          <w:lang w:val="sr-Cyrl-RS"/>
        </w:rPr>
        <w:t>Укључивање обвезница Републике Србије у глобални индекс значајно ће повећати базу инвеститора и додатно поспешити секундарно трговање, што ће допринети даљем смањењу трошкова задуживања путем емисија динарских државних хартија од вредности;</w:t>
      </w:r>
    </w:p>
    <w:p w14:paraId="5CE9ED7B" w14:textId="77777777" w:rsidR="001E3E7D" w:rsidRPr="00A173E9" w:rsidRDefault="001E3E7D" w:rsidP="001E3E7D">
      <w:pPr>
        <w:numPr>
          <w:ilvl w:val="0"/>
          <w:numId w:val="32"/>
        </w:numPr>
        <w:spacing w:after="60" w:line="254" w:lineRule="auto"/>
        <w:ind w:left="0" w:hanging="142"/>
        <w:rPr>
          <w:rFonts w:ascii="Calibri" w:eastAsia="Calibri" w:hAnsi="Calibri" w:cs="Calibri"/>
          <w:bCs/>
          <w:szCs w:val="72"/>
          <w:lang w:val="sr-Cyrl-RS"/>
        </w:rPr>
      </w:pPr>
      <w:r w:rsidRPr="00A173E9">
        <w:rPr>
          <w:rFonts w:ascii="Calibri" w:eastAsia="Calibri" w:hAnsi="Calibri" w:cs="Calibri"/>
          <w:bCs/>
          <w:szCs w:val="72"/>
          <w:lang w:val="sr-Cyrl-RS"/>
        </w:rPr>
        <w:t xml:space="preserve">У циљу креирања што веће базе инвеститора и развоја секундарног тржишта хартија од вредности емитованих на домаћем тржишту, креиран је једнак порески третман домаћих и страних инвеститора крајем 2011. године, и у наредном периоду тежиће се уклањању свих </w:t>
      </w:r>
      <w:r w:rsidRPr="00A173E9">
        <w:rPr>
          <w:rFonts w:ascii="Calibri" w:eastAsia="Calibri" w:hAnsi="Calibri" w:cs="Calibri"/>
          <w:bCs/>
          <w:szCs w:val="72"/>
          <w:lang w:val="sr-Cyrl-RS"/>
        </w:rPr>
        <w:lastRenderedPageBreak/>
        <w:t>евентуалних препрека за слободан проток капитала;</w:t>
      </w:r>
    </w:p>
    <w:p w14:paraId="154865DF" w14:textId="77777777" w:rsidR="001E3E7D" w:rsidRPr="00A173E9" w:rsidRDefault="001E3E7D" w:rsidP="001E3E7D">
      <w:pPr>
        <w:numPr>
          <w:ilvl w:val="0"/>
          <w:numId w:val="32"/>
        </w:numPr>
        <w:spacing w:after="60" w:line="254" w:lineRule="auto"/>
        <w:ind w:left="0" w:hanging="142"/>
        <w:rPr>
          <w:rFonts w:ascii="Calibri" w:eastAsia="Calibri" w:hAnsi="Calibri" w:cs="Calibri"/>
          <w:bCs/>
          <w:szCs w:val="72"/>
          <w:lang w:val="sr-Cyrl-RS"/>
        </w:rPr>
      </w:pPr>
      <w:r w:rsidRPr="00A173E9">
        <w:rPr>
          <w:rFonts w:ascii="Calibri" w:eastAsia="Calibri" w:hAnsi="Calibri" w:cs="Calibri"/>
          <w:bCs/>
          <w:szCs w:val="72"/>
          <w:lang w:val="sr-Cyrl-RS"/>
        </w:rPr>
        <w:t xml:space="preserve">У наредном периоду радиће се активно на увођењу система примарних дилера. Наиме, Законом о изменама и допунама Закона о јавном дугу из децембра 2018. године, предвиђено је увођење примарних дилера на домаће тржиште капитала као подстицај ликвидности секундарног тржишта државних хартија од вредности и смањењу ризика рефинансирања дуга. Наведеним изменама Закона предвиђа се и пословање са финансијским дериватима којим би се обављале трансакције ради управљања ризиком, укључујући </w:t>
      </w:r>
      <w:r w:rsidRPr="00A173E9">
        <w:rPr>
          <w:rFonts w:ascii="Calibri" w:eastAsia="Calibri" w:hAnsi="Calibri" w:cs="Calibri"/>
          <w:bCs/>
          <w:szCs w:val="72"/>
          <w:lang w:val="sr-Cyrl-RS"/>
        </w:rPr>
        <w:t>и смањивање или елиминисање ризика од промене курса, каматних стопа као и других ризика.</w:t>
      </w:r>
    </w:p>
    <w:p w14:paraId="1578DBDB" w14:textId="77777777" w:rsidR="001E3E7D" w:rsidRPr="001E3E7D" w:rsidRDefault="001E3E7D" w:rsidP="00E4657F">
      <w:pPr>
        <w:numPr>
          <w:ilvl w:val="0"/>
          <w:numId w:val="32"/>
        </w:numPr>
        <w:spacing w:after="60" w:line="254" w:lineRule="auto"/>
        <w:ind w:left="0" w:hanging="142"/>
        <w:rPr>
          <w:rFonts w:ascii="Calibri" w:eastAsia="Calibri" w:hAnsi="Calibri" w:cs="Calibri"/>
          <w:bCs/>
          <w:szCs w:val="72"/>
          <w:lang w:val="sr-Cyrl-RS"/>
        </w:rPr>
      </w:pPr>
      <w:r w:rsidRPr="00A173E9">
        <w:rPr>
          <w:rFonts w:ascii="Calibri" w:eastAsia="Calibri" w:hAnsi="Calibri" w:cs="Calibri"/>
          <w:bCs/>
          <w:szCs w:val="72"/>
          <w:lang w:val="sr-Cyrl-RS"/>
        </w:rPr>
        <w:t>Предузете су активности на омогућавању салдирања државних хартија од вредности на иностраном тржишту. Изменама и допунама Закона о јавном дугу из децембра 2019. године, омогућено је да клиринг и салдирање државних хартија од вредности емитованих на домаћем тржишту, поред Централног регистара врши и друго страно правно лице које обавља послове клиринга и салдирања.</w:t>
      </w:r>
    </w:p>
    <w:p w14:paraId="58970ABE" w14:textId="77777777" w:rsidR="001E3E7D" w:rsidRDefault="001E3E7D" w:rsidP="00427829">
      <w:pPr>
        <w:keepNext/>
        <w:keepLines/>
        <w:spacing w:after="0" w:line="240" w:lineRule="auto"/>
        <w:jc w:val="center"/>
        <w:outlineLvl w:val="0"/>
        <w:rPr>
          <w:rFonts w:eastAsiaTheme="majorEastAsia" w:cstheme="minorHAnsi"/>
          <w:b/>
          <w:color w:val="2F5496" w:themeColor="accent1" w:themeShade="BF"/>
          <w:sz w:val="26"/>
          <w:szCs w:val="26"/>
          <w:lang w:val="sr-Cyrl-RS"/>
        </w:rPr>
        <w:sectPr w:rsidR="001E3E7D" w:rsidSect="008265F0">
          <w:type w:val="continuous"/>
          <w:pgSz w:w="12240" w:h="15840" w:code="1"/>
          <w:pgMar w:top="1418" w:right="1418" w:bottom="1418" w:left="1418" w:header="720" w:footer="720" w:gutter="0"/>
          <w:cols w:num="2" w:space="720"/>
          <w:docGrid w:linePitch="272"/>
        </w:sectPr>
      </w:pPr>
      <w:bookmarkStart w:id="47" w:name="_Toc56667083"/>
    </w:p>
    <w:bookmarkEnd w:id="47"/>
    <w:p w14:paraId="3583FEFB" w14:textId="77777777" w:rsidR="001E3E7D" w:rsidRDefault="001E3E7D">
      <w:pPr>
        <w:jc w:val="left"/>
        <w:rPr>
          <w:rFonts w:cstheme="minorHAnsi"/>
          <w:bCs/>
          <w:spacing w:val="-2"/>
          <w:szCs w:val="72"/>
          <w:lang w:val="sr-Cyrl-RS"/>
        </w:rPr>
      </w:pPr>
      <w:r>
        <w:rPr>
          <w:rFonts w:cstheme="minorHAnsi"/>
          <w:bCs/>
          <w:spacing w:val="-2"/>
          <w:szCs w:val="72"/>
          <w:lang w:val="sr-Cyrl-RS"/>
        </w:rPr>
        <w:br w:type="page"/>
      </w:r>
    </w:p>
    <w:p w14:paraId="23D9A280" w14:textId="77777777" w:rsidR="00427829" w:rsidRPr="008E2FD8" w:rsidRDefault="00427829" w:rsidP="00427829">
      <w:pPr>
        <w:keepNext/>
        <w:keepLines/>
        <w:spacing w:after="0" w:line="240" w:lineRule="auto"/>
        <w:jc w:val="center"/>
        <w:outlineLvl w:val="0"/>
        <w:rPr>
          <w:rFonts w:cstheme="minorHAnsi"/>
          <w:bCs/>
          <w:color w:val="2F5496" w:themeColor="accent1" w:themeShade="BF"/>
          <w:szCs w:val="72"/>
          <w:lang w:val="sr-Cyrl-RS"/>
        </w:rPr>
      </w:pPr>
      <w:bookmarkStart w:id="48" w:name="_Toc529801854"/>
      <w:bookmarkStart w:id="49" w:name="_Toc73364975"/>
      <w:r w:rsidRPr="008E2FD8">
        <w:rPr>
          <w:rFonts w:eastAsiaTheme="majorEastAsia" w:cstheme="minorHAnsi"/>
          <w:b/>
          <w:color w:val="2F5496" w:themeColor="accent1" w:themeShade="BF"/>
          <w:sz w:val="26"/>
          <w:szCs w:val="26"/>
          <w:lang w:val="sr-Cyrl-RS"/>
        </w:rPr>
        <w:lastRenderedPageBreak/>
        <w:t>IV. ЗАВРШНЕ ОДРЕДБЕ</w:t>
      </w:r>
      <w:bookmarkEnd w:id="48"/>
      <w:bookmarkEnd w:id="49"/>
    </w:p>
    <w:p w14:paraId="6F3BCEA1" w14:textId="77777777" w:rsidR="00427829" w:rsidRPr="008E2FD8" w:rsidRDefault="00427829" w:rsidP="00427829">
      <w:pPr>
        <w:rPr>
          <w:lang w:val="sr-Cyrl-RS"/>
        </w:rPr>
      </w:pPr>
    </w:p>
    <w:p w14:paraId="6472F74A" w14:textId="77777777" w:rsidR="00427829" w:rsidRPr="008E2FD8" w:rsidRDefault="00427829" w:rsidP="00427829">
      <w:pPr>
        <w:rPr>
          <w:lang w:val="sr-Cyrl-RS"/>
        </w:rPr>
      </w:pPr>
    </w:p>
    <w:p w14:paraId="2985B504" w14:textId="77777777" w:rsidR="00427829" w:rsidRPr="008E2FD8" w:rsidRDefault="00427829" w:rsidP="00427829">
      <w:pPr>
        <w:spacing w:after="80"/>
        <w:ind w:firstLine="720"/>
        <w:rPr>
          <w:rFonts w:cstheme="minorHAnsi"/>
          <w:bCs/>
          <w:szCs w:val="72"/>
          <w:lang w:val="sr-Cyrl-RS"/>
        </w:rPr>
      </w:pPr>
      <w:r w:rsidRPr="008E2FD8">
        <w:rPr>
          <w:rFonts w:cstheme="minorHAnsi"/>
          <w:bCs/>
          <w:szCs w:val="72"/>
          <w:lang w:val="sr-Cyrl-RS"/>
        </w:rPr>
        <w:t xml:space="preserve">Саставни део ове </w:t>
      </w:r>
      <w:r w:rsidR="0078423E" w:rsidRPr="008E2FD8">
        <w:rPr>
          <w:rFonts w:cstheme="minorHAnsi"/>
          <w:bCs/>
          <w:szCs w:val="72"/>
          <w:lang w:val="sr-Cyrl-RS"/>
        </w:rPr>
        <w:t>ф</w:t>
      </w:r>
      <w:r w:rsidRPr="008E2FD8">
        <w:rPr>
          <w:rFonts w:cstheme="minorHAnsi"/>
          <w:bCs/>
          <w:szCs w:val="72"/>
          <w:lang w:val="sr-Cyrl-RS"/>
        </w:rPr>
        <w:t>искалне стратегије чине Прилог 1</w:t>
      </w:r>
      <w:r w:rsidR="00D505DF" w:rsidRPr="008E2FD8">
        <w:rPr>
          <w:rFonts w:cstheme="minorHAnsi"/>
          <w:bCs/>
          <w:szCs w:val="72"/>
          <w:lang w:val="sr-Cyrl-RS"/>
        </w:rPr>
        <w:t xml:space="preserve"> </w:t>
      </w:r>
      <w:r w:rsidRPr="008E2FD8">
        <w:rPr>
          <w:rFonts w:cstheme="minorHAnsi"/>
          <w:bCs/>
          <w:szCs w:val="72"/>
          <w:lang w:val="sr-Cyrl-RS"/>
        </w:rPr>
        <w:t xml:space="preserve">– Пројекција основних макроекономских индикатора </w:t>
      </w:r>
      <w:r w:rsidR="002E2D44" w:rsidRPr="008E2FD8">
        <w:rPr>
          <w:rFonts w:cstheme="minorHAnsi"/>
          <w:bCs/>
          <w:szCs w:val="72"/>
          <w:lang w:val="sr-Cyrl-RS"/>
        </w:rPr>
        <w:t xml:space="preserve">и </w:t>
      </w:r>
      <w:r w:rsidRPr="008E2FD8">
        <w:rPr>
          <w:rFonts w:cstheme="minorHAnsi"/>
          <w:bCs/>
          <w:szCs w:val="72"/>
          <w:lang w:val="sr-Cyrl-RS"/>
        </w:rPr>
        <w:t>Прилог 2 – Фискални оквир опште државе у 202</w:t>
      </w:r>
      <w:r w:rsidR="00D65162" w:rsidRPr="008E2FD8">
        <w:rPr>
          <w:rFonts w:cstheme="minorHAnsi"/>
          <w:bCs/>
          <w:szCs w:val="72"/>
          <w:lang w:val="sr-Cyrl-RS"/>
        </w:rPr>
        <w:t>2</w:t>
      </w:r>
      <w:r w:rsidRPr="008E2FD8">
        <w:rPr>
          <w:rFonts w:cstheme="minorHAnsi"/>
          <w:bCs/>
          <w:szCs w:val="72"/>
          <w:lang w:val="sr-Cyrl-RS"/>
        </w:rPr>
        <w:t>. год</w:t>
      </w:r>
      <w:r w:rsidR="00776442" w:rsidRPr="008E2FD8">
        <w:rPr>
          <w:rFonts w:cstheme="minorHAnsi"/>
          <w:bCs/>
          <w:szCs w:val="72"/>
          <w:lang w:val="sr-Cyrl-RS"/>
        </w:rPr>
        <w:t>ини, који</w:t>
      </w:r>
      <w:r w:rsidR="005A184B" w:rsidRPr="008E2FD8">
        <w:rPr>
          <w:rFonts w:cstheme="minorHAnsi"/>
          <w:bCs/>
          <w:szCs w:val="72"/>
          <w:lang w:val="sr-Cyrl-RS"/>
        </w:rPr>
        <w:t xml:space="preserve"> су</w:t>
      </w:r>
      <w:r w:rsidR="00776442" w:rsidRPr="008E2FD8">
        <w:rPr>
          <w:rFonts w:cstheme="minorHAnsi"/>
          <w:bCs/>
          <w:szCs w:val="72"/>
          <w:lang w:val="sr-Cyrl-RS"/>
        </w:rPr>
        <w:t xml:space="preserve"> одштампан</w:t>
      </w:r>
      <w:r w:rsidR="005A184B" w:rsidRPr="008E2FD8">
        <w:rPr>
          <w:rFonts w:cstheme="minorHAnsi"/>
          <w:bCs/>
          <w:szCs w:val="72"/>
          <w:lang w:val="sr-Cyrl-RS"/>
        </w:rPr>
        <w:t>и</w:t>
      </w:r>
      <w:r w:rsidR="0078423E" w:rsidRPr="008E2FD8">
        <w:rPr>
          <w:rFonts w:cstheme="minorHAnsi"/>
          <w:bCs/>
          <w:szCs w:val="72"/>
          <w:lang w:val="sr-Cyrl-RS"/>
        </w:rPr>
        <w:t xml:space="preserve"> уз ову ф</w:t>
      </w:r>
      <w:r w:rsidRPr="008E2FD8">
        <w:rPr>
          <w:rFonts w:cstheme="minorHAnsi"/>
          <w:bCs/>
          <w:szCs w:val="72"/>
          <w:lang w:val="sr-Cyrl-RS"/>
        </w:rPr>
        <w:t>искалну стратегију.</w:t>
      </w:r>
    </w:p>
    <w:p w14:paraId="097E19D9" w14:textId="77777777" w:rsidR="00427829" w:rsidRPr="00963972" w:rsidRDefault="0078423E" w:rsidP="00427829">
      <w:pPr>
        <w:spacing w:after="80"/>
        <w:ind w:firstLine="720"/>
        <w:rPr>
          <w:rFonts w:cstheme="minorHAnsi"/>
          <w:bCs/>
          <w:szCs w:val="72"/>
          <w:lang w:val="sr-Cyrl-RS"/>
        </w:rPr>
      </w:pPr>
      <w:r w:rsidRPr="008E2FD8">
        <w:rPr>
          <w:rFonts w:cstheme="minorHAnsi"/>
          <w:bCs/>
          <w:szCs w:val="72"/>
          <w:lang w:val="sr-Cyrl-RS"/>
        </w:rPr>
        <w:t>Ову ф</w:t>
      </w:r>
      <w:r w:rsidR="00427829" w:rsidRPr="008E2FD8">
        <w:rPr>
          <w:rFonts w:cstheme="minorHAnsi"/>
          <w:bCs/>
          <w:szCs w:val="72"/>
          <w:lang w:val="sr-Cyrl-RS"/>
        </w:rPr>
        <w:t>искалну страт</w:t>
      </w:r>
      <w:r w:rsidR="00776442" w:rsidRPr="008E2FD8">
        <w:rPr>
          <w:rFonts w:cstheme="minorHAnsi"/>
          <w:bCs/>
          <w:szCs w:val="72"/>
          <w:lang w:val="sr-Cyrl-RS"/>
        </w:rPr>
        <w:t xml:space="preserve">егију </w:t>
      </w:r>
      <w:r w:rsidR="00776442" w:rsidRPr="00963972">
        <w:rPr>
          <w:rFonts w:cstheme="minorHAnsi"/>
          <w:bCs/>
          <w:szCs w:val="72"/>
          <w:lang w:val="sr-Cyrl-RS"/>
        </w:rPr>
        <w:t xml:space="preserve">доставити </w:t>
      </w:r>
      <w:r w:rsidR="00A940CE" w:rsidRPr="00963972">
        <w:rPr>
          <w:lang w:val="sr-Cyrl-RS"/>
        </w:rPr>
        <w:t xml:space="preserve">одбору Народне скупштине надлежном за финансије, републички буџет и контролу трошења јавних средстава </w:t>
      </w:r>
      <w:r w:rsidR="00427829" w:rsidRPr="00963972">
        <w:rPr>
          <w:rFonts w:cstheme="minorHAnsi"/>
          <w:bCs/>
          <w:szCs w:val="72"/>
          <w:lang w:val="sr-Cyrl-RS"/>
        </w:rPr>
        <w:t>и Министарству финансија.</w:t>
      </w:r>
    </w:p>
    <w:p w14:paraId="45B24092" w14:textId="77777777" w:rsidR="00427829" w:rsidRPr="008E2FD8" w:rsidRDefault="0078423E" w:rsidP="00427829">
      <w:pPr>
        <w:spacing w:after="0"/>
        <w:ind w:firstLine="720"/>
        <w:rPr>
          <w:rFonts w:cstheme="minorHAnsi"/>
          <w:bCs/>
          <w:szCs w:val="72"/>
          <w:lang w:val="sr-Cyrl-RS"/>
        </w:rPr>
      </w:pPr>
      <w:r w:rsidRPr="008E2FD8">
        <w:rPr>
          <w:rFonts w:cstheme="minorHAnsi"/>
          <w:bCs/>
          <w:szCs w:val="72"/>
          <w:lang w:val="sr-Cyrl-RS"/>
        </w:rPr>
        <w:t>Ову ф</w:t>
      </w:r>
      <w:r w:rsidR="00427829" w:rsidRPr="008E2FD8">
        <w:rPr>
          <w:rFonts w:cstheme="minorHAnsi"/>
          <w:bCs/>
          <w:szCs w:val="72"/>
          <w:lang w:val="sr-Cyrl-RS"/>
        </w:rPr>
        <w:t>искалну стратегију објавити на интернет страници Министарства финансија.</w:t>
      </w:r>
    </w:p>
    <w:p w14:paraId="6263F75B" w14:textId="77777777" w:rsidR="00427829" w:rsidRPr="008E2FD8" w:rsidRDefault="00427829" w:rsidP="00427829">
      <w:pPr>
        <w:spacing w:after="0"/>
        <w:jc w:val="right"/>
        <w:rPr>
          <w:rFonts w:cstheme="minorHAnsi"/>
          <w:bCs/>
          <w:szCs w:val="72"/>
          <w:lang w:val="sr-Cyrl-RS"/>
        </w:rPr>
      </w:pPr>
    </w:p>
    <w:p w14:paraId="3015417D" w14:textId="77777777" w:rsidR="00427829" w:rsidRPr="008E2FD8" w:rsidRDefault="00427829" w:rsidP="00427829">
      <w:pPr>
        <w:spacing w:after="0"/>
        <w:jc w:val="right"/>
        <w:rPr>
          <w:rFonts w:cstheme="minorHAnsi"/>
          <w:bCs/>
          <w:szCs w:val="72"/>
          <w:lang w:val="sr-Cyrl-RS"/>
        </w:rPr>
      </w:pPr>
    </w:p>
    <w:p w14:paraId="3A7E33AC" w14:textId="77777777" w:rsidR="00427829" w:rsidRPr="002E2D44" w:rsidRDefault="00427829" w:rsidP="002E2D44">
      <w:pPr>
        <w:tabs>
          <w:tab w:val="left" w:pos="1189"/>
        </w:tabs>
        <w:spacing w:after="0"/>
        <w:rPr>
          <w:rFonts w:cstheme="minorHAnsi"/>
          <w:bCs/>
          <w:szCs w:val="72"/>
          <w:lang w:val="sr-Cyrl-RS"/>
        </w:rPr>
      </w:pPr>
      <w:r w:rsidRPr="002E2D44">
        <w:rPr>
          <w:rFonts w:cstheme="minorHAnsi"/>
          <w:bCs/>
          <w:szCs w:val="72"/>
          <w:lang w:val="sr-Cyrl-RS"/>
        </w:rPr>
        <w:t>05 Број:</w:t>
      </w:r>
      <w:r w:rsidR="00710E8E">
        <w:rPr>
          <w:rFonts w:cstheme="minorHAnsi"/>
          <w:bCs/>
          <w:szCs w:val="72"/>
          <w:lang w:val="sr-Cyrl-RS"/>
        </w:rPr>
        <w:t xml:space="preserve"> </w:t>
      </w:r>
      <w:r w:rsidR="00AE0814">
        <w:rPr>
          <w:rFonts w:cstheme="minorHAnsi"/>
          <w:bCs/>
          <w:szCs w:val="72"/>
          <w:lang w:val="sr-Cyrl-RS"/>
        </w:rPr>
        <w:t>400-516</w:t>
      </w:r>
      <w:r w:rsidR="00F60F25">
        <w:rPr>
          <w:rFonts w:cstheme="minorHAnsi"/>
          <w:bCs/>
          <w:szCs w:val="72"/>
          <w:lang w:val="sr-Cyrl-RS"/>
        </w:rPr>
        <w:t>7/2021</w:t>
      </w:r>
    </w:p>
    <w:p w14:paraId="16913078" w14:textId="77777777" w:rsidR="00427829" w:rsidRPr="008E2FD8" w:rsidRDefault="006D0C31" w:rsidP="00776442">
      <w:pPr>
        <w:spacing w:after="0"/>
        <w:rPr>
          <w:rFonts w:cstheme="minorHAnsi"/>
          <w:bCs/>
          <w:szCs w:val="72"/>
          <w:lang w:val="sr-Cyrl-RS"/>
        </w:rPr>
      </w:pPr>
      <w:r>
        <w:rPr>
          <w:rFonts w:cstheme="minorHAnsi"/>
          <w:bCs/>
          <w:szCs w:val="72"/>
          <w:lang w:val="sr-Cyrl-RS"/>
        </w:rPr>
        <w:t>У Београду,</w:t>
      </w:r>
      <w:r w:rsidR="00376746">
        <w:rPr>
          <w:rFonts w:cstheme="minorHAnsi"/>
          <w:bCs/>
          <w:szCs w:val="72"/>
          <w:lang w:val="sr-Cyrl-RS"/>
        </w:rPr>
        <w:t xml:space="preserve"> </w:t>
      </w:r>
      <w:r w:rsidR="00710E8E">
        <w:rPr>
          <w:rFonts w:cstheme="minorHAnsi"/>
          <w:bCs/>
          <w:szCs w:val="72"/>
          <w:lang w:val="sr-Cyrl-RS"/>
        </w:rPr>
        <w:t xml:space="preserve">3. </w:t>
      </w:r>
      <w:r w:rsidR="00376746">
        <w:rPr>
          <w:rFonts w:cstheme="minorHAnsi"/>
          <w:bCs/>
          <w:szCs w:val="72"/>
          <w:lang w:val="sr-Cyrl-RS"/>
        </w:rPr>
        <w:t xml:space="preserve">јуна </w:t>
      </w:r>
      <w:r w:rsidR="00427829" w:rsidRPr="008E2FD8">
        <w:rPr>
          <w:rFonts w:cstheme="minorHAnsi"/>
          <w:bCs/>
          <w:szCs w:val="72"/>
          <w:lang w:val="sr-Cyrl-RS"/>
        </w:rPr>
        <w:t>20</w:t>
      </w:r>
      <w:r w:rsidR="00921E8D" w:rsidRPr="008E2FD8">
        <w:rPr>
          <w:rFonts w:cstheme="minorHAnsi"/>
          <w:bCs/>
          <w:szCs w:val="72"/>
          <w:lang w:val="sr-Cyrl-RS"/>
        </w:rPr>
        <w:t>2</w:t>
      </w:r>
      <w:r w:rsidR="00D65162" w:rsidRPr="008E2FD8">
        <w:rPr>
          <w:rFonts w:cstheme="minorHAnsi"/>
          <w:bCs/>
          <w:szCs w:val="72"/>
          <w:lang w:val="sr-Cyrl-RS"/>
        </w:rPr>
        <w:t>1</w:t>
      </w:r>
      <w:r w:rsidR="00427829" w:rsidRPr="008E2FD8">
        <w:rPr>
          <w:rFonts w:cstheme="minorHAnsi"/>
          <w:bCs/>
          <w:szCs w:val="72"/>
          <w:lang w:val="sr-Cyrl-RS"/>
        </w:rPr>
        <w:t>. године</w:t>
      </w:r>
    </w:p>
    <w:p w14:paraId="5AFD1D0C" w14:textId="77777777" w:rsidR="00427829" w:rsidRPr="008E2FD8" w:rsidRDefault="00427829" w:rsidP="00427829">
      <w:pPr>
        <w:spacing w:after="0"/>
        <w:jc w:val="right"/>
        <w:rPr>
          <w:rFonts w:cstheme="minorHAnsi"/>
          <w:bCs/>
          <w:szCs w:val="72"/>
          <w:lang w:val="sr-Cyrl-RS"/>
        </w:rPr>
      </w:pPr>
    </w:p>
    <w:p w14:paraId="3B502AB4" w14:textId="77777777" w:rsidR="00427829" w:rsidRPr="008E2FD8" w:rsidRDefault="00427829" w:rsidP="0001068B">
      <w:pPr>
        <w:spacing w:after="0"/>
        <w:jc w:val="center"/>
        <w:rPr>
          <w:rFonts w:cstheme="minorHAnsi"/>
          <w:bCs/>
          <w:szCs w:val="72"/>
          <w:lang w:val="sr-Cyrl-RS"/>
        </w:rPr>
      </w:pPr>
      <w:r w:rsidRPr="008E2FD8">
        <w:rPr>
          <w:rFonts w:cstheme="minorHAnsi"/>
          <w:bCs/>
          <w:szCs w:val="72"/>
          <w:lang w:val="sr-Cyrl-RS"/>
        </w:rPr>
        <w:t>В Л А Д А</w:t>
      </w:r>
    </w:p>
    <w:p w14:paraId="0D8310F6" w14:textId="77777777" w:rsidR="00427829" w:rsidRPr="008E2FD8" w:rsidRDefault="00427829" w:rsidP="00427829">
      <w:pPr>
        <w:spacing w:after="0"/>
        <w:jc w:val="right"/>
        <w:rPr>
          <w:rFonts w:cstheme="minorHAnsi"/>
          <w:bCs/>
          <w:szCs w:val="72"/>
          <w:lang w:val="sr-Cyrl-RS"/>
        </w:rPr>
      </w:pPr>
    </w:p>
    <w:p w14:paraId="782E7179" w14:textId="77777777" w:rsidR="00427829" w:rsidRPr="008E2FD8" w:rsidRDefault="00376746" w:rsidP="00376746">
      <w:pPr>
        <w:spacing w:after="0"/>
        <w:jc w:val="center"/>
        <w:rPr>
          <w:rFonts w:cstheme="minorHAnsi"/>
          <w:bCs/>
          <w:szCs w:val="72"/>
          <w:lang w:val="sr-Cyrl-RS"/>
        </w:rPr>
      </w:pPr>
      <w:r>
        <w:rPr>
          <w:rFonts w:cstheme="minorHAnsi"/>
          <w:bCs/>
          <w:szCs w:val="72"/>
          <w:lang w:val="sr-Cyrl-RS"/>
        </w:rPr>
        <w:t xml:space="preserve">                                                                                                                                                                  </w:t>
      </w:r>
      <w:r w:rsidR="00427829" w:rsidRPr="008E2FD8">
        <w:rPr>
          <w:rFonts w:cstheme="minorHAnsi"/>
          <w:bCs/>
          <w:szCs w:val="72"/>
          <w:lang w:val="sr-Cyrl-RS"/>
        </w:rPr>
        <w:t>ПРЕДСЕДНИК</w:t>
      </w:r>
    </w:p>
    <w:p w14:paraId="28C4336F" w14:textId="77777777" w:rsidR="00427829" w:rsidRPr="008E2FD8" w:rsidRDefault="00427829" w:rsidP="00427829">
      <w:pPr>
        <w:spacing w:after="0"/>
        <w:jc w:val="right"/>
        <w:rPr>
          <w:rFonts w:cstheme="minorHAnsi"/>
          <w:bCs/>
          <w:szCs w:val="72"/>
          <w:lang w:val="sr-Cyrl-RS"/>
        </w:rPr>
      </w:pPr>
    </w:p>
    <w:p w14:paraId="09F5E233" w14:textId="77777777" w:rsidR="00427829" w:rsidRPr="008E2FD8" w:rsidRDefault="00376746" w:rsidP="00376746">
      <w:pPr>
        <w:spacing w:after="0"/>
        <w:jc w:val="center"/>
        <w:rPr>
          <w:rFonts w:cstheme="minorHAnsi"/>
          <w:bCs/>
          <w:szCs w:val="72"/>
          <w:lang w:val="sr-Cyrl-RS"/>
        </w:rPr>
      </w:pPr>
      <w:r>
        <w:rPr>
          <w:rFonts w:cstheme="minorHAnsi"/>
          <w:bCs/>
          <w:szCs w:val="72"/>
          <w:lang w:val="sr-Cyrl-RS"/>
        </w:rPr>
        <w:t xml:space="preserve">                                                                                                                                                                   </w:t>
      </w:r>
      <w:r w:rsidR="00427829" w:rsidRPr="008E2FD8">
        <w:rPr>
          <w:rFonts w:cstheme="minorHAnsi"/>
          <w:bCs/>
          <w:szCs w:val="72"/>
          <w:lang w:val="sr-Cyrl-RS"/>
        </w:rPr>
        <w:t>Ана Брнабић</w:t>
      </w:r>
      <w:r w:rsidR="00710E8E">
        <w:rPr>
          <w:rFonts w:cstheme="minorHAnsi"/>
          <w:bCs/>
          <w:szCs w:val="72"/>
          <w:lang w:val="sr-Cyrl-RS"/>
        </w:rPr>
        <w:t>, с.р.</w:t>
      </w:r>
    </w:p>
    <w:p w14:paraId="38F36CD5" w14:textId="77777777" w:rsidR="00427829" w:rsidRPr="008E2FD8" w:rsidRDefault="00427829" w:rsidP="00427829">
      <w:pPr>
        <w:spacing w:after="0"/>
        <w:jc w:val="right"/>
        <w:rPr>
          <w:rFonts w:cstheme="minorHAnsi"/>
          <w:bCs/>
          <w:szCs w:val="72"/>
          <w:lang w:val="sr-Cyrl-RS"/>
        </w:rPr>
      </w:pPr>
    </w:p>
    <w:p w14:paraId="6DA30AF5" w14:textId="77777777" w:rsidR="00427829" w:rsidRPr="008E2FD8" w:rsidRDefault="00427829" w:rsidP="00427829">
      <w:pPr>
        <w:rPr>
          <w:rFonts w:cstheme="minorHAnsi"/>
          <w:bCs/>
          <w:szCs w:val="72"/>
          <w:lang w:val="sr-Cyrl-RS"/>
        </w:rPr>
      </w:pPr>
    </w:p>
    <w:p w14:paraId="22E84235" w14:textId="77777777" w:rsidR="00AB0E2B" w:rsidRPr="008E2FD8" w:rsidRDefault="00AB0E2B" w:rsidP="00E4657F">
      <w:pPr>
        <w:spacing w:after="60"/>
        <w:rPr>
          <w:rFonts w:cstheme="minorHAnsi"/>
          <w:bCs/>
          <w:spacing w:val="-2"/>
          <w:szCs w:val="72"/>
          <w:lang w:val="sr-Cyrl-RS"/>
        </w:rPr>
      </w:pPr>
    </w:p>
    <w:p w14:paraId="43409FA1" w14:textId="77777777" w:rsidR="00AB0E2B" w:rsidRPr="008E2FD8" w:rsidRDefault="00AB0E2B" w:rsidP="00E4657F">
      <w:pPr>
        <w:spacing w:after="60"/>
        <w:rPr>
          <w:rFonts w:cstheme="minorHAnsi"/>
          <w:bCs/>
          <w:spacing w:val="-2"/>
          <w:szCs w:val="72"/>
          <w:lang w:val="sr-Cyrl-RS"/>
        </w:rPr>
      </w:pPr>
    </w:p>
    <w:p w14:paraId="2138BC0E" w14:textId="77777777" w:rsidR="00AB0E2B" w:rsidRPr="008E2FD8" w:rsidRDefault="00AB0E2B" w:rsidP="00E4657F">
      <w:pPr>
        <w:spacing w:after="60"/>
        <w:rPr>
          <w:rFonts w:cstheme="minorHAnsi"/>
          <w:bCs/>
          <w:spacing w:val="-2"/>
          <w:szCs w:val="72"/>
          <w:lang w:val="sr-Cyrl-RS"/>
        </w:rPr>
      </w:pPr>
    </w:p>
    <w:p w14:paraId="18933364" w14:textId="77777777" w:rsidR="004044DC" w:rsidRPr="008E2FD8" w:rsidRDefault="004044DC" w:rsidP="00E4657F">
      <w:pPr>
        <w:spacing w:after="60"/>
        <w:rPr>
          <w:rFonts w:cstheme="minorHAnsi"/>
          <w:bCs/>
          <w:spacing w:val="-2"/>
          <w:szCs w:val="72"/>
          <w:lang w:val="sr-Cyrl-RS"/>
        </w:rPr>
        <w:sectPr w:rsidR="004044DC" w:rsidRPr="008E2FD8" w:rsidSect="00AE40EB">
          <w:headerReference w:type="even" r:id="rId165"/>
          <w:footerReference w:type="even" r:id="rId166"/>
          <w:footerReference w:type="default" r:id="rId167"/>
          <w:headerReference w:type="first" r:id="rId168"/>
          <w:type w:val="continuous"/>
          <w:pgSz w:w="12240" w:h="15840" w:code="1"/>
          <w:pgMar w:top="1418" w:right="1418" w:bottom="1418" w:left="1418" w:header="720" w:footer="720" w:gutter="0"/>
          <w:cols w:space="720"/>
          <w:docGrid w:linePitch="272"/>
        </w:sectPr>
      </w:pPr>
    </w:p>
    <w:p w14:paraId="62272FAF" w14:textId="77777777" w:rsidR="00113079" w:rsidRPr="008E2FD8" w:rsidRDefault="00113079" w:rsidP="00DE1D1F">
      <w:pPr>
        <w:pStyle w:val="Heading1"/>
        <w:spacing w:after="160"/>
        <w:rPr>
          <w:rFonts w:asciiTheme="minorHAnsi" w:hAnsiTheme="minorHAnsi" w:cstheme="minorHAnsi"/>
          <w:color w:val="002060"/>
          <w:sz w:val="24"/>
          <w:szCs w:val="26"/>
          <w:lang w:val="sr-Cyrl-RS"/>
        </w:rPr>
      </w:pPr>
      <w:bookmarkStart w:id="50" w:name="_Toc73364976"/>
      <w:bookmarkStart w:id="51" w:name="_Toc23342474"/>
      <w:bookmarkStart w:id="52" w:name="_Toc530635112"/>
      <w:r w:rsidRPr="008E2FD8">
        <w:rPr>
          <w:rFonts w:asciiTheme="minorHAnsi" w:hAnsiTheme="minorHAnsi" w:cstheme="minorHAnsi"/>
          <w:color w:val="002060"/>
          <w:sz w:val="24"/>
          <w:szCs w:val="26"/>
          <w:lang w:val="sr-Cyrl-RS"/>
        </w:rPr>
        <w:lastRenderedPageBreak/>
        <w:t>Прилог 1 – Пројекција основних макроекономских индикатора</w:t>
      </w:r>
      <w:bookmarkEnd w:id="50"/>
    </w:p>
    <w:tbl>
      <w:tblPr>
        <w:tblStyle w:val="TableGrid1"/>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1127"/>
        <w:gridCol w:w="1129"/>
        <w:gridCol w:w="1129"/>
        <w:gridCol w:w="1127"/>
      </w:tblGrid>
      <w:tr w:rsidR="00113079" w:rsidRPr="008E2FD8" w14:paraId="128173B1" w14:textId="77777777" w:rsidTr="00113079">
        <w:trPr>
          <w:trHeight w:val="551"/>
          <w:jc w:val="center"/>
        </w:trPr>
        <w:tc>
          <w:tcPr>
            <w:tcW w:w="2590" w:type="pct"/>
            <w:tcBorders>
              <w:top w:val="single" w:sz="4" w:space="0" w:color="002060"/>
              <w:bottom w:val="single" w:sz="4" w:space="0" w:color="002060"/>
            </w:tcBorders>
            <w:vAlign w:val="center"/>
            <w:hideMark/>
          </w:tcPr>
          <w:p w14:paraId="145D3ACC" w14:textId="77777777" w:rsidR="00113079" w:rsidRPr="008E2FD8" w:rsidRDefault="00113079" w:rsidP="00DE1D1F">
            <w:pPr>
              <w:rPr>
                <w:rFonts w:eastAsia="Calibri" w:cstheme="minorHAnsi"/>
                <w:iCs/>
                <w:color w:val="002060"/>
                <w:sz w:val="18"/>
                <w:szCs w:val="18"/>
                <w:lang w:val="sr-Cyrl-RS"/>
              </w:rPr>
            </w:pPr>
          </w:p>
        </w:tc>
        <w:tc>
          <w:tcPr>
            <w:tcW w:w="602" w:type="pct"/>
            <w:tcBorders>
              <w:top w:val="single" w:sz="4" w:space="0" w:color="002060"/>
              <w:bottom w:val="single" w:sz="4" w:space="0" w:color="002060"/>
            </w:tcBorders>
            <w:noWrap/>
            <w:vAlign w:val="center"/>
          </w:tcPr>
          <w:p w14:paraId="57A55F00" w14:textId="77777777" w:rsidR="00113079" w:rsidRPr="008E2FD8" w:rsidRDefault="00113079" w:rsidP="00DE1D1F">
            <w:pPr>
              <w:jc w:val="center"/>
              <w:rPr>
                <w:rFonts w:eastAsia="Calibri" w:cstheme="minorHAnsi"/>
                <w:iCs/>
                <w:color w:val="002060"/>
                <w:szCs w:val="18"/>
                <w:lang w:val="sr-Cyrl-RS"/>
              </w:rPr>
            </w:pPr>
            <w:r w:rsidRPr="008E2FD8">
              <w:rPr>
                <w:rFonts w:eastAsia="Calibri" w:cstheme="minorHAnsi"/>
                <w:iCs/>
                <w:color w:val="002060"/>
                <w:szCs w:val="18"/>
                <w:lang w:val="sr-Cyrl-RS"/>
              </w:rPr>
              <w:t>2021</w:t>
            </w:r>
          </w:p>
        </w:tc>
        <w:tc>
          <w:tcPr>
            <w:tcW w:w="603" w:type="pct"/>
            <w:tcBorders>
              <w:top w:val="single" w:sz="4" w:space="0" w:color="002060"/>
              <w:bottom w:val="single" w:sz="4" w:space="0" w:color="002060"/>
            </w:tcBorders>
            <w:noWrap/>
            <w:vAlign w:val="center"/>
            <w:hideMark/>
          </w:tcPr>
          <w:p w14:paraId="7E3A7A5B" w14:textId="77777777" w:rsidR="00113079" w:rsidRPr="008E2FD8" w:rsidRDefault="00113079" w:rsidP="00DE1D1F">
            <w:pPr>
              <w:jc w:val="center"/>
              <w:rPr>
                <w:rFonts w:eastAsia="Calibri" w:cstheme="minorHAnsi"/>
                <w:iCs/>
                <w:color w:val="002060"/>
                <w:sz w:val="18"/>
                <w:szCs w:val="18"/>
                <w:lang w:val="sr-Cyrl-RS"/>
              </w:rPr>
            </w:pPr>
            <w:r w:rsidRPr="008E2FD8">
              <w:rPr>
                <w:color w:val="002060"/>
                <w:lang w:val="sr-Cyrl-RS"/>
              </w:rPr>
              <w:t>2022</w:t>
            </w:r>
          </w:p>
        </w:tc>
        <w:tc>
          <w:tcPr>
            <w:tcW w:w="603" w:type="pct"/>
            <w:tcBorders>
              <w:top w:val="single" w:sz="4" w:space="0" w:color="002060"/>
              <w:bottom w:val="single" w:sz="4" w:space="0" w:color="002060"/>
            </w:tcBorders>
            <w:noWrap/>
            <w:vAlign w:val="center"/>
            <w:hideMark/>
          </w:tcPr>
          <w:p w14:paraId="247502D3" w14:textId="77777777" w:rsidR="00113079" w:rsidRPr="008E2FD8" w:rsidRDefault="00113079" w:rsidP="00DE1D1F">
            <w:pPr>
              <w:jc w:val="center"/>
              <w:rPr>
                <w:rFonts w:eastAsia="Calibri" w:cstheme="minorHAnsi"/>
                <w:iCs/>
                <w:color w:val="002060"/>
                <w:sz w:val="18"/>
                <w:szCs w:val="18"/>
                <w:lang w:val="sr-Cyrl-RS"/>
              </w:rPr>
            </w:pPr>
            <w:r w:rsidRPr="008E2FD8">
              <w:rPr>
                <w:color w:val="002060"/>
                <w:lang w:val="sr-Cyrl-RS"/>
              </w:rPr>
              <w:t>2023</w:t>
            </w:r>
          </w:p>
        </w:tc>
        <w:tc>
          <w:tcPr>
            <w:tcW w:w="603" w:type="pct"/>
            <w:tcBorders>
              <w:top w:val="single" w:sz="4" w:space="0" w:color="002060"/>
              <w:bottom w:val="single" w:sz="4" w:space="0" w:color="002060"/>
            </w:tcBorders>
            <w:noWrap/>
            <w:vAlign w:val="center"/>
            <w:hideMark/>
          </w:tcPr>
          <w:p w14:paraId="37FA259B" w14:textId="77777777" w:rsidR="00113079" w:rsidRPr="008E2FD8" w:rsidRDefault="00113079" w:rsidP="00DE1D1F">
            <w:pPr>
              <w:jc w:val="center"/>
              <w:rPr>
                <w:rFonts w:eastAsia="Calibri" w:cstheme="minorHAnsi"/>
                <w:iCs/>
                <w:color w:val="002060"/>
                <w:sz w:val="18"/>
                <w:szCs w:val="18"/>
                <w:lang w:val="sr-Cyrl-RS"/>
              </w:rPr>
            </w:pPr>
            <w:r w:rsidRPr="008E2FD8">
              <w:rPr>
                <w:color w:val="002060"/>
                <w:lang w:val="sr-Cyrl-RS"/>
              </w:rPr>
              <w:t>2024</w:t>
            </w:r>
          </w:p>
        </w:tc>
      </w:tr>
      <w:tr w:rsidR="00113079" w:rsidRPr="008E2FD8" w14:paraId="258304F8" w14:textId="77777777" w:rsidTr="00113079">
        <w:trPr>
          <w:trHeight w:val="281"/>
          <w:jc w:val="center"/>
        </w:trPr>
        <w:tc>
          <w:tcPr>
            <w:tcW w:w="2590" w:type="pct"/>
            <w:tcBorders>
              <w:top w:val="single" w:sz="4" w:space="0" w:color="002060"/>
            </w:tcBorders>
            <w:noWrap/>
            <w:vAlign w:val="center"/>
            <w:hideMark/>
          </w:tcPr>
          <w:p w14:paraId="0B40129D" w14:textId="77777777" w:rsidR="00113079" w:rsidRPr="008E2FD8" w:rsidRDefault="00113079" w:rsidP="00DE1D1F">
            <w:pPr>
              <w:jc w:val="left"/>
              <w:rPr>
                <w:rFonts w:eastAsia="Calibri" w:cstheme="minorHAnsi"/>
                <w:color w:val="002060"/>
                <w:sz w:val="18"/>
                <w:szCs w:val="18"/>
                <w:lang w:val="sr-Cyrl-RS"/>
              </w:rPr>
            </w:pPr>
            <w:r w:rsidRPr="008E2FD8">
              <w:rPr>
                <w:rFonts w:eastAsia="Calibri" w:cstheme="minorHAnsi"/>
                <w:color w:val="002060"/>
                <w:sz w:val="18"/>
                <w:szCs w:val="18"/>
                <w:lang w:val="sr-Cyrl-RS"/>
              </w:rPr>
              <w:t>Стопа реалног раста БДП, %</w:t>
            </w:r>
          </w:p>
        </w:tc>
        <w:tc>
          <w:tcPr>
            <w:tcW w:w="602" w:type="pct"/>
            <w:noWrap/>
            <w:vAlign w:val="center"/>
          </w:tcPr>
          <w:p w14:paraId="3416C530"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6,0</w:t>
            </w:r>
          </w:p>
        </w:tc>
        <w:tc>
          <w:tcPr>
            <w:tcW w:w="603" w:type="pct"/>
            <w:noWrap/>
            <w:vAlign w:val="center"/>
          </w:tcPr>
          <w:p w14:paraId="68978618"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4,0</w:t>
            </w:r>
          </w:p>
        </w:tc>
        <w:tc>
          <w:tcPr>
            <w:tcW w:w="603" w:type="pct"/>
            <w:noWrap/>
            <w:vAlign w:val="center"/>
          </w:tcPr>
          <w:p w14:paraId="180047BF"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4,0</w:t>
            </w:r>
          </w:p>
        </w:tc>
        <w:tc>
          <w:tcPr>
            <w:tcW w:w="603" w:type="pct"/>
            <w:noWrap/>
            <w:vAlign w:val="center"/>
          </w:tcPr>
          <w:p w14:paraId="5DCD3BFB"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4,0</w:t>
            </w:r>
          </w:p>
        </w:tc>
      </w:tr>
      <w:tr w:rsidR="00113079" w:rsidRPr="008E2FD8" w14:paraId="63F5BF02" w14:textId="77777777" w:rsidTr="00113079">
        <w:trPr>
          <w:trHeight w:val="281"/>
          <w:jc w:val="center"/>
        </w:trPr>
        <w:tc>
          <w:tcPr>
            <w:tcW w:w="2590" w:type="pct"/>
            <w:noWrap/>
            <w:vAlign w:val="center"/>
            <w:hideMark/>
          </w:tcPr>
          <w:p w14:paraId="2E627071" w14:textId="77777777" w:rsidR="00113079" w:rsidRPr="008E2FD8" w:rsidRDefault="00113079" w:rsidP="00DE1D1F">
            <w:pPr>
              <w:jc w:val="left"/>
              <w:rPr>
                <w:rFonts w:eastAsia="Calibri" w:cstheme="minorHAnsi"/>
                <w:color w:val="002060"/>
                <w:sz w:val="18"/>
                <w:szCs w:val="18"/>
                <w:lang w:val="sr-Cyrl-RS"/>
              </w:rPr>
            </w:pPr>
            <w:r w:rsidRPr="008E2FD8">
              <w:rPr>
                <w:rFonts w:eastAsia="Calibri" w:cstheme="minorHAnsi"/>
                <w:color w:val="002060"/>
                <w:sz w:val="18"/>
                <w:szCs w:val="18"/>
                <w:lang w:val="sr-Cyrl-RS"/>
              </w:rPr>
              <w:t>БДП у текућим тржишним ценама</w:t>
            </w:r>
          </w:p>
          <w:p w14:paraId="11806A6F" w14:textId="77777777" w:rsidR="00113079" w:rsidRPr="008E2FD8" w:rsidRDefault="00113079" w:rsidP="00DE1D1F">
            <w:pPr>
              <w:jc w:val="left"/>
              <w:rPr>
                <w:rFonts w:eastAsia="Calibri" w:cstheme="minorHAnsi"/>
                <w:bCs/>
                <w:color w:val="002060"/>
                <w:sz w:val="18"/>
                <w:szCs w:val="18"/>
                <w:lang w:val="sr-Cyrl-RS"/>
              </w:rPr>
            </w:pPr>
            <w:r w:rsidRPr="008E2FD8">
              <w:rPr>
                <w:rFonts w:eastAsia="Calibri" w:cstheme="minorHAnsi"/>
                <w:color w:val="002060"/>
                <w:sz w:val="18"/>
                <w:szCs w:val="18"/>
                <w:lang w:val="sr-Cyrl-RS"/>
              </w:rPr>
              <w:t>(у млрд динара)</w:t>
            </w:r>
          </w:p>
        </w:tc>
        <w:tc>
          <w:tcPr>
            <w:tcW w:w="602" w:type="pct"/>
            <w:noWrap/>
            <w:vAlign w:val="center"/>
          </w:tcPr>
          <w:p w14:paraId="067FCD77"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5.938,1</w:t>
            </w:r>
          </w:p>
        </w:tc>
        <w:tc>
          <w:tcPr>
            <w:tcW w:w="603" w:type="pct"/>
            <w:noWrap/>
            <w:vAlign w:val="center"/>
          </w:tcPr>
          <w:p w14:paraId="6FF9F6FD"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6.342,1</w:t>
            </w:r>
          </w:p>
        </w:tc>
        <w:tc>
          <w:tcPr>
            <w:tcW w:w="603" w:type="pct"/>
            <w:noWrap/>
            <w:vAlign w:val="center"/>
          </w:tcPr>
          <w:p w14:paraId="638540EB"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6.792,2</w:t>
            </w:r>
          </w:p>
        </w:tc>
        <w:tc>
          <w:tcPr>
            <w:tcW w:w="603" w:type="pct"/>
            <w:noWrap/>
            <w:vAlign w:val="center"/>
          </w:tcPr>
          <w:p w14:paraId="0A185EB3" w14:textId="77777777" w:rsidR="00113079" w:rsidRPr="008E2FD8" w:rsidRDefault="00113079" w:rsidP="00DE1D1F">
            <w:pPr>
              <w:jc w:val="center"/>
              <w:rPr>
                <w:rFonts w:cstheme="minorHAnsi"/>
                <w:color w:val="002060"/>
                <w:sz w:val="18"/>
                <w:szCs w:val="18"/>
                <w:lang w:val="sr-Cyrl-RS"/>
              </w:rPr>
            </w:pPr>
            <w:r w:rsidRPr="008E2FD8">
              <w:rPr>
                <w:rFonts w:cstheme="minorHAnsi"/>
                <w:color w:val="002060"/>
                <w:sz w:val="18"/>
                <w:szCs w:val="18"/>
                <w:lang w:val="sr-Cyrl-RS"/>
              </w:rPr>
              <w:t>7.287,7</w:t>
            </w:r>
          </w:p>
        </w:tc>
      </w:tr>
      <w:tr w:rsidR="00113079" w:rsidRPr="008E2FD8" w14:paraId="370416FF" w14:textId="77777777" w:rsidTr="00113079">
        <w:trPr>
          <w:trHeight w:val="281"/>
          <w:jc w:val="center"/>
        </w:trPr>
        <w:tc>
          <w:tcPr>
            <w:tcW w:w="2590" w:type="pct"/>
            <w:shd w:val="clear" w:color="auto" w:fill="E7E6E6" w:themeFill="background2"/>
            <w:noWrap/>
            <w:vAlign w:val="center"/>
            <w:hideMark/>
          </w:tcPr>
          <w:p w14:paraId="65ADA297" w14:textId="77777777" w:rsidR="00113079" w:rsidRPr="008E2FD8" w:rsidRDefault="00113079" w:rsidP="00DE1D1F">
            <w:pPr>
              <w:jc w:val="left"/>
              <w:rPr>
                <w:rFonts w:eastAsia="Calibri" w:cstheme="minorHAnsi"/>
                <w:bCs/>
                <w:color w:val="002060"/>
                <w:sz w:val="18"/>
                <w:szCs w:val="18"/>
                <w:lang w:val="sr-Cyrl-RS"/>
              </w:rPr>
            </w:pPr>
            <w:r w:rsidRPr="008E2FD8">
              <w:rPr>
                <w:rFonts w:eastAsia="Calibri" w:cstheme="minorHAnsi"/>
                <w:iCs/>
                <w:color w:val="002060"/>
                <w:sz w:val="18"/>
                <w:szCs w:val="18"/>
                <w:lang w:val="sr-Cyrl-RS"/>
              </w:rPr>
              <w:t xml:space="preserve">Извори раста: процентне промене у </w:t>
            </w:r>
            <w:r w:rsidRPr="008E2FD8">
              <w:rPr>
                <w:rFonts w:eastAsia="Calibri" w:cstheme="minorHAnsi"/>
                <w:bCs/>
                <w:iCs/>
                <w:color w:val="002060"/>
                <w:sz w:val="18"/>
                <w:szCs w:val="18"/>
                <w:lang w:val="sr-Cyrl-RS"/>
              </w:rPr>
              <w:t>сталним</w:t>
            </w:r>
            <w:r w:rsidRPr="008E2FD8">
              <w:rPr>
                <w:rFonts w:eastAsia="Calibri" w:cstheme="minorHAnsi"/>
                <w:iCs/>
                <w:color w:val="002060"/>
                <w:sz w:val="18"/>
                <w:szCs w:val="18"/>
                <w:lang w:val="sr-Cyrl-RS"/>
              </w:rPr>
              <w:t xml:space="preserve"> ценама</w:t>
            </w:r>
          </w:p>
        </w:tc>
        <w:tc>
          <w:tcPr>
            <w:tcW w:w="602" w:type="pct"/>
            <w:shd w:val="clear" w:color="auto" w:fill="E7E6E6" w:themeFill="background2"/>
            <w:vAlign w:val="center"/>
          </w:tcPr>
          <w:p w14:paraId="51436627"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21B2C435"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621DD728"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2DD3F253" w14:textId="77777777" w:rsidR="00113079" w:rsidRPr="008E2FD8" w:rsidRDefault="00113079" w:rsidP="00DE1D1F">
            <w:pPr>
              <w:jc w:val="center"/>
              <w:rPr>
                <w:rFonts w:eastAsia="Calibri" w:cstheme="minorHAnsi"/>
                <w:bCs/>
                <w:color w:val="002060"/>
                <w:sz w:val="18"/>
                <w:szCs w:val="18"/>
                <w:lang w:val="sr-Cyrl-RS"/>
              </w:rPr>
            </w:pPr>
          </w:p>
        </w:tc>
      </w:tr>
      <w:tr w:rsidR="00113079" w:rsidRPr="008E2FD8" w14:paraId="50120046" w14:textId="77777777" w:rsidTr="00113079">
        <w:trPr>
          <w:trHeight w:val="281"/>
          <w:jc w:val="center"/>
        </w:trPr>
        <w:tc>
          <w:tcPr>
            <w:tcW w:w="2590" w:type="pct"/>
            <w:noWrap/>
            <w:vAlign w:val="center"/>
            <w:hideMark/>
          </w:tcPr>
          <w:p w14:paraId="32F2FAFF"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Лична потрошња</w:t>
            </w:r>
          </w:p>
        </w:tc>
        <w:tc>
          <w:tcPr>
            <w:tcW w:w="602" w:type="pct"/>
            <w:tcBorders>
              <w:top w:val="nil"/>
              <w:left w:val="nil"/>
              <w:bottom w:val="nil"/>
              <w:right w:val="nil"/>
            </w:tcBorders>
            <w:shd w:val="clear" w:color="auto" w:fill="auto"/>
            <w:noWrap/>
            <w:vAlign w:val="bottom"/>
          </w:tcPr>
          <w:p w14:paraId="2E93D19E" w14:textId="77777777" w:rsidR="00113079" w:rsidRPr="008E2FD8" w:rsidRDefault="00113079" w:rsidP="00DE1D1F">
            <w:pPr>
              <w:jc w:val="center"/>
              <w:rPr>
                <w:color w:val="002060"/>
                <w:sz w:val="18"/>
                <w:lang w:val="sr-Cyrl-RS"/>
              </w:rPr>
            </w:pPr>
            <w:r w:rsidRPr="008E2FD8">
              <w:rPr>
                <w:color w:val="002060"/>
                <w:sz w:val="18"/>
                <w:lang w:val="sr-Cyrl-RS"/>
              </w:rPr>
              <w:t>5,8</w:t>
            </w:r>
          </w:p>
        </w:tc>
        <w:tc>
          <w:tcPr>
            <w:tcW w:w="603" w:type="pct"/>
            <w:tcBorders>
              <w:top w:val="nil"/>
              <w:left w:val="nil"/>
              <w:bottom w:val="nil"/>
              <w:right w:val="nil"/>
            </w:tcBorders>
            <w:shd w:val="clear" w:color="auto" w:fill="auto"/>
            <w:noWrap/>
            <w:vAlign w:val="bottom"/>
          </w:tcPr>
          <w:p w14:paraId="77DD7116" w14:textId="77777777" w:rsidR="00113079" w:rsidRPr="008E2FD8" w:rsidRDefault="00113079" w:rsidP="00DE1D1F">
            <w:pPr>
              <w:jc w:val="center"/>
              <w:rPr>
                <w:color w:val="002060"/>
                <w:sz w:val="18"/>
                <w:lang w:val="sr-Cyrl-RS"/>
              </w:rPr>
            </w:pPr>
            <w:r w:rsidRPr="008E2FD8">
              <w:rPr>
                <w:color w:val="002060"/>
                <w:sz w:val="18"/>
                <w:lang w:val="sr-Cyrl-RS"/>
              </w:rPr>
              <w:t>3,2</w:t>
            </w:r>
          </w:p>
        </w:tc>
        <w:tc>
          <w:tcPr>
            <w:tcW w:w="603" w:type="pct"/>
            <w:tcBorders>
              <w:top w:val="nil"/>
              <w:left w:val="nil"/>
              <w:bottom w:val="nil"/>
              <w:right w:val="nil"/>
            </w:tcBorders>
            <w:shd w:val="clear" w:color="auto" w:fill="auto"/>
            <w:noWrap/>
            <w:vAlign w:val="bottom"/>
          </w:tcPr>
          <w:p w14:paraId="05485F45" w14:textId="77777777" w:rsidR="00113079" w:rsidRPr="008E2FD8" w:rsidRDefault="00113079" w:rsidP="00DE1D1F">
            <w:pPr>
              <w:jc w:val="center"/>
              <w:rPr>
                <w:color w:val="002060"/>
                <w:sz w:val="18"/>
                <w:lang w:val="sr-Cyrl-RS"/>
              </w:rPr>
            </w:pPr>
            <w:r w:rsidRPr="008E2FD8">
              <w:rPr>
                <w:color w:val="002060"/>
                <w:sz w:val="18"/>
                <w:lang w:val="sr-Cyrl-RS"/>
              </w:rPr>
              <w:t>3,0</w:t>
            </w:r>
          </w:p>
        </w:tc>
        <w:tc>
          <w:tcPr>
            <w:tcW w:w="603" w:type="pct"/>
            <w:tcBorders>
              <w:top w:val="nil"/>
              <w:left w:val="nil"/>
              <w:bottom w:val="nil"/>
              <w:right w:val="nil"/>
            </w:tcBorders>
            <w:shd w:val="clear" w:color="auto" w:fill="auto"/>
            <w:noWrap/>
            <w:vAlign w:val="bottom"/>
          </w:tcPr>
          <w:p w14:paraId="447B7A5C" w14:textId="77777777" w:rsidR="00113079" w:rsidRPr="008E2FD8" w:rsidRDefault="00113079" w:rsidP="00DE1D1F">
            <w:pPr>
              <w:jc w:val="center"/>
              <w:rPr>
                <w:color w:val="002060"/>
                <w:sz w:val="18"/>
                <w:lang w:val="sr-Cyrl-RS"/>
              </w:rPr>
            </w:pPr>
            <w:r w:rsidRPr="008E2FD8">
              <w:rPr>
                <w:color w:val="002060"/>
                <w:sz w:val="18"/>
                <w:lang w:val="sr-Cyrl-RS"/>
              </w:rPr>
              <w:t>2,2</w:t>
            </w:r>
          </w:p>
        </w:tc>
      </w:tr>
      <w:tr w:rsidR="00113079" w:rsidRPr="008E2FD8" w14:paraId="1193C27F" w14:textId="77777777" w:rsidTr="00113079">
        <w:trPr>
          <w:trHeight w:val="281"/>
          <w:jc w:val="center"/>
        </w:trPr>
        <w:tc>
          <w:tcPr>
            <w:tcW w:w="2590" w:type="pct"/>
            <w:noWrap/>
            <w:vAlign w:val="center"/>
            <w:hideMark/>
          </w:tcPr>
          <w:p w14:paraId="5DA16A00"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Државна потрошња</w:t>
            </w:r>
          </w:p>
        </w:tc>
        <w:tc>
          <w:tcPr>
            <w:tcW w:w="602" w:type="pct"/>
            <w:tcBorders>
              <w:top w:val="nil"/>
              <w:left w:val="nil"/>
              <w:bottom w:val="nil"/>
              <w:right w:val="nil"/>
            </w:tcBorders>
            <w:shd w:val="clear" w:color="auto" w:fill="auto"/>
            <w:noWrap/>
            <w:vAlign w:val="bottom"/>
          </w:tcPr>
          <w:p w14:paraId="146C6369" w14:textId="77777777" w:rsidR="00113079" w:rsidRPr="008E2FD8" w:rsidRDefault="00113079" w:rsidP="00DE1D1F">
            <w:pPr>
              <w:jc w:val="center"/>
              <w:rPr>
                <w:color w:val="002060"/>
                <w:sz w:val="18"/>
                <w:lang w:val="sr-Cyrl-RS"/>
              </w:rPr>
            </w:pPr>
            <w:r w:rsidRPr="008E2FD8">
              <w:rPr>
                <w:color w:val="002060"/>
                <w:sz w:val="18"/>
                <w:lang w:val="sr-Cyrl-RS"/>
              </w:rPr>
              <w:t>3,0</w:t>
            </w:r>
          </w:p>
        </w:tc>
        <w:tc>
          <w:tcPr>
            <w:tcW w:w="603" w:type="pct"/>
            <w:tcBorders>
              <w:top w:val="nil"/>
              <w:left w:val="nil"/>
              <w:bottom w:val="nil"/>
              <w:right w:val="nil"/>
            </w:tcBorders>
            <w:shd w:val="clear" w:color="auto" w:fill="auto"/>
            <w:noWrap/>
            <w:vAlign w:val="bottom"/>
          </w:tcPr>
          <w:p w14:paraId="1D2E6BB8" w14:textId="77777777" w:rsidR="00113079" w:rsidRPr="008E2FD8" w:rsidRDefault="00113079" w:rsidP="00DE1D1F">
            <w:pPr>
              <w:jc w:val="center"/>
              <w:rPr>
                <w:color w:val="002060"/>
                <w:sz w:val="18"/>
                <w:lang w:val="sr-Cyrl-RS"/>
              </w:rPr>
            </w:pPr>
            <w:r w:rsidRPr="008E2FD8">
              <w:rPr>
                <w:color w:val="002060"/>
                <w:sz w:val="18"/>
                <w:lang w:val="sr-Cyrl-RS"/>
              </w:rPr>
              <w:t>1,1</w:t>
            </w:r>
          </w:p>
        </w:tc>
        <w:tc>
          <w:tcPr>
            <w:tcW w:w="603" w:type="pct"/>
            <w:tcBorders>
              <w:top w:val="nil"/>
              <w:left w:val="nil"/>
              <w:bottom w:val="nil"/>
              <w:right w:val="nil"/>
            </w:tcBorders>
            <w:shd w:val="clear" w:color="auto" w:fill="auto"/>
            <w:noWrap/>
            <w:vAlign w:val="bottom"/>
          </w:tcPr>
          <w:p w14:paraId="18E72AA4" w14:textId="77777777" w:rsidR="00113079" w:rsidRPr="008E2FD8" w:rsidRDefault="00113079" w:rsidP="00DE1D1F">
            <w:pPr>
              <w:jc w:val="center"/>
              <w:rPr>
                <w:color w:val="002060"/>
                <w:sz w:val="18"/>
                <w:lang w:val="sr-Cyrl-RS"/>
              </w:rPr>
            </w:pPr>
            <w:r w:rsidRPr="008E2FD8">
              <w:rPr>
                <w:color w:val="002060"/>
                <w:sz w:val="18"/>
                <w:lang w:val="sr-Cyrl-RS"/>
              </w:rPr>
              <w:t>0,3</w:t>
            </w:r>
          </w:p>
        </w:tc>
        <w:tc>
          <w:tcPr>
            <w:tcW w:w="603" w:type="pct"/>
            <w:tcBorders>
              <w:top w:val="nil"/>
              <w:left w:val="nil"/>
              <w:bottom w:val="nil"/>
              <w:right w:val="nil"/>
            </w:tcBorders>
            <w:shd w:val="clear" w:color="auto" w:fill="auto"/>
            <w:noWrap/>
            <w:vAlign w:val="bottom"/>
          </w:tcPr>
          <w:p w14:paraId="775BA347" w14:textId="77777777" w:rsidR="00113079" w:rsidRPr="008E2FD8" w:rsidRDefault="00113079" w:rsidP="00DE1D1F">
            <w:pPr>
              <w:jc w:val="center"/>
              <w:rPr>
                <w:color w:val="002060"/>
                <w:sz w:val="18"/>
                <w:lang w:val="sr-Cyrl-RS"/>
              </w:rPr>
            </w:pPr>
            <w:r w:rsidRPr="008E2FD8">
              <w:rPr>
                <w:color w:val="002060"/>
                <w:sz w:val="18"/>
                <w:lang w:val="sr-Cyrl-RS"/>
              </w:rPr>
              <w:t>0,3</w:t>
            </w:r>
          </w:p>
        </w:tc>
      </w:tr>
      <w:tr w:rsidR="00113079" w:rsidRPr="008E2FD8" w14:paraId="4ECA88C9" w14:textId="77777777" w:rsidTr="00113079">
        <w:trPr>
          <w:trHeight w:val="281"/>
          <w:jc w:val="center"/>
        </w:trPr>
        <w:tc>
          <w:tcPr>
            <w:tcW w:w="2590" w:type="pct"/>
            <w:noWrap/>
            <w:vAlign w:val="center"/>
            <w:hideMark/>
          </w:tcPr>
          <w:p w14:paraId="6C994499"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Инвестиције у основна средства</w:t>
            </w:r>
          </w:p>
        </w:tc>
        <w:tc>
          <w:tcPr>
            <w:tcW w:w="602" w:type="pct"/>
            <w:tcBorders>
              <w:top w:val="nil"/>
              <w:left w:val="nil"/>
              <w:bottom w:val="nil"/>
              <w:right w:val="nil"/>
            </w:tcBorders>
            <w:shd w:val="clear" w:color="auto" w:fill="auto"/>
            <w:noWrap/>
            <w:vAlign w:val="bottom"/>
          </w:tcPr>
          <w:p w14:paraId="4EE97FD7" w14:textId="77777777" w:rsidR="00113079" w:rsidRPr="008E2FD8" w:rsidRDefault="00113079" w:rsidP="00DE1D1F">
            <w:pPr>
              <w:jc w:val="center"/>
              <w:rPr>
                <w:color w:val="002060"/>
                <w:sz w:val="18"/>
                <w:lang w:val="sr-Cyrl-RS"/>
              </w:rPr>
            </w:pPr>
            <w:r w:rsidRPr="008E2FD8">
              <w:rPr>
                <w:color w:val="002060"/>
                <w:sz w:val="18"/>
                <w:lang w:val="sr-Cyrl-RS"/>
              </w:rPr>
              <w:t>14,3</w:t>
            </w:r>
          </w:p>
        </w:tc>
        <w:tc>
          <w:tcPr>
            <w:tcW w:w="603" w:type="pct"/>
            <w:tcBorders>
              <w:top w:val="nil"/>
              <w:left w:val="nil"/>
              <w:bottom w:val="nil"/>
              <w:right w:val="nil"/>
            </w:tcBorders>
            <w:shd w:val="clear" w:color="auto" w:fill="auto"/>
            <w:noWrap/>
            <w:vAlign w:val="bottom"/>
          </w:tcPr>
          <w:p w14:paraId="6EDA486C" w14:textId="77777777" w:rsidR="00113079" w:rsidRPr="008E2FD8" w:rsidRDefault="00113079" w:rsidP="00DE1D1F">
            <w:pPr>
              <w:jc w:val="center"/>
              <w:rPr>
                <w:color w:val="002060"/>
                <w:sz w:val="18"/>
                <w:lang w:val="sr-Cyrl-RS"/>
              </w:rPr>
            </w:pPr>
            <w:r w:rsidRPr="008E2FD8">
              <w:rPr>
                <w:color w:val="002060"/>
                <w:sz w:val="18"/>
                <w:lang w:val="sr-Cyrl-RS"/>
              </w:rPr>
              <w:t>6,0</w:t>
            </w:r>
          </w:p>
        </w:tc>
        <w:tc>
          <w:tcPr>
            <w:tcW w:w="603" w:type="pct"/>
            <w:tcBorders>
              <w:top w:val="nil"/>
              <w:left w:val="nil"/>
              <w:bottom w:val="nil"/>
              <w:right w:val="nil"/>
            </w:tcBorders>
            <w:shd w:val="clear" w:color="auto" w:fill="auto"/>
            <w:noWrap/>
            <w:vAlign w:val="bottom"/>
          </w:tcPr>
          <w:p w14:paraId="471957F6" w14:textId="77777777" w:rsidR="00113079" w:rsidRPr="008E2FD8" w:rsidRDefault="00113079" w:rsidP="00DE1D1F">
            <w:pPr>
              <w:jc w:val="center"/>
              <w:rPr>
                <w:color w:val="002060"/>
                <w:sz w:val="18"/>
                <w:lang w:val="sr-Cyrl-RS"/>
              </w:rPr>
            </w:pPr>
            <w:r w:rsidRPr="008E2FD8">
              <w:rPr>
                <w:color w:val="002060"/>
                <w:sz w:val="18"/>
                <w:lang w:val="sr-Cyrl-RS"/>
              </w:rPr>
              <w:t>6,7</w:t>
            </w:r>
          </w:p>
        </w:tc>
        <w:tc>
          <w:tcPr>
            <w:tcW w:w="603" w:type="pct"/>
            <w:tcBorders>
              <w:top w:val="nil"/>
              <w:left w:val="nil"/>
              <w:bottom w:val="nil"/>
              <w:right w:val="nil"/>
            </w:tcBorders>
            <w:shd w:val="clear" w:color="auto" w:fill="auto"/>
            <w:noWrap/>
            <w:vAlign w:val="bottom"/>
          </w:tcPr>
          <w:p w14:paraId="3250549B" w14:textId="77777777" w:rsidR="00113079" w:rsidRPr="008E2FD8" w:rsidRDefault="00113079" w:rsidP="00DE1D1F">
            <w:pPr>
              <w:jc w:val="center"/>
              <w:rPr>
                <w:color w:val="002060"/>
                <w:sz w:val="18"/>
                <w:lang w:val="sr-Cyrl-RS"/>
              </w:rPr>
            </w:pPr>
            <w:r w:rsidRPr="008E2FD8">
              <w:rPr>
                <w:color w:val="002060"/>
                <w:sz w:val="18"/>
                <w:lang w:val="sr-Cyrl-RS"/>
              </w:rPr>
              <w:t>8,1</w:t>
            </w:r>
          </w:p>
        </w:tc>
      </w:tr>
      <w:tr w:rsidR="00113079" w:rsidRPr="008E2FD8" w14:paraId="3D5AE44B" w14:textId="77777777" w:rsidTr="00113079">
        <w:trPr>
          <w:trHeight w:val="281"/>
          <w:jc w:val="center"/>
        </w:trPr>
        <w:tc>
          <w:tcPr>
            <w:tcW w:w="2590" w:type="pct"/>
            <w:noWrap/>
            <w:vAlign w:val="center"/>
            <w:hideMark/>
          </w:tcPr>
          <w:p w14:paraId="4AEE75FD"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Извоз робе и услуга</w:t>
            </w:r>
          </w:p>
        </w:tc>
        <w:tc>
          <w:tcPr>
            <w:tcW w:w="602" w:type="pct"/>
            <w:tcBorders>
              <w:top w:val="nil"/>
              <w:left w:val="nil"/>
              <w:bottom w:val="nil"/>
              <w:right w:val="nil"/>
            </w:tcBorders>
            <w:shd w:val="clear" w:color="auto" w:fill="auto"/>
            <w:noWrap/>
            <w:vAlign w:val="bottom"/>
          </w:tcPr>
          <w:p w14:paraId="39314520" w14:textId="77777777" w:rsidR="00113079" w:rsidRPr="008E2FD8" w:rsidRDefault="00113079" w:rsidP="00DE1D1F">
            <w:pPr>
              <w:jc w:val="center"/>
              <w:rPr>
                <w:color w:val="002060"/>
                <w:sz w:val="18"/>
                <w:lang w:val="sr-Cyrl-RS"/>
              </w:rPr>
            </w:pPr>
            <w:r w:rsidRPr="008E2FD8">
              <w:rPr>
                <w:color w:val="002060"/>
                <w:sz w:val="18"/>
                <w:lang w:val="sr-Cyrl-RS"/>
              </w:rPr>
              <w:t>13,8</w:t>
            </w:r>
          </w:p>
        </w:tc>
        <w:tc>
          <w:tcPr>
            <w:tcW w:w="603" w:type="pct"/>
            <w:tcBorders>
              <w:top w:val="nil"/>
              <w:left w:val="nil"/>
              <w:bottom w:val="nil"/>
              <w:right w:val="nil"/>
            </w:tcBorders>
            <w:shd w:val="clear" w:color="auto" w:fill="auto"/>
            <w:noWrap/>
            <w:vAlign w:val="bottom"/>
          </w:tcPr>
          <w:p w14:paraId="3235AAC7" w14:textId="77777777" w:rsidR="00113079" w:rsidRPr="008E2FD8" w:rsidRDefault="00113079" w:rsidP="00DE1D1F">
            <w:pPr>
              <w:jc w:val="center"/>
              <w:rPr>
                <w:color w:val="002060"/>
                <w:sz w:val="18"/>
                <w:lang w:val="sr-Cyrl-RS"/>
              </w:rPr>
            </w:pPr>
            <w:r w:rsidRPr="008E2FD8">
              <w:rPr>
                <w:color w:val="002060"/>
                <w:sz w:val="18"/>
                <w:lang w:val="sr-Cyrl-RS"/>
              </w:rPr>
              <w:t>9,5</w:t>
            </w:r>
          </w:p>
        </w:tc>
        <w:tc>
          <w:tcPr>
            <w:tcW w:w="603" w:type="pct"/>
            <w:tcBorders>
              <w:top w:val="nil"/>
              <w:left w:val="nil"/>
              <w:bottom w:val="nil"/>
              <w:right w:val="nil"/>
            </w:tcBorders>
            <w:shd w:val="clear" w:color="auto" w:fill="auto"/>
            <w:noWrap/>
            <w:vAlign w:val="bottom"/>
          </w:tcPr>
          <w:p w14:paraId="4FE55914" w14:textId="77777777" w:rsidR="00113079" w:rsidRPr="008E2FD8" w:rsidRDefault="00113079" w:rsidP="00DE1D1F">
            <w:pPr>
              <w:jc w:val="center"/>
              <w:rPr>
                <w:color w:val="002060"/>
                <w:sz w:val="18"/>
                <w:lang w:val="sr-Cyrl-RS"/>
              </w:rPr>
            </w:pPr>
            <w:r w:rsidRPr="008E2FD8">
              <w:rPr>
                <w:color w:val="002060"/>
                <w:sz w:val="18"/>
                <w:lang w:val="sr-Cyrl-RS"/>
              </w:rPr>
              <w:t>9,9</w:t>
            </w:r>
          </w:p>
        </w:tc>
        <w:tc>
          <w:tcPr>
            <w:tcW w:w="603" w:type="pct"/>
            <w:tcBorders>
              <w:top w:val="nil"/>
              <w:left w:val="nil"/>
              <w:bottom w:val="nil"/>
              <w:right w:val="nil"/>
            </w:tcBorders>
            <w:shd w:val="clear" w:color="auto" w:fill="auto"/>
            <w:noWrap/>
            <w:vAlign w:val="bottom"/>
          </w:tcPr>
          <w:p w14:paraId="2C97245E" w14:textId="77777777" w:rsidR="00113079" w:rsidRPr="008E2FD8" w:rsidRDefault="00113079" w:rsidP="00DE1D1F">
            <w:pPr>
              <w:jc w:val="center"/>
              <w:rPr>
                <w:color w:val="002060"/>
                <w:sz w:val="18"/>
                <w:lang w:val="sr-Cyrl-RS"/>
              </w:rPr>
            </w:pPr>
            <w:r w:rsidRPr="008E2FD8">
              <w:rPr>
                <w:color w:val="002060"/>
                <w:sz w:val="18"/>
                <w:lang w:val="sr-Cyrl-RS"/>
              </w:rPr>
              <w:t>10,0</w:t>
            </w:r>
          </w:p>
        </w:tc>
      </w:tr>
      <w:tr w:rsidR="00113079" w:rsidRPr="008E2FD8" w14:paraId="6C1B7A9D" w14:textId="77777777" w:rsidTr="00113079">
        <w:trPr>
          <w:trHeight w:val="281"/>
          <w:jc w:val="center"/>
        </w:trPr>
        <w:tc>
          <w:tcPr>
            <w:tcW w:w="2590" w:type="pct"/>
            <w:noWrap/>
            <w:vAlign w:val="center"/>
          </w:tcPr>
          <w:p w14:paraId="62F4E949"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bCs/>
                <w:color w:val="002060"/>
                <w:sz w:val="18"/>
                <w:szCs w:val="18"/>
                <w:lang w:val="sr-Cyrl-RS"/>
              </w:rPr>
              <w:t>Увоз робе и услуга</w:t>
            </w:r>
          </w:p>
        </w:tc>
        <w:tc>
          <w:tcPr>
            <w:tcW w:w="602" w:type="pct"/>
            <w:tcBorders>
              <w:top w:val="nil"/>
              <w:left w:val="nil"/>
              <w:bottom w:val="nil"/>
              <w:right w:val="nil"/>
            </w:tcBorders>
            <w:shd w:val="clear" w:color="auto" w:fill="auto"/>
            <w:noWrap/>
            <w:vAlign w:val="bottom"/>
          </w:tcPr>
          <w:p w14:paraId="68A67FC4" w14:textId="77777777" w:rsidR="00113079" w:rsidRPr="008E2FD8" w:rsidRDefault="00113079" w:rsidP="00DE1D1F">
            <w:pPr>
              <w:jc w:val="center"/>
              <w:rPr>
                <w:color w:val="002060"/>
                <w:sz w:val="18"/>
                <w:lang w:val="sr-Cyrl-RS"/>
              </w:rPr>
            </w:pPr>
            <w:r w:rsidRPr="008E2FD8">
              <w:rPr>
                <w:color w:val="002060"/>
                <w:sz w:val="18"/>
                <w:lang w:val="sr-Cyrl-RS"/>
              </w:rPr>
              <w:t>13,4</w:t>
            </w:r>
          </w:p>
        </w:tc>
        <w:tc>
          <w:tcPr>
            <w:tcW w:w="603" w:type="pct"/>
            <w:tcBorders>
              <w:top w:val="nil"/>
              <w:left w:val="nil"/>
              <w:bottom w:val="nil"/>
              <w:right w:val="nil"/>
            </w:tcBorders>
            <w:shd w:val="clear" w:color="auto" w:fill="auto"/>
            <w:noWrap/>
            <w:vAlign w:val="bottom"/>
          </w:tcPr>
          <w:p w14:paraId="568071C5" w14:textId="77777777" w:rsidR="00113079" w:rsidRPr="008E2FD8" w:rsidRDefault="00113079" w:rsidP="00DE1D1F">
            <w:pPr>
              <w:jc w:val="center"/>
              <w:rPr>
                <w:color w:val="002060"/>
                <w:sz w:val="18"/>
                <w:lang w:val="sr-Cyrl-RS"/>
              </w:rPr>
            </w:pPr>
            <w:r w:rsidRPr="008E2FD8">
              <w:rPr>
                <w:color w:val="002060"/>
                <w:sz w:val="18"/>
                <w:lang w:val="sr-Cyrl-RS"/>
              </w:rPr>
              <w:t>7,4</w:t>
            </w:r>
          </w:p>
        </w:tc>
        <w:tc>
          <w:tcPr>
            <w:tcW w:w="603" w:type="pct"/>
            <w:tcBorders>
              <w:top w:val="nil"/>
              <w:left w:val="nil"/>
              <w:bottom w:val="nil"/>
              <w:right w:val="nil"/>
            </w:tcBorders>
            <w:shd w:val="clear" w:color="auto" w:fill="auto"/>
            <w:noWrap/>
            <w:vAlign w:val="bottom"/>
          </w:tcPr>
          <w:p w14:paraId="18997E2B" w14:textId="77777777" w:rsidR="00113079" w:rsidRPr="008E2FD8" w:rsidRDefault="00113079" w:rsidP="00DE1D1F">
            <w:pPr>
              <w:jc w:val="center"/>
              <w:rPr>
                <w:color w:val="002060"/>
                <w:sz w:val="18"/>
                <w:lang w:val="sr-Cyrl-RS"/>
              </w:rPr>
            </w:pPr>
            <w:r w:rsidRPr="008E2FD8">
              <w:rPr>
                <w:color w:val="002060"/>
                <w:sz w:val="18"/>
                <w:lang w:val="sr-Cyrl-RS"/>
              </w:rPr>
              <w:t>7,8</w:t>
            </w:r>
          </w:p>
        </w:tc>
        <w:tc>
          <w:tcPr>
            <w:tcW w:w="603" w:type="pct"/>
            <w:tcBorders>
              <w:top w:val="nil"/>
              <w:left w:val="nil"/>
              <w:bottom w:val="nil"/>
              <w:right w:val="nil"/>
            </w:tcBorders>
            <w:shd w:val="clear" w:color="auto" w:fill="auto"/>
            <w:noWrap/>
            <w:vAlign w:val="bottom"/>
          </w:tcPr>
          <w:p w14:paraId="5389E4CD" w14:textId="77777777" w:rsidR="00113079" w:rsidRPr="008E2FD8" w:rsidRDefault="00113079" w:rsidP="00DE1D1F">
            <w:pPr>
              <w:jc w:val="center"/>
              <w:rPr>
                <w:color w:val="002060"/>
                <w:sz w:val="18"/>
                <w:lang w:val="sr-Cyrl-RS"/>
              </w:rPr>
            </w:pPr>
            <w:r w:rsidRPr="008E2FD8">
              <w:rPr>
                <w:color w:val="002060"/>
                <w:sz w:val="18"/>
                <w:lang w:val="sr-Cyrl-RS"/>
              </w:rPr>
              <w:t>7,8</w:t>
            </w:r>
          </w:p>
        </w:tc>
      </w:tr>
      <w:tr w:rsidR="00113079" w:rsidRPr="008E2FD8" w14:paraId="3A15977D" w14:textId="77777777" w:rsidTr="00113079">
        <w:trPr>
          <w:trHeight w:val="281"/>
          <w:jc w:val="center"/>
        </w:trPr>
        <w:tc>
          <w:tcPr>
            <w:tcW w:w="2590" w:type="pct"/>
            <w:shd w:val="clear" w:color="auto" w:fill="E7E6E6" w:themeFill="background2"/>
            <w:noWrap/>
            <w:vAlign w:val="center"/>
            <w:hideMark/>
          </w:tcPr>
          <w:p w14:paraId="753BD9AF" w14:textId="77777777" w:rsidR="00113079" w:rsidRPr="008E2FD8" w:rsidRDefault="00113079" w:rsidP="00DE1D1F">
            <w:pPr>
              <w:jc w:val="left"/>
              <w:rPr>
                <w:rFonts w:eastAsia="Calibri" w:cstheme="minorHAnsi"/>
                <w:bCs/>
                <w:iCs/>
                <w:color w:val="002060"/>
                <w:sz w:val="18"/>
                <w:szCs w:val="18"/>
                <w:lang w:val="sr-Cyrl-RS"/>
              </w:rPr>
            </w:pPr>
            <w:r w:rsidRPr="008E2FD8">
              <w:rPr>
                <w:rFonts w:eastAsia="Calibri" w:cstheme="minorHAnsi"/>
                <w:iCs/>
                <w:color w:val="002060"/>
                <w:sz w:val="18"/>
                <w:szCs w:val="18"/>
                <w:lang w:val="sr-Cyrl-RS"/>
              </w:rPr>
              <w:t>Допринос расту БДП</w:t>
            </w:r>
            <w:r w:rsidRPr="008E2FD8">
              <w:rPr>
                <w:rFonts w:eastAsia="Calibri" w:cstheme="minorHAnsi"/>
                <w:bCs/>
                <w:iCs/>
                <w:color w:val="002060"/>
                <w:sz w:val="18"/>
                <w:szCs w:val="18"/>
                <w:lang w:val="sr-Cyrl-RS"/>
              </w:rPr>
              <w:t>, процентни поени</w:t>
            </w:r>
          </w:p>
        </w:tc>
        <w:tc>
          <w:tcPr>
            <w:tcW w:w="602" w:type="pct"/>
            <w:shd w:val="clear" w:color="auto" w:fill="E7E6E6" w:themeFill="background2"/>
            <w:noWrap/>
            <w:vAlign w:val="center"/>
          </w:tcPr>
          <w:p w14:paraId="141B0A22" w14:textId="77777777" w:rsidR="00113079" w:rsidRPr="008E2FD8" w:rsidRDefault="00113079" w:rsidP="00DE1D1F">
            <w:pPr>
              <w:jc w:val="center"/>
              <w:rPr>
                <w:rFonts w:eastAsia="Calibri" w:cstheme="minorHAnsi"/>
                <w:iCs/>
                <w:color w:val="002060"/>
                <w:sz w:val="18"/>
                <w:szCs w:val="18"/>
                <w:lang w:val="sr-Cyrl-RS"/>
              </w:rPr>
            </w:pPr>
          </w:p>
        </w:tc>
        <w:tc>
          <w:tcPr>
            <w:tcW w:w="603" w:type="pct"/>
            <w:shd w:val="clear" w:color="auto" w:fill="E7E6E6" w:themeFill="background2"/>
            <w:noWrap/>
            <w:vAlign w:val="center"/>
          </w:tcPr>
          <w:p w14:paraId="6C60820E"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4D6A4CC5"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020FFACF" w14:textId="77777777" w:rsidR="00113079" w:rsidRPr="008E2FD8" w:rsidRDefault="00113079" w:rsidP="00DE1D1F">
            <w:pPr>
              <w:jc w:val="center"/>
              <w:rPr>
                <w:rFonts w:eastAsia="Calibri" w:cstheme="minorHAnsi"/>
                <w:color w:val="002060"/>
                <w:sz w:val="18"/>
                <w:szCs w:val="18"/>
                <w:lang w:val="sr-Cyrl-RS"/>
              </w:rPr>
            </w:pPr>
          </w:p>
        </w:tc>
      </w:tr>
      <w:tr w:rsidR="00113079" w:rsidRPr="008E2FD8" w14:paraId="6A3CA3B4" w14:textId="77777777" w:rsidTr="00113079">
        <w:trPr>
          <w:trHeight w:val="281"/>
          <w:jc w:val="center"/>
        </w:trPr>
        <w:tc>
          <w:tcPr>
            <w:tcW w:w="2590" w:type="pct"/>
            <w:noWrap/>
            <w:vAlign w:val="center"/>
            <w:hideMark/>
          </w:tcPr>
          <w:p w14:paraId="69616A68"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Домаћа тражња</w:t>
            </w:r>
          </w:p>
        </w:tc>
        <w:tc>
          <w:tcPr>
            <w:tcW w:w="602" w:type="pct"/>
            <w:tcBorders>
              <w:top w:val="nil"/>
              <w:left w:val="nil"/>
              <w:bottom w:val="nil"/>
              <w:right w:val="nil"/>
            </w:tcBorders>
            <w:shd w:val="clear" w:color="auto" w:fill="auto"/>
            <w:noWrap/>
            <w:vAlign w:val="bottom"/>
          </w:tcPr>
          <w:p w14:paraId="593BFA03" w14:textId="77777777" w:rsidR="00113079" w:rsidRPr="008E2FD8" w:rsidRDefault="00113079" w:rsidP="00DE1D1F">
            <w:pPr>
              <w:jc w:val="center"/>
              <w:rPr>
                <w:color w:val="002060"/>
                <w:sz w:val="18"/>
                <w:lang w:val="sr-Cyrl-RS"/>
              </w:rPr>
            </w:pPr>
            <w:r w:rsidRPr="008E2FD8">
              <w:rPr>
                <w:color w:val="002060"/>
                <w:sz w:val="18"/>
                <w:lang w:val="sr-Cyrl-RS"/>
              </w:rPr>
              <w:t>7,4</w:t>
            </w:r>
          </w:p>
        </w:tc>
        <w:tc>
          <w:tcPr>
            <w:tcW w:w="603" w:type="pct"/>
            <w:tcBorders>
              <w:top w:val="nil"/>
              <w:left w:val="nil"/>
              <w:bottom w:val="nil"/>
              <w:right w:val="nil"/>
            </w:tcBorders>
            <w:shd w:val="clear" w:color="auto" w:fill="auto"/>
            <w:noWrap/>
            <w:vAlign w:val="bottom"/>
          </w:tcPr>
          <w:p w14:paraId="6CF323F2" w14:textId="77777777" w:rsidR="00113079" w:rsidRPr="008E2FD8" w:rsidRDefault="00113079" w:rsidP="00DE1D1F">
            <w:pPr>
              <w:jc w:val="center"/>
              <w:rPr>
                <w:color w:val="002060"/>
                <w:sz w:val="18"/>
                <w:lang w:val="sr-Cyrl-RS"/>
              </w:rPr>
            </w:pPr>
            <w:r w:rsidRPr="008E2FD8">
              <w:rPr>
                <w:color w:val="002060"/>
                <w:sz w:val="18"/>
                <w:lang w:val="sr-Cyrl-RS"/>
              </w:rPr>
              <w:t>3,8</w:t>
            </w:r>
          </w:p>
        </w:tc>
        <w:tc>
          <w:tcPr>
            <w:tcW w:w="603" w:type="pct"/>
            <w:tcBorders>
              <w:top w:val="nil"/>
              <w:left w:val="nil"/>
              <w:bottom w:val="nil"/>
              <w:right w:val="nil"/>
            </w:tcBorders>
            <w:shd w:val="clear" w:color="auto" w:fill="auto"/>
            <w:noWrap/>
            <w:vAlign w:val="bottom"/>
          </w:tcPr>
          <w:p w14:paraId="46B6F978" w14:textId="77777777" w:rsidR="00113079" w:rsidRPr="008E2FD8" w:rsidRDefault="00113079" w:rsidP="00DE1D1F">
            <w:pPr>
              <w:jc w:val="center"/>
              <w:rPr>
                <w:color w:val="002060"/>
                <w:sz w:val="18"/>
                <w:lang w:val="sr-Cyrl-RS"/>
              </w:rPr>
            </w:pPr>
            <w:r w:rsidRPr="008E2FD8">
              <w:rPr>
                <w:color w:val="002060"/>
                <w:sz w:val="18"/>
                <w:lang w:val="sr-Cyrl-RS"/>
              </w:rPr>
              <w:t>3,7</w:t>
            </w:r>
          </w:p>
        </w:tc>
        <w:tc>
          <w:tcPr>
            <w:tcW w:w="603" w:type="pct"/>
            <w:tcBorders>
              <w:top w:val="nil"/>
              <w:left w:val="nil"/>
              <w:bottom w:val="nil"/>
              <w:right w:val="nil"/>
            </w:tcBorders>
            <w:shd w:val="clear" w:color="auto" w:fill="auto"/>
            <w:noWrap/>
            <w:vAlign w:val="bottom"/>
          </w:tcPr>
          <w:p w14:paraId="748D427D" w14:textId="77777777" w:rsidR="00113079" w:rsidRPr="008E2FD8" w:rsidRDefault="00113079" w:rsidP="00DE1D1F">
            <w:pPr>
              <w:jc w:val="center"/>
              <w:rPr>
                <w:color w:val="002060"/>
                <w:sz w:val="18"/>
                <w:lang w:val="sr-Cyrl-RS"/>
              </w:rPr>
            </w:pPr>
            <w:r w:rsidRPr="008E2FD8">
              <w:rPr>
                <w:color w:val="002060"/>
                <w:sz w:val="18"/>
                <w:lang w:val="sr-Cyrl-RS"/>
              </w:rPr>
              <w:t>3,5</w:t>
            </w:r>
          </w:p>
        </w:tc>
      </w:tr>
      <w:tr w:rsidR="00113079" w:rsidRPr="008E2FD8" w14:paraId="6D81EFA9" w14:textId="77777777" w:rsidTr="00113079">
        <w:trPr>
          <w:trHeight w:val="281"/>
          <w:jc w:val="center"/>
        </w:trPr>
        <w:tc>
          <w:tcPr>
            <w:tcW w:w="2590" w:type="pct"/>
            <w:noWrap/>
            <w:vAlign w:val="center"/>
            <w:hideMark/>
          </w:tcPr>
          <w:p w14:paraId="3361189E"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Лична потрошња</w:t>
            </w:r>
          </w:p>
        </w:tc>
        <w:tc>
          <w:tcPr>
            <w:tcW w:w="602" w:type="pct"/>
            <w:tcBorders>
              <w:top w:val="nil"/>
              <w:left w:val="nil"/>
              <w:bottom w:val="nil"/>
              <w:right w:val="nil"/>
            </w:tcBorders>
            <w:shd w:val="clear" w:color="auto" w:fill="auto"/>
            <w:noWrap/>
            <w:vAlign w:val="bottom"/>
          </w:tcPr>
          <w:p w14:paraId="2EFA3247" w14:textId="77777777" w:rsidR="00113079" w:rsidRPr="008E2FD8" w:rsidRDefault="00113079" w:rsidP="00DE1D1F">
            <w:pPr>
              <w:jc w:val="center"/>
              <w:rPr>
                <w:color w:val="002060"/>
                <w:sz w:val="18"/>
                <w:lang w:val="sr-Cyrl-RS"/>
              </w:rPr>
            </w:pPr>
            <w:r w:rsidRPr="008E2FD8">
              <w:rPr>
                <w:color w:val="002060"/>
                <w:sz w:val="18"/>
                <w:lang w:val="sr-Cyrl-RS"/>
              </w:rPr>
              <w:t>4,0</w:t>
            </w:r>
          </w:p>
        </w:tc>
        <w:tc>
          <w:tcPr>
            <w:tcW w:w="603" w:type="pct"/>
            <w:tcBorders>
              <w:top w:val="nil"/>
              <w:left w:val="nil"/>
              <w:bottom w:val="nil"/>
              <w:right w:val="nil"/>
            </w:tcBorders>
            <w:shd w:val="clear" w:color="auto" w:fill="auto"/>
            <w:noWrap/>
            <w:vAlign w:val="bottom"/>
          </w:tcPr>
          <w:p w14:paraId="4F678F34" w14:textId="77777777" w:rsidR="00113079" w:rsidRPr="008E2FD8" w:rsidRDefault="00113079" w:rsidP="00DE1D1F">
            <w:pPr>
              <w:jc w:val="center"/>
              <w:rPr>
                <w:color w:val="002060"/>
                <w:sz w:val="18"/>
                <w:lang w:val="sr-Cyrl-RS"/>
              </w:rPr>
            </w:pPr>
            <w:r w:rsidRPr="008E2FD8">
              <w:rPr>
                <w:color w:val="002060"/>
                <w:sz w:val="18"/>
                <w:lang w:val="sr-Cyrl-RS"/>
              </w:rPr>
              <w:t>2,2</w:t>
            </w:r>
          </w:p>
        </w:tc>
        <w:tc>
          <w:tcPr>
            <w:tcW w:w="603" w:type="pct"/>
            <w:tcBorders>
              <w:top w:val="nil"/>
              <w:left w:val="nil"/>
              <w:bottom w:val="nil"/>
              <w:right w:val="nil"/>
            </w:tcBorders>
            <w:shd w:val="clear" w:color="auto" w:fill="auto"/>
            <w:noWrap/>
            <w:vAlign w:val="bottom"/>
          </w:tcPr>
          <w:p w14:paraId="52EDADAF" w14:textId="77777777" w:rsidR="00113079" w:rsidRPr="008E2FD8" w:rsidRDefault="00113079" w:rsidP="00DE1D1F">
            <w:pPr>
              <w:jc w:val="center"/>
              <w:rPr>
                <w:color w:val="002060"/>
                <w:sz w:val="18"/>
                <w:lang w:val="sr-Cyrl-RS"/>
              </w:rPr>
            </w:pPr>
            <w:r w:rsidRPr="008E2FD8">
              <w:rPr>
                <w:color w:val="002060"/>
                <w:sz w:val="18"/>
                <w:lang w:val="sr-Cyrl-RS"/>
              </w:rPr>
              <w:t>2,0</w:t>
            </w:r>
          </w:p>
        </w:tc>
        <w:tc>
          <w:tcPr>
            <w:tcW w:w="603" w:type="pct"/>
            <w:tcBorders>
              <w:top w:val="nil"/>
              <w:left w:val="nil"/>
              <w:bottom w:val="nil"/>
              <w:right w:val="nil"/>
            </w:tcBorders>
            <w:shd w:val="clear" w:color="auto" w:fill="auto"/>
            <w:noWrap/>
            <w:vAlign w:val="bottom"/>
          </w:tcPr>
          <w:p w14:paraId="032CECB8" w14:textId="77777777" w:rsidR="00113079" w:rsidRPr="008E2FD8" w:rsidRDefault="00113079" w:rsidP="00DE1D1F">
            <w:pPr>
              <w:jc w:val="center"/>
              <w:rPr>
                <w:color w:val="002060"/>
                <w:sz w:val="18"/>
                <w:lang w:val="sr-Cyrl-RS"/>
              </w:rPr>
            </w:pPr>
            <w:r w:rsidRPr="008E2FD8">
              <w:rPr>
                <w:color w:val="002060"/>
                <w:sz w:val="18"/>
                <w:lang w:val="sr-Cyrl-RS"/>
              </w:rPr>
              <w:t>1,5</w:t>
            </w:r>
          </w:p>
        </w:tc>
      </w:tr>
      <w:tr w:rsidR="00113079" w:rsidRPr="008E2FD8" w14:paraId="47B54213" w14:textId="77777777" w:rsidTr="00113079">
        <w:trPr>
          <w:trHeight w:val="281"/>
          <w:jc w:val="center"/>
        </w:trPr>
        <w:tc>
          <w:tcPr>
            <w:tcW w:w="2590" w:type="pct"/>
            <w:noWrap/>
            <w:vAlign w:val="center"/>
            <w:hideMark/>
          </w:tcPr>
          <w:p w14:paraId="2CD415AB"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Државна потрошња</w:t>
            </w:r>
          </w:p>
        </w:tc>
        <w:tc>
          <w:tcPr>
            <w:tcW w:w="602" w:type="pct"/>
            <w:tcBorders>
              <w:top w:val="nil"/>
              <w:left w:val="nil"/>
              <w:bottom w:val="nil"/>
              <w:right w:val="nil"/>
            </w:tcBorders>
            <w:shd w:val="clear" w:color="auto" w:fill="auto"/>
            <w:noWrap/>
            <w:vAlign w:val="bottom"/>
          </w:tcPr>
          <w:p w14:paraId="5F50017C" w14:textId="77777777" w:rsidR="00113079" w:rsidRPr="008E2FD8" w:rsidRDefault="00113079" w:rsidP="00DE1D1F">
            <w:pPr>
              <w:jc w:val="center"/>
              <w:rPr>
                <w:color w:val="002060"/>
                <w:sz w:val="18"/>
                <w:lang w:val="sr-Cyrl-RS"/>
              </w:rPr>
            </w:pPr>
            <w:r w:rsidRPr="008E2FD8">
              <w:rPr>
                <w:color w:val="002060"/>
                <w:sz w:val="18"/>
                <w:lang w:val="sr-Cyrl-RS"/>
              </w:rPr>
              <w:t>0,5</w:t>
            </w:r>
          </w:p>
        </w:tc>
        <w:tc>
          <w:tcPr>
            <w:tcW w:w="603" w:type="pct"/>
            <w:tcBorders>
              <w:top w:val="nil"/>
              <w:left w:val="nil"/>
              <w:bottom w:val="nil"/>
              <w:right w:val="nil"/>
            </w:tcBorders>
            <w:shd w:val="clear" w:color="auto" w:fill="auto"/>
            <w:noWrap/>
            <w:vAlign w:val="bottom"/>
          </w:tcPr>
          <w:p w14:paraId="1B55CD03" w14:textId="77777777" w:rsidR="00113079" w:rsidRPr="008E2FD8" w:rsidRDefault="00113079" w:rsidP="00DE1D1F">
            <w:pPr>
              <w:jc w:val="center"/>
              <w:rPr>
                <w:color w:val="002060"/>
                <w:sz w:val="18"/>
                <w:lang w:val="sr-Cyrl-RS"/>
              </w:rPr>
            </w:pPr>
            <w:r w:rsidRPr="008E2FD8">
              <w:rPr>
                <w:color w:val="002060"/>
                <w:sz w:val="18"/>
                <w:lang w:val="sr-Cyrl-RS"/>
              </w:rPr>
              <w:t>0,2</w:t>
            </w:r>
          </w:p>
        </w:tc>
        <w:tc>
          <w:tcPr>
            <w:tcW w:w="603" w:type="pct"/>
            <w:tcBorders>
              <w:top w:val="nil"/>
              <w:left w:val="nil"/>
              <w:bottom w:val="nil"/>
              <w:right w:val="nil"/>
            </w:tcBorders>
            <w:shd w:val="clear" w:color="auto" w:fill="auto"/>
            <w:noWrap/>
            <w:vAlign w:val="bottom"/>
          </w:tcPr>
          <w:p w14:paraId="45A6B332" w14:textId="77777777" w:rsidR="00113079" w:rsidRPr="008E2FD8" w:rsidRDefault="00113079" w:rsidP="00DE1D1F">
            <w:pPr>
              <w:jc w:val="center"/>
              <w:rPr>
                <w:color w:val="002060"/>
                <w:sz w:val="18"/>
                <w:lang w:val="sr-Cyrl-RS"/>
              </w:rPr>
            </w:pPr>
            <w:r w:rsidRPr="008E2FD8">
              <w:rPr>
                <w:color w:val="002060"/>
                <w:sz w:val="18"/>
                <w:lang w:val="sr-Cyrl-RS"/>
              </w:rPr>
              <w:t>0,0</w:t>
            </w:r>
          </w:p>
        </w:tc>
        <w:tc>
          <w:tcPr>
            <w:tcW w:w="603" w:type="pct"/>
            <w:tcBorders>
              <w:top w:val="nil"/>
              <w:left w:val="nil"/>
              <w:bottom w:val="nil"/>
              <w:right w:val="nil"/>
            </w:tcBorders>
            <w:shd w:val="clear" w:color="auto" w:fill="auto"/>
            <w:noWrap/>
            <w:vAlign w:val="bottom"/>
          </w:tcPr>
          <w:p w14:paraId="27356D77" w14:textId="77777777" w:rsidR="00113079" w:rsidRPr="008E2FD8" w:rsidRDefault="00113079" w:rsidP="00DE1D1F">
            <w:pPr>
              <w:jc w:val="center"/>
              <w:rPr>
                <w:color w:val="002060"/>
                <w:sz w:val="18"/>
                <w:lang w:val="sr-Cyrl-RS"/>
              </w:rPr>
            </w:pPr>
            <w:r w:rsidRPr="008E2FD8">
              <w:rPr>
                <w:color w:val="002060"/>
                <w:sz w:val="18"/>
                <w:lang w:val="sr-Cyrl-RS"/>
              </w:rPr>
              <w:t>0,0</w:t>
            </w:r>
          </w:p>
        </w:tc>
      </w:tr>
      <w:tr w:rsidR="00113079" w:rsidRPr="008E2FD8" w14:paraId="49F3A5A6" w14:textId="77777777" w:rsidTr="00113079">
        <w:trPr>
          <w:trHeight w:val="281"/>
          <w:jc w:val="center"/>
        </w:trPr>
        <w:tc>
          <w:tcPr>
            <w:tcW w:w="2590" w:type="pct"/>
            <w:vAlign w:val="center"/>
          </w:tcPr>
          <w:p w14:paraId="0FB4B68F"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Инвестициона потрошња</w:t>
            </w:r>
          </w:p>
        </w:tc>
        <w:tc>
          <w:tcPr>
            <w:tcW w:w="602" w:type="pct"/>
            <w:tcBorders>
              <w:top w:val="nil"/>
              <w:left w:val="nil"/>
              <w:bottom w:val="nil"/>
              <w:right w:val="nil"/>
            </w:tcBorders>
            <w:shd w:val="clear" w:color="auto" w:fill="auto"/>
            <w:noWrap/>
            <w:vAlign w:val="bottom"/>
          </w:tcPr>
          <w:p w14:paraId="22CC55C1" w14:textId="77777777" w:rsidR="00113079" w:rsidRPr="008E2FD8" w:rsidRDefault="00113079" w:rsidP="00DE1D1F">
            <w:pPr>
              <w:jc w:val="center"/>
              <w:rPr>
                <w:color w:val="002060"/>
                <w:sz w:val="18"/>
                <w:lang w:val="sr-Cyrl-RS"/>
              </w:rPr>
            </w:pPr>
            <w:r w:rsidRPr="008E2FD8">
              <w:rPr>
                <w:color w:val="002060"/>
                <w:sz w:val="18"/>
                <w:lang w:val="sr-Cyrl-RS"/>
              </w:rPr>
              <w:t>3,2</w:t>
            </w:r>
          </w:p>
        </w:tc>
        <w:tc>
          <w:tcPr>
            <w:tcW w:w="603" w:type="pct"/>
            <w:tcBorders>
              <w:top w:val="nil"/>
              <w:left w:val="nil"/>
              <w:bottom w:val="nil"/>
              <w:right w:val="nil"/>
            </w:tcBorders>
            <w:shd w:val="clear" w:color="auto" w:fill="auto"/>
            <w:noWrap/>
            <w:vAlign w:val="bottom"/>
          </w:tcPr>
          <w:p w14:paraId="1402A3BC" w14:textId="77777777" w:rsidR="00113079" w:rsidRPr="008E2FD8" w:rsidRDefault="00113079" w:rsidP="00DE1D1F">
            <w:pPr>
              <w:jc w:val="center"/>
              <w:rPr>
                <w:color w:val="002060"/>
                <w:sz w:val="18"/>
                <w:lang w:val="sr-Cyrl-RS"/>
              </w:rPr>
            </w:pPr>
            <w:r w:rsidRPr="008E2FD8">
              <w:rPr>
                <w:color w:val="002060"/>
                <w:sz w:val="18"/>
                <w:lang w:val="sr-Cyrl-RS"/>
              </w:rPr>
              <w:t>1,4</w:t>
            </w:r>
          </w:p>
        </w:tc>
        <w:tc>
          <w:tcPr>
            <w:tcW w:w="603" w:type="pct"/>
            <w:tcBorders>
              <w:top w:val="nil"/>
              <w:left w:val="nil"/>
              <w:bottom w:val="nil"/>
              <w:right w:val="nil"/>
            </w:tcBorders>
            <w:shd w:val="clear" w:color="auto" w:fill="auto"/>
            <w:noWrap/>
            <w:vAlign w:val="bottom"/>
          </w:tcPr>
          <w:p w14:paraId="445015E0" w14:textId="77777777" w:rsidR="00113079" w:rsidRPr="008E2FD8" w:rsidRDefault="00113079" w:rsidP="00DE1D1F">
            <w:pPr>
              <w:jc w:val="center"/>
              <w:rPr>
                <w:color w:val="002060"/>
                <w:sz w:val="18"/>
                <w:lang w:val="sr-Cyrl-RS"/>
              </w:rPr>
            </w:pPr>
            <w:r w:rsidRPr="008E2FD8">
              <w:rPr>
                <w:color w:val="002060"/>
                <w:sz w:val="18"/>
                <w:lang w:val="sr-Cyrl-RS"/>
              </w:rPr>
              <w:t>1,6</w:t>
            </w:r>
          </w:p>
        </w:tc>
        <w:tc>
          <w:tcPr>
            <w:tcW w:w="603" w:type="pct"/>
            <w:tcBorders>
              <w:top w:val="nil"/>
              <w:left w:val="nil"/>
              <w:bottom w:val="nil"/>
              <w:right w:val="nil"/>
            </w:tcBorders>
            <w:shd w:val="clear" w:color="auto" w:fill="auto"/>
            <w:noWrap/>
            <w:vAlign w:val="bottom"/>
          </w:tcPr>
          <w:p w14:paraId="4F63FD27" w14:textId="77777777" w:rsidR="00113079" w:rsidRPr="008E2FD8" w:rsidRDefault="00113079" w:rsidP="00DE1D1F">
            <w:pPr>
              <w:jc w:val="center"/>
              <w:rPr>
                <w:color w:val="002060"/>
                <w:sz w:val="18"/>
                <w:lang w:val="sr-Cyrl-RS"/>
              </w:rPr>
            </w:pPr>
            <w:r w:rsidRPr="008E2FD8">
              <w:rPr>
                <w:color w:val="002060"/>
                <w:sz w:val="18"/>
                <w:lang w:val="sr-Cyrl-RS"/>
              </w:rPr>
              <w:t>2,0</w:t>
            </w:r>
          </w:p>
        </w:tc>
      </w:tr>
      <w:tr w:rsidR="00113079" w:rsidRPr="008E2FD8" w14:paraId="381B6160" w14:textId="77777777" w:rsidTr="00113079">
        <w:trPr>
          <w:trHeight w:val="281"/>
          <w:jc w:val="center"/>
        </w:trPr>
        <w:tc>
          <w:tcPr>
            <w:tcW w:w="2590" w:type="pct"/>
            <w:vAlign w:val="center"/>
            <w:hideMark/>
          </w:tcPr>
          <w:p w14:paraId="23269B09"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Промена у залихама</w:t>
            </w:r>
          </w:p>
        </w:tc>
        <w:tc>
          <w:tcPr>
            <w:tcW w:w="602" w:type="pct"/>
            <w:tcBorders>
              <w:top w:val="nil"/>
              <w:left w:val="nil"/>
              <w:bottom w:val="nil"/>
              <w:right w:val="nil"/>
            </w:tcBorders>
            <w:shd w:val="clear" w:color="auto" w:fill="auto"/>
            <w:noWrap/>
            <w:vAlign w:val="bottom"/>
          </w:tcPr>
          <w:p w14:paraId="1B1677EC" w14:textId="77777777" w:rsidR="00113079" w:rsidRPr="008E2FD8" w:rsidRDefault="00113079" w:rsidP="00DE1D1F">
            <w:pPr>
              <w:jc w:val="center"/>
              <w:rPr>
                <w:color w:val="002060"/>
                <w:sz w:val="18"/>
                <w:lang w:val="sr-Cyrl-RS"/>
              </w:rPr>
            </w:pPr>
            <w:r w:rsidRPr="008E2FD8">
              <w:rPr>
                <w:color w:val="002060"/>
                <w:sz w:val="18"/>
                <w:lang w:val="sr-Cyrl-RS"/>
              </w:rPr>
              <w:t>-0,3</w:t>
            </w:r>
          </w:p>
        </w:tc>
        <w:tc>
          <w:tcPr>
            <w:tcW w:w="603" w:type="pct"/>
            <w:tcBorders>
              <w:top w:val="nil"/>
              <w:left w:val="nil"/>
              <w:bottom w:val="nil"/>
              <w:right w:val="nil"/>
            </w:tcBorders>
            <w:shd w:val="clear" w:color="auto" w:fill="auto"/>
            <w:noWrap/>
            <w:vAlign w:val="bottom"/>
          </w:tcPr>
          <w:p w14:paraId="48034F6F" w14:textId="77777777" w:rsidR="00113079" w:rsidRPr="008E2FD8" w:rsidRDefault="00113079" w:rsidP="00DE1D1F">
            <w:pPr>
              <w:jc w:val="center"/>
              <w:rPr>
                <w:color w:val="002060"/>
                <w:sz w:val="18"/>
                <w:lang w:val="sr-Cyrl-RS"/>
              </w:rPr>
            </w:pPr>
            <w:r w:rsidRPr="008E2FD8">
              <w:rPr>
                <w:color w:val="002060"/>
                <w:sz w:val="18"/>
                <w:lang w:val="sr-Cyrl-RS"/>
              </w:rPr>
              <w:t>0,0</w:t>
            </w:r>
          </w:p>
        </w:tc>
        <w:tc>
          <w:tcPr>
            <w:tcW w:w="603" w:type="pct"/>
            <w:tcBorders>
              <w:top w:val="nil"/>
              <w:left w:val="nil"/>
              <w:bottom w:val="nil"/>
              <w:right w:val="nil"/>
            </w:tcBorders>
            <w:shd w:val="clear" w:color="auto" w:fill="auto"/>
            <w:noWrap/>
            <w:vAlign w:val="bottom"/>
          </w:tcPr>
          <w:p w14:paraId="420B1FBA" w14:textId="77777777" w:rsidR="00113079" w:rsidRPr="008E2FD8" w:rsidRDefault="00113079" w:rsidP="00DE1D1F">
            <w:pPr>
              <w:jc w:val="center"/>
              <w:rPr>
                <w:color w:val="002060"/>
                <w:sz w:val="18"/>
                <w:lang w:val="sr-Cyrl-RS"/>
              </w:rPr>
            </w:pPr>
            <w:r w:rsidRPr="008E2FD8">
              <w:rPr>
                <w:color w:val="002060"/>
                <w:sz w:val="18"/>
                <w:lang w:val="sr-Cyrl-RS"/>
              </w:rPr>
              <w:t>0,0</w:t>
            </w:r>
          </w:p>
        </w:tc>
        <w:tc>
          <w:tcPr>
            <w:tcW w:w="603" w:type="pct"/>
            <w:tcBorders>
              <w:top w:val="nil"/>
              <w:left w:val="nil"/>
              <w:bottom w:val="nil"/>
              <w:right w:val="nil"/>
            </w:tcBorders>
            <w:shd w:val="clear" w:color="auto" w:fill="auto"/>
            <w:noWrap/>
            <w:vAlign w:val="bottom"/>
          </w:tcPr>
          <w:p w14:paraId="3FCD0A92" w14:textId="77777777" w:rsidR="00113079" w:rsidRPr="008E2FD8" w:rsidRDefault="00113079" w:rsidP="00DE1D1F">
            <w:pPr>
              <w:jc w:val="center"/>
              <w:rPr>
                <w:color w:val="002060"/>
                <w:sz w:val="18"/>
                <w:lang w:val="sr-Cyrl-RS"/>
              </w:rPr>
            </w:pPr>
            <w:r w:rsidRPr="008E2FD8">
              <w:rPr>
                <w:color w:val="002060"/>
                <w:sz w:val="18"/>
                <w:lang w:val="sr-Cyrl-RS"/>
              </w:rPr>
              <w:t>0,0</w:t>
            </w:r>
          </w:p>
        </w:tc>
      </w:tr>
      <w:tr w:rsidR="00113079" w:rsidRPr="008E2FD8" w14:paraId="47B7F37C" w14:textId="77777777" w:rsidTr="00113079">
        <w:trPr>
          <w:trHeight w:val="281"/>
          <w:jc w:val="center"/>
        </w:trPr>
        <w:tc>
          <w:tcPr>
            <w:tcW w:w="2590" w:type="pct"/>
            <w:noWrap/>
            <w:vAlign w:val="center"/>
            <w:hideMark/>
          </w:tcPr>
          <w:p w14:paraId="0D736DA7"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Нето извоз робе и услуга</w:t>
            </w:r>
          </w:p>
        </w:tc>
        <w:tc>
          <w:tcPr>
            <w:tcW w:w="602" w:type="pct"/>
            <w:tcBorders>
              <w:top w:val="nil"/>
              <w:left w:val="nil"/>
              <w:bottom w:val="nil"/>
              <w:right w:val="nil"/>
            </w:tcBorders>
            <w:shd w:val="clear" w:color="auto" w:fill="auto"/>
            <w:noWrap/>
            <w:vAlign w:val="bottom"/>
          </w:tcPr>
          <w:p w14:paraId="204267FA" w14:textId="77777777" w:rsidR="00113079" w:rsidRPr="008E2FD8" w:rsidRDefault="00113079" w:rsidP="00DE1D1F">
            <w:pPr>
              <w:jc w:val="center"/>
              <w:rPr>
                <w:color w:val="002060"/>
                <w:sz w:val="18"/>
                <w:lang w:val="sr-Cyrl-RS"/>
              </w:rPr>
            </w:pPr>
            <w:r w:rsidRPr="008E2FD8">
              <w:rPr>
                <w:color w:val="002060"/>
                <w:sz w:val="18"/>
                <w:lang w:val="sr-Cyrl-RS"/>
              </w:rPr>
              <w:t>-1,4</w:t>
            </w:r>
          </w:p>
        </w:tc>
        <w:tc>
          <w:tcPr>
            <w:tcW w:w="603" w:type="pct"/>
            <w:tcBorders>
              <w:top w:val="nil"/>
              <w:left w:val="nil"/>
              <w:bottom w:val="nil"/>
              <w:right w:val="nil"/>
            </w:tcBorders>
            <w:shd w:val="clear" w:color="auto" w:fill="auto"/>
            <w:noWrap/>
            <w:vAlign w:val="bottom"/>
          </w:tcPr>
          <w:p w14:paraId="2E9BA029" w14:textId="77777777" w:rsidR="00113079" w:rsidRPr="008E2FD8" w:rsidRDefault="00113079" w:rsidP="00DE1D1F">
            <w:pPr>
              <w:jc w:val="center"/>
              <w:rPr>
                <w:color w:val="002060"/>
                <w:sz w:val="18"/>
                <w:lang w:val="sr-Cyrl-RS"/>
              </w:rPr>
            </w:pPr>
            <w:r w:rsidRPr="008E2FD8">
              <w:rPr>
                <w:color w:val="002060"/>
                <w:sz w:val="18"/>
                <w:lang w:val="sr-Cyrl-RS"/>
              </w:rPr>
              <w:t>0,2</w:t>
            </w:r>
          </w:p>
        </w:tc>
        <w:tc>
          <w:tcPr>
            <w:tcW w:w="603" w:type="pct"/>
            <w:tcBorders>
              <w:top w:val="nil"/>
              <w:left w:val="nil"/>
              <w:bottom w:val="nil"/>
              <w:right w:val="nil"/>
            </w:tcBorders>
            <w:shd w:val="clear" w:color="auto" w:fill="auto"/>
            <w:noWrap/>
            <w:vAlign w:val="bottom"/>
          </w:tcPr>
          <w:p w14:paraId="235C2388" w14:textId="77777777" w:rsidR="00113079" w:rsidRPr="008E2FD8" w:rsidRDefault="00113079" w:rsidP="00DE1D1F">
            <w:pPr>
              <w:jc w:val="center"/>
              <w:rPr>
                <w:color w:val="002060"/>
                <w:sz w:val="18"/>
                <w:lang w:val="sr-Cyrl-RS"/>
              </w:rPr>
            </w:pPr>
            <w:r w:rsidRPr="008E2FD8">
              <w:rPr>
                <w:color w:val="002060"/>
                <w:sz w:val="18"/>
                <w:lang w:val="sr-Cyrl-RS"/>
              </w:rPr>
              <w:t>0,3</w:t>
            </w:r>
          </w:p>
        </w:tc>
        <w:tc>
          <w:tcPr>
            <w:tcW w:w="603" w:type="pct"/>
            <w:tcBorders>
              <w:top w:val="nil"/>
              <w:left w:val="nil"/>
              <w:bottom w:val="nil"/>
              <w:right w:val="nil"/>
            </w:tcBorders>
            <w:shd w:val="clear" w:color="auto" w:fill="auto"/>
            <w:noWrap/>
            <w:vAlign w:val="bottom"/>
          </w:tcPr>
          <w:p w14:paraId="20CBDBB2" w14:textId="77777777" w:rsidR="00113079" w:rsidRPr="008E2FD8" w:rsidRDefault="00113079" w:rsidP="00DE1D1F">
            <w:pPr>
              <w:jc w:val="center"/>
              <w:rPr>
                <w:color w:val="002060"/>
                <w:sz w:val="18"/>
                <w:lang w:val="sr-Cyrl-RS"/>
              </w:rPr>
            </w:pPr>
            <w:r w:rsidRPr="008E2FD8">
              <w:rPr>
                <w:color w:val="002060"/>
                <w:sz w:val="18"/>
                <w:lang w:val="sr-Cyrl-RS"/>
              </w:rPr>
              <w:t>0,5</w:t>
            </w:r>
          </w:p>
        </w:tc>
      </w:tr>
      <w:tr w:rsidR="00113079" w:rsidRPr="008E2FD8" w14:paraId="72D03BA9" w14:textId="77777777" w:rsidTr="00113079">
        <w:trPr>
          <w:trHeight w:val="281"/>
          <w:jc w:val="center"/>
        </w:trPr>
        <w:tc>
          <w:tcPr>
            <w:tcW w:w="2590" w:type="pct"/>
            <w:shd w:val="clear" w:color="auto" w:fill="E7E6E6" w:themeFill="background2"/>
            <w:noWrap/>
            <w:vAlign w:val="center"/>
            <w:hideMark/>
          </w:tcPr>
          <w:p w14:paraId="7704C23F" w14:textId="77777777" w:rsidR="00113079" w:rsidRPr="008E2FD8" w:rsidRDefault="00113079" w:rsidP="00040D82">
            <w:pPr>
              <w:jc w:val="left"/>
              <w:rPr>
                <w:rFonts w:eastAsia="Calibri" w:cstheme="minorHAnsi"/>
                <w:bCs/>
                <w:color w:val="002060"/>
                <w:sz w:val="18"/>
                <w:szCs w:val="18"/>
                <w:lang w:val="sr-Cyrl-RS"/>
              </w:rPr>
            </w:pPr>
            <w:r w:rsidRPr="008E2FD8">
              <w:rPr>
                <w:rFonts w:eastAsia="Calibri" w:cstheme="minorHAnsi"/>
                <w:iCs/>
                <w:color w:val="002060"/>
                <w:sz w:val="18"/>
                <w:szCs w:val="18"/>
                <w:lang w:val="sr-Cyrl-RS"/>
              </w:rPr>
              <w:t xml:space="preserve">Раст </w:t>
            </w:r>
            <w:r w:rsidR="00040D82" w:rsidRPr="008E2FD8">
              <w:rPr>
                <w:rFonts w:eastAsia="Calibri" w:cstheme="minorHAnsi"/>
                <w:iCs/>
                <w:color w:val="002060"/>
                <w:sz w:val="18"/>
                <w:szCs w:val="18"/>
                <w:lang w:val="sr-Cyrl-RS"/>
              </w:rPr>
              <w:t>БДВ</w:t>
            </w:r>
            <w:r w:rsidRPr="008E2FD8">
              <w:rPr>
                <w:rFonts w:eastAsia="Calibri" w:cstheme="minorHAnsi"/>
                <w:iCs/>
                <w:color w:val="002060"/>
                <w:sz w:val="18"/>
                <w:szCs w:val="18"/>
                <w:lang w:val="sr-Cyrl-RS"/>
              </w:rPr>
              <w:t xml:space="preserve"> по секторима и нето пореза, %</w:t>
            </w:r>
          </w:p>
        </w:tc>
        <w:tc>
          <w:tcPr>
            <w:tcW w:w="602" w:type="pct"/>
            <w:shd w:val="clear" w:color="auto" w:fill="E7E6E6" w:themeFill="background2"/>
            <w:vAlign w:val="center"/>
          </w:tcPr>
          <w:p w14:paraId="0C9CE1CD"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798F3323"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05A9B25D"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5A2C5BF2" w14:textId="77777777" w:rsidR="00113079" w:rsidRPr="008E2FD8" w:rsidRDefault="00113079" w:rsidP="00DE1D1F">
            <w:pPr>
              <w:jc w:val="center"/>
              <w:rPr>
                <w:rFonts w:eastAsia="Calibri" w:cstheme="minorHAnsi"/>
                <w:bCs/>
                <w:color w:val="002060"/>
                <w:sz w:val="18"/>
                <w:szCs w:val="18"/>
                <w:lang w:val="sr-Cyrl-RS"/>
              </w:rPr>
            </w:pPr>
          </w:p>
        </w:tc>
      </w:tr>
      <w:tr w:rsidR="00113079" w:rsidRPr="008E2FD8" w14:paraId="468B6D33" w14:textId="77777777" w:rsidTr="00113079">
        <w:trPr>
          <w:trHeight w:val="281"/>
          <w:jc w:val="center"/>
        </w:trPr>
        <w:tc>
          <w:tcPr>
            <w:tcW w:w="2590" w:type="pct"/>
            <w:noWrap/>
            <w:vAlign w:val="center"/>
            <w:hideMark/>
          </w:tcPr>
          <w:p w14:paraId="398DC00D"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Пољопривреда</w:t>
            </w:r>
          </w:p>
        </w:tc>
        <w:tc>
          <w:tcPr>
            <w:tcW w:w="602" w:type="pct"/>
            <w:tcBorders>
              <w:top w:val="nil"/>
              <w:left w:val="nil"/>
              <w:bottom w:val="nil"/>
              <w:right w:val="nil"/>
            </w:tcBorders>
            <w:shd w:val="clear" w:color="auto" w:fill="auto"/>
            <w:noWrap/>
            <w:vAlign w:val="bottom"/>
          </w:tcPr>
          <w:p w14:paraId="0E0D7DBB" w14:textId="77777777" w:rsidR="00113079" w:rsidRPr="008E2FD8" w:rsidRDefault="00113079" w:rsidP="00DE1D1F">
            <w:pPr>
              <w:jc w:val="center"/>
              <w:rPr>
                <w:color w:val="002060"/>
                <w:sz w:val="18"/>
                <w:lang w:val="sr-Cyrl-RS"/>
              </w:rPr>
            </w:pPr>
            <w:r w:rsidRPr="008E2FD8">
              <w:rPr>
                <w:color w:val="002060"/>
                <w:sz w:val="18"/>
                <w:lang w:val="sr-Cyrl-RS"/>
              </w:rPr>
              <w:t>-4,0</w:t>
            </w:r>
          </w:p>
        </w:tc>
        <w:tc>
          <w:tcPr>
            <w:tcW w:w="603" w:type="pct"/>
            <w:tcBorders>
              <w:top w:val="nil"/>
              <w:left w:val="nil"/>
              <w:bottom w:val="nil"/>
              <w:right w:val="nil"/>
            </w:tcBorders>
            <w:shd w:val="clear" w:color="auto" w:fill="auto"/>
            <w:noWrap/>
            <w:vAlign w:val="bottom"/>
          </w:tcPr>
          <w:p w14:paraId="369D1B97" w14:textId="77777777" w:rsidR="00113079" w:rsidRPr="008E2FD8" w:rsidRDefault="00113079" w:rsidP="00DE1D1F">
            <w:pPr>
              <w:jc w:val="center"/>
              <w:rPr>
                <w:color w:val="002060"/>
                <w:sz w:val="18"/>
                <w:lang w:val="sr-Cyrl-RS"/>
              </w:rPr>
            </w:pPr>
            <w:r w:rsidRPr="008E2FD8">
              <w:rPr>
                <w:color w:val="002060"/>
                <w:sz w:val="18"/>
                <w:lang w:val="sr-Cyrl-RS"/>
              </w:rPr>
              <w:t>0,8</w:t>
            </w:r>
          </w:p>
        </w:tc>
        <w:tc>
          <w:tcPr>
            <w:tcW w:w="603" w:type="pct"/>
            <w:tcBorders>
              <w:top w:val="nil"/>
              <w:left w:val="nil"/>
              <w:bottom w:val="nil"/>
            </w:tcBorders>
            <w:shd w:val="clear" w:color="auto" w:fill="auto"/>
            <w:noWrap/>
            <w:vAlign w:val="bottom"/>
          </w:tcPr>
          <w:p w14:paraId="44385396" w14:textId="77777777" w:rsidR="00113079" w:rsidRPr="008E2FD8" w:rsidRDefault="00113079" w:rsidP="00DE1D1F">
            <w:pPr>
              <w:jc w:val="center"/>
              <w:rPr>
                <w:color w:val="002060"/>
                <w:sz w:val="18"/>
                <w:lang w:val="sr-Cyrl-RS"/>
              </w:rPr>
            </w:pPr>
            <w:r w:rsidRPr="008E2FD8">
              <w:rPr>
                <w:color w:val="002060"/>
                <w:sz w:val="18"/>
                <w:lang w:val="sr-Cyrl-RS"/>
              </w:rPr>
              <w:t>0,0</w:t>
            </w:r>
          </w:p>
        </w:tc>
        <w:tc>
          <w:tcPr>
            <w:tcW w:w="603" w:type="pct"/>
            <w:tcBorders>
              <w:top w:val="nil"/>
              <w:bottom w:val="nil"/>
            </w:tcBorders>
            <w:shd w:val="clear" w:color="auto" w:fill="auto"/>
            <w:noWrap/>
            <w:vAlign w:val="bottom"/>
          </w:tcPr>
          <w:p w14:paraId="3FEB7244" w14:textId="77777777" w:rsidR="00113079" w:rsidRPr="008E2FD8" w:rsidRDefault="00113079" w:rsidP="00DE1D1F">
            <w:pPr>
              <w:jc w:val="center"/>
              <w:rPr>
                <w:color w:val="002060"/>
                <w:sz w:val="18"/>
                <w:lang w:val="sr-Cyrl-RS"/>
              </w:rPr>
            </w:pPr>
            <w:r w:rsidRPr="008E2FD8">
              <w:rPr>
                <w:color w:val="002060"/>
                <w:sz w:val="18"/>
                <w:lang w:val="sr-Cyrl-RS"/>
              </w:rPr>
              <w:t>0,0</w:t>
            </w:r>
          </w:p>
        </w:tc>
      </w:tr>
      <w:tr w:rsidR="00113079" w:rsidRPr="008E2FD8" w14:paraId="13B9DAA1" w14:textId="77777777" w:rsidTr="00113079">
        <w:trPr>
          <w:trHeight w:val="281"/>
          <w:jc w:val="center"/>
        </w:trPr>
        <w:tc>
          <w:tcPr>
            <w:tcW w:w="2590" w:type="pct"/>
            <w:noWrap/>
            <w:vAlign w:val="center"/>
            <w:hideMark/>
          </w:tcPr>
          <w:p w14:paraId="6DE916D7"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Индустрија</w:t>
            </w:r>
          </w:p>
        </w:tc>
        <w:tc>
          <w:tcPr>
            <w:tcW w:w="602" w:type="pct"/>
            <w:tcBorders>
              <w:top w:val="nil"/>
              <w:left w:val="nil"/>
              <w:bottom w:val="nil"/>
              <w:right w:val="nil"/>
            </w:tcBorders>
            <w:shd w:val="clear" w:color="auto" w:fill="auto"/>
            <w:noWrap/>
            <w:vAlign w:val="bottom"/>
          </w:tcPr>
          <w:p w14:paraId="221E23BA" w14:textId="77777777" w:rsidR="00113079" w:rsidRPr="008E2FD8" w:rsidRDefault="00113079" w:rsidP="00DE1D1F">
            <w:pPr>
              <w:jc w:val="center"/>
              <w:rPr>
                <w:color w:val="002060"/>
                <w:sz w:val="18"/>
                <w:lang w:val="sr-Cyrl-RS"/>
              </w:rPr>
            </w:pPr>
            <w:r w:rsidRPr="008E2FD8">
              <w:rPr>
                <w:color w:val="002060"/>
                <w:sz w:val="18"/>
                <w:lang w:val="sr-Cyrl-RS"/>
              </w:rPr>
              <w:t>6,4</w:t>
            </w:r>
          </w:p>
        </w:tc>
        <w:tc>
          <w:tcPr>
            <w:tcW w:w="603" w:type="pct"/>
            <w:tcBorders>
              <w:top w:val="nil"/>
              <w:left w:val="nil"/>
              <w:bottom w:val="nil"/>
              <w:right w:val="nil"/>
            </w:tcBorders>
            <w:shd w:val="clear" w:color="auto" w:fill="auto"/>
            <w:noWrap/>
            <w:vAlign w:val="bottom"/>
          </w:tcPr>
          <w:p w14:paraId="794D6684" w14:textId="77777777" w:rsidR="00113079" w:rsidRPr="008E2FD8" w:rsidRDefault="00113079" w:rsidP="00DE1D1F">
            <w:pPr>
              <w:jc w:val="center"/>
              <w:rPr>
                <w:color w:val="002060"/>
                <w:sz w:val="18"/>
                <w:lang w:val="sr-Cyrl-RS"/>
              </w:rPr>
            </w:pPr>
            <w:r w:rsidRPr="008E2FD8">
              <w:rPr>
                <w:color w:val="002060"/>
                <w:sz w:val="18"/>
                <w:lang w:val="sr-Cyrl-RS"/>
              </w:rPr>
              <w:t>5,8</w:t>
            </w:r>
          </w:p>
        </w:tc>
        <w:tc>
          <w:tcPr>
            <w:tcW w:w="603" w:type="pct"/>
            <w:tcBorders>
              <w:top w:val="nil"/>
              <w:left w:val="nil"/>
              <w:bottom w:val="nil"/>
            </w:tcBorders>
            <w:shd w:val="clear" w:color="auto" w:fill="auto"/>
            <w:noWrap/>
            <w:vAlign w:val="bottom"/>
          </w:tcPr>
          <w:p w14:paraId="2962CEE4" w14:textId="77777777" w:rsidR="00113079" w:rsidRPr="008E2FD8" w:rsidRDefault="00113079" w:rsidP="00DE1D1F">
            <w:pPr>
              <w:jc w:val="center"/>
              <w:rPr>
                <w:color w:val="002060"/>
                <w:sz w:val="18"/>
                <w:lang w:val="sr-Cyrl-RS"/>
              </w:rPr>
            </w:pPr>
            <w:r w:rsidRPr="008E2FD8">
              <w:rPr>
                <w:color w:val="002060"/>
                <w:sz w:val="18"/>
                <w:lang w:val="sr-Cyrl-RS"/>
              </w:rPr>
              <w:t>5,9</w:t>
            </w:r>
          </w:p>
        </w:tc>
        <w:tc>
          <w:tcPr>
            <w:tcW w:w="603" w:type="pct"/>
            <w:tcBorders>
              <w:top w:val="nil"/>
              <w:bottom w:val="nil"/>
            </w:tcBorders>
            <w:shd w:val="clear" w:color="auto" w:fill="auto"/>
            <w:noWrap/>
            <w:vAlign w:val="bottom"/>
          </w:tcPr>
          <w:p w14:paraId="4EA7BAE6" w14:textId="77777777" w:rsidR="00113079" w:rsidRPr="008E2FD8" w:rsidRDefault="00113079" w:rsidP="00DE1D1F">
            <w:pPr>
              <w:jc w:val="center"/>
              <w:rPr>
                <w:color w:val="002060"/>
                <w:sz w:val="18"/>
                <w:lang w:val="sr-Cyrl-RS"/>
              </w:rPr>
            </w:pPr>
            <w:r w:rsidRPr="008E2FD8">
              <w:rPr>
                <w:color w:val="002060"/>
                <w:sz w:val="18"/>
                <w:lang w:val="sr-Cyrl-RS"/>
              </w:rPr>
              <w:t>6,0</w:t>
            </w:r>
          </w:p>
        </w:tc>
      </w:tr>
      <w:tr w:rsidR="00113079" w:rsidRPr="008E2FD8" w14:paraId="00B97B0B" w14:textId="77777777" w:rsidTr="00113079">
        <w:trPr>
          <w:trHeight w:val="281"/>
          <w:jc w:val="center"/>
        </w:trPr>
        <w:tc>
          <w:tcPr>
            <w:tcW w:w="2590" w:type="pct"/>
            <w:noWrap/>
            <w:vAlign w:val="center"/>
            <w:hideMark/>
          </w:tcPr>
          <w:p w14:paraId="5C051A7E"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Грађевинарство</w:t>
            </w:r>
          </w:p>
        </w:tc>
        <w:tc>
          <w:tcPr>
            <w:tcW w:w="602" w:type="pct"/>
            <w:tcBorders>
              <w:top w:val="nil"/>
              <w:left w:val="nil"/>
              <w:bottom w:val="nil"/>
              <w:right w:val="nil"/>
            </w:tcBorders>
            <w:shd w:val="clear" w:color="auto" w:fill="auto"/>
            <w:noWrap/>
            <w:vAlign w:val="bottom"/>
          </w:tcPr>
          <w:p w14:paraId="4AD642F7" w14:textId="77777777" w:rsidR="00113079" w:rsidRPr="008E2FD8" w:rsidRDefault="00113079" w:rsidP="00DE1D1F">
            <w:pPr>
              <w:jc w:val="center"/>
              <w:rPr>
                <w:color w:val="002060"/>
                <w:sz w:val="18"/>
                <w:lang w:val="sr-Cyrl-RS"/>
              </w:rPr>
            </w:pPr>
            <w:r w:rsidRPr="008E2FD8">
              <w:rPr>
                <w:color w:val="002060"/>
                <w:sz w:val="18"/>
                <w:lang w:val="sr-Cyrl-RS"/>
              </w:rPr>
              <w:t>16,1</w:t>
            </w:r>
          </w:p>
        </w:tc>
        <w:tc>
          <w:tcPr>
            <w:tcW w:w="603" w:type="pct"/>
            <w:tcBorders>
              <w:top w:val="nil"/>
              <w:left w:val="nil"/>
              <w:bottom w:val="nil"/>
              <w:right w:val="nil"/>
            </w:tcBorders>
            <w:shd w:val="clear" w:color="auto" w:fill="auto"/>
            <w:noWrap/>
            <w:vAlign w:val="bottom"/>
          </w:tcPr>
          <w:p w14:paraId="18D3ECDA" w14:textId="77777777" w:rsidR="00113079" w:rsidRPr="008E2FD8" w:rsidRDefault="00113079" w:rsidP="00DE1D1F">
            <w:pPr>
              <w:jc w:val="center"/>
              <w:rPr>
                <w:color w:val="002060"/>
                <w:sz w:val="18"/>
                <w:lang w:val="sr-Cyrl-RS"/>
              </w:rPr>
            </w:pPr>
            <w:r w:rsidRPr="008E2FD8">
              <w:rPr>
                <w:color w:val="002060"/>
                <w:sz w:val="18"/>
                <w:lang w:val="sr-Cyrl-RS"/>
              </w:rPr>
              <w:t>6,4</w:t>
            </w:r>
          </w:p>
        </w:tc>
        <w:tc>
          <w:tcPr>
            <w:tcW w:w="603" w:type="pct"/>
            <w:tcBorders>
              <w:top w:val="nil"/>
              <w:left w:val="nil"/>
              <w:bottom w:val="nil"/>
            </w:tcBorders>
            <w:shd w:val="clear" w:color="auto" w:fill="auto"/>
            <w:noWrap/>
            <w:vAlign w:val="bottom"/>
          </w:tcPr>
          <w:p w14:paraId="153228FC" w14:textId="77777777" w:rsidR="00113079" w:rsidRPr="008E2FD8" w:rsidRDefault="00113079" w:rsidP="00DE1D1F">
            <w:pPr>
              <w:jc w:val="center"/>
              <w:rPr>
                <w:color w:val="002060"/>
                <w:sz w:val="18"/>
                <w:lang w:val="sr-Cyrl-RS"/>
              </w:rPr>
            </w:pPr>
            <w:r w:rsidRPr="008E2FD8">
              <w:rPr>
                <w:color w:val="002060"/>
                <w:sz w:val="18"/>
                <w:lang w:val="sr-Cyrl-RS"/>
              </w:rPr>
              <w:t>7,5</w:t>
            </w:r>
          </w:p>
        </w:tc>
        <w:tc>
          <w:tcPr>
            <w:tcW w:w="603" w:type="pct"/>
            <w:tcBorders>
              <w:top w:val="nil"/>
              <w:bottom w:val="nil"/>
            </w:tcBorders>
            <w:shd w:val="clear" w:color="auto" w:fill="auto"/>
            <w:noWrap/>
            <w:vAlign w:val="bottom"/>
          </w:tcPr>
          <w:p w14:paraId="405B1175" w14:textId="77777777" w:rsidR="00113079" w:rsidRPr="008E2FD8" w:rsidRDefault="00113079" w:rsidP="00DE1D1F">
            <w:pPr>
              <w:jc w:val="center"/>
              <w:rPr>
                <w:color w:val="002060"/>
                <w:sz w:val="18"/>
                <w:lang w:val="sr-Cyrl-RS"/>
              </w:rPr>
            </w:pPr>
            <w:r w:rsidRPr="008E2FD8">
              <w:rPr>
                <w:color w:val="002060"/>
                <w:sz w:val="18"/>
                <w:lang w:val="sr-Cyrl-RS"/>
              </w:rPr>
              <w:t>7,9</w:t>
            </w:r>
          </w:p>
        </w:tc>
      </w:tr>
      <w:tr w:rsidR="00113079" w:rsidRPr="008E2FD8" w14:paraId="48C60D01" w14:textId="77777777" w:rsidTr="00113079">
        <w:trPr>
          <w:trHeight w:val="281"/>
          <w:jc w:val="center"/>
        </w:trPr>
        <w:tc>
          <w:tcPr>
            <w:tcW w:w="2590" w:type="pct"/>
            <w:noWrap/>
            <w:vAlign w:val="center"/>
            <w:hideMark/>
          </w:tcPr>
          <w:p w14:paraId="66B1F7B0"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Услуге</w:t>
            </w:r>
          </w:p>
        </w:tc>
        <w:tc>
          <w:tcPr>
            <w:tcW w:w="602" w:type="pct"/>
            <w:tcBorders>
              <w:top w:val="nil"/>
              <w:left w:val="nil"/>
              <w:bottom w:val="nil"/>
              <w:right w:val="nil"/>
            </w:tcBorders>
            <w:shd w:val="clear" w:color="auto" w:fill="auto"/>
            <w:noWrap/>
            <w:vAlign w:val="bottom"/>
          </w:tcPr>
          <w:p w14:paraId="5477F899" w14:textId="77777777" w:rsidR="00113079" w:rsidRPr="008E2FD8" w:rsidRDefault="00113079" w:rsidP="00DE1D1F">
            <w:pPr>
              <w:jc w:val="center"/>
              <w:rPr>
                <w:color w:val="002060"/>
                <w:sz w:val="18"/>
                <w:lang w:val="sr-Cyrl-RS"/>
              </w:rPr>
            </w:pPr>
            <w:r w:rsidRPr="008E2FD8">
              <w:rPr>
                <w:color w:val="002060"/>
                <w:sz w:val="18"/>
                <w:lang w:val="sr-Cyrl-RS"/>
              </w:rPr>
              <w:t>6,0</w:t>
            </w:r>
          </w:p>
        </w:tc>
        <w:tc>
          <w:tcPr>
            <w:tcW w:w="603" w:type="pct"/>
            <w:tcBorders>
              <w:top w:val="nil"/>
              <w:left w:val="nil"/>
              <w:bottom w:val="nil"/>
              <w:right w:val="nil"/>
            </w:tcBorders>
            <w:shd w:val="clear" w:color="auto" w:fill="auto"/>
            <w:noWrap/>
            <w:vAlign w:val="bottom"/>
          </w:tcPr>
          <w:p w14:paraId="1988ECD6" w14:textId="77777777" w:rsidR="00113079" w:rsidRPr="008E2FD8" w:rsidRDefault="00113079" w:rsidP="00DE1D1F">
            <w:pPr>
              <w:jc w:val="center"/>
              <w:rPr>
                <w:color w:val="002060"/>
                <w:sz w:val="18"/>
                <w:lang w:val="sr-Cyrl-RS"/>
              </w:rPr>
            </w:pPr>
            <w:r w:rsidRPr="008E2FD8">
              <w:rPr>
                <w:color w:val="002060"/>
                <w:sz w:val="18"/>
                <w:lang w:val="sr-Cyrl-RS"/>
              </w:rPr>
              <w:t>3,7</w:t>
            </w:r>
          </w:p>
        </w:tc>
        <w:tc>
          <w:tcPr>
            <w:tcW w:w="603" w:type="pct"/>
            <w:tcBorders>
              <w:top w:val="nil"/>
              <w:left w:val="nil"/>
              <w:bottom w:val="nil"/>
            </w:tcBorders>
            <w:shd w:val="clear" w:color="auto" w:fill="auto"/>
            <w:noWrap/>
            <w:vAlign w:val="bottom"/>
          </w:tcPr>
          <w:p w14:paraId="34F28CC2" w14:textId="77777777" w:rsidR="00113079" w:rsidRPr="008E2FD8" w:rsidRDefault="00113079" w:rsidP="00DE1D1F">
            <w:pPr>
              <w:jc w:val="center"/>
              <w:rPr>
                <w:color w:val="002060"/>
                <w:sz w:val="18"/>
                <w:lang w:val="sr-Cyrl-RS"/>
              </w:rPr>
            </w:pPr>
            <w:r w:rsidRPr="008E2FD8">
              <w:rPr>
                <w:color w:val="002060"/>
                <w:sz w:val="18"/>
                <w:lang w:val="sr-Cyrl-RS"/>
              </w:rPr>
              <w:t>3,8</w:t>
            </w:r>
          </w:p>
        </w:tc>
        <w:tc>
          <w:tcPr>
            <w:tcW w:w="603" w:type="pct"/>
            <w:tcBorders>
              <w:top w:val="nil"/>
              <w:bottom w:val="nil"/>
            </w:tcBorders>
            <w:shd w:val="clear" w:color="auto" w:fill="auto"/>
            <w:noWrap/>
            <w:vAlign w:val="bottom"/>
          </w:tcPr>
          <w:p w14:paraId="580EBF19" w14:textId="77777777" w:rsidR="00113079" w:rsidRPr="008E2FD8" w:rsidRDefault="00113079" w:rsidP="00DE1D1F">
            <w:pPr>
              <w:jc w:val="center"/>
              <w:rPr>
                <w:color w:val="002060"/>
                <w:sz w:val="18"/>
                <w:lang w:val="sr-Cyrl-RS"/>
              </w:rPr>
            </w:pPr>
            <w:r w:rsidRPr="008E2FD8">
              <w:rPr>
                <w:color w:val="002060"/>
                <w:sz w:val="18"/>
                <w:lang w:val="sr-Cyrl-RS"/>
              </w:rPr>
              <w:t>3,9</w:t>
            </w:r>
          </w:p>
        </w:tc>
      </w:tr>
      <w:tr w:rsidR="00113079" w:rsidRPr="008E2FD8" w14:paraId="25823F9B" w14:textId="77777777" w:rsidTr="00113079">
        <w:trPr>
          <w:trHeight w:val="281"/>
          <w:jc w:val="center"/>
        </w:trPr>
        <w:tc>
          <w:tcPr>
            <w:tcW w:w="2590" w:type="pct"/>
            <w:noWrap/>
            <w:vAlign w:val="center"/>
          </w:tcPr>
          <w:p w14:paraId="70EDC0EB"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Нето порези</w:t>
            </w:r>
          </w:p>
        </w:tc>
        <w:tc>
          <w:tcPr>
            <w:tcW w:w="602" w:type="pct"/>
            <w:tcBorders>
              <w:top w:val="nil"/>
              <w:left w:val="nil"/>
              <w:bottom w:val="nil"/>
              <w:right w:val="nil"/>
            </w:tcBorders>
            <w:shd w:val="clear" w:color="auto" w:fill="auto"/>
            <w:noWrap/>
            <w:vAlign w:val="bottom"/>
          </w:tcPr>
          <w:p w14:paraId="6C0EE43D" w14:textId="77777777" w:rsidR="00113079" w:rsidRPr="008E2FD8" w:rsidRDefault="00113079" w:rsidP="00DE1D1F">
            <w:pPr>
              <w:jc w:val="center"/>
              <w:rPr>
                <w:color w:val="002060"/>
                <w:sz w:val="18"/>
                <w:lang w:val="sr-Cyrl-RS"/>
              </w:rPr>
            </w:pPr>
            <w:r w:rsidRPr="008E2FD8">
              <w:rPr>
                <w:color w:val="002060"/>
                <w:sz w:val="18"/>
                <w:lang w:val="sr-Cyrl-RS"/>
              </w:rPr>
              <w:t>6,3</w:t>
            </w:r>
          </w:p>
        </w:tc>
        <w:tc>
          <w:tcPr>
            <w:tcW w:w="603" w:type="pct"/>
            <w:tcBorders>
              <w:top w:val="nil"/>
              <w:left w:val="nil"/>
              <w:bottom w:val="nil"/>
              <w:right w:val="nil"/>
            </w:tcBorders>
            <w:shd w:val="clear" w:color="auto" w:fill="auto"/>
            <w:noWrap/>
            <w:vAlign w:val="bottom"/>
          </w:tcPr>
          <w:p w14:paraId="1256F585" w14:textId="77777777" w:rsidR="00113079" w:rsidRPr="008E2FD8" w:rsidRDefault="00113079" w:rsidP="00DE1D1F">
            <w:pPr>
              <w:jc w:val="center"/>
              <w:rPr>
                <w:color w:val="002060"/>
                <w:sz w:val="18"/>
                <w:lang w:val="sr-Cyrl-RS"/>
              </w:rPr>
            </w:pPr>
            <w:r w:rsidRPr="008E2FD8">
              <w:rPr>
                <w:color w:val="002060"/>
                <w:sz w:val="18"/>
                <w:lang w:val="sr-Cyrl-RS"/>
              </w:rPr>
              <w:t>3,2</w:t>
            </w:r>
          </w:p>
        </w:tc>
        <w:tc>
          <w:tcPr>
            <w:tcW w:w="603" w:type="pct"/>
            <w:tcBorders>
              <w:top w:val="nil"/>
              <w:left w:val="nil"/>
              <w:bottom w:val="nil"/>
            </w:tcBorders>
            <w:shd w:val="clear" w:color="auto" w:fill="auto"/>
            <w:noWrap/>
            <w:vAlign w:val="bottom"/>
          </w:tcPr>
          <w:p w14:paraId="2D159E73" w14:textId="77777777" w:rsidR="00113079" w:rsidRPr="008E2FD8" w:rsidRDefault="00113079" w:rsidP="00DE1D1F">
            <w:pPr>
              <w:jc w:val="center"/>
              <w:rPr>
                <w:color w:val="002060"/>
                <w:sz w:val="18"/>
                <w:lang w:val="sr-Cyrl-RS"/>
              </w:rPr>
            </w:pPr>
            <w:r w:rsidRPr="008E2FD8">
              <w:rPr>
                <w:color w:val="002060"/>
                <w:sz w:val="18"/>
                <w:lang w:val="sr-Cyrl-RS"/>
              </w:rPr>
              <w:t>3,0</w:t>
            </w:r>
          </w:p>
        </w:tc>
        <w:tc>
          <w:tcPr>
            <w:tcW w:w="603" w:type="pct"/>
            <w:tcBorders>
              <w:top w:val="nil"/>
              <w:bottom w:val="nil"/>
            </w:tcBorders>
            <w:shd w:val="clear" w:color="auto" w:fill="auto"/>
            <w:noWrap/>
            <w:vAlign w:val="bottom"/>
          </w:tcPr>
          <w:p w14:paraId="316C5EEC" w14:textId="77777777" w:rsidR="00113079" w:rsidRPr="008E2FD8" w:rsidRDefault="00113079" w:rsidP="00DE1D1F">
            <w:pPr>
              <w:jc w:val="center"/>
              <w:rPr>
                <w:color w:val="002060"/>
                <w:sz w:val="18"/>
                <w:lang w:val="sr-Cyrl-RS"/>
              </w:rPr>
            </w:pPr>
            <w:r w:rsidRPr="008E2FD8">
              <w:rPr>
                <w:color w:val="002060"/>
                <w:sz w:val="18"/>
                <w:lang w:val="sr-Cyrl-RS"/>
              </w:rPr>
              <w:t>2,6</w:t>
            </w:r>
          </w:p>
        </w:tc>
      </w:tr>
      <w:tr w:rsidR="00113079" w:rsidRPr="008E2FD8" w14:paraId="32885DD2" w14:textId="77777777" w:rsidTr="00113079">
        <w:trPr>
          <w:trHeight w:val="281"/>
          <w:jc w:val="center"/>
        </w:trPr>
        <w:tc>
          <w:tcPr>
            <w:tcW w:w="2590" w:type="pct"/>
            <w:shd w:val="clear" w:color="auto" w:fill="E7E6E6" w:themeFill="background2"/>
            <w:noWrap/>
            <w:vAlign w:val="center"/>
            <w:hideMark/>
          </w:tcPr>
          <w:p w14:paraId="10CED5CF" w14:textId="77777777" w:rsidR="00113079" w:rsidRPr="008E2FD8" w:rsidRDefault="00113079" w:rsidP="00DE1D1F">
            <w:pPr>
              <w:jc w:val="left"/>
              <w:rPr>
                <w:rFonts w:eastAsia="Calibri" w:cstheme="minorHAnsi"/>
                <w:bCs/>
                <w:color w:val="002060"/>
                <w:sz w:val="18"/>
                <w:szCs w:val="18"/>
                <w:lang w:val="sr-Cyrl-RS"/>
              </w:rPr>
            </w:pPr>
            <w:r w:rsidRPr="008E2FD8">
              <w:rPr>
                <w:rFonts w:eastAsia="Calibri" w:cstheme="minorHAnsi"/>
                <w:iCs/>
                <w:color w:val="002060"/>
                <w:sz w:val="18"/>
                <w:szCs w:val="18"/>
                <w:lang w:val="sr-Cyrl-RS"/>
              </w:rPr>
              <w:t>Допринос расту БДП, процентни поени</w:t>
            </w:r>
          </w:p>
        </w:tc>
        <w:tc>
          <w:tcPr>
            <w:tcW w:w="602" w:type="pct"/>
            <w:shd w:val="clear" w:color="auto" w:fill="E7E6E6" w:themeFill="background2"/>
            <w:vAlign w:val="center"/>
          </w:tcPr>
          <w:p w14:paraId="69ED1806"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47BF965D"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1BF8551D" w14:textId="77777777" w:rsidR="00113079" w:rsidRPr="008E2FD8" w:rsidRDefault="00113079" w:rsidP="00DE1D1F">
            <w:pPr>
              <w:jc w:val="center"/>
              <w:rPr>
                <w:rFonts w:eastAsia="Calibri" w:cstheme="minorHAnsi"/>
                <w:bCs/>
                <w:color w:val="002060"/>
                <w:sz w:val="18"/>
                <w:szCs w:val="18"/>
                <w:lang w:val="sr-Cyrl-RS"/>
              </w:rPr>
            </w:pPr>
          </w:p>
        </w:tc>
        <w:tc>
          <w:tcPr>
            <w:tcW w:w="603" w:type="pct"/>
            <w:shd w:val="clear" w:color="auto" w:fill="E7E6E6" w:themeFill="background2"/>
            <w:vAlign w:val="center"/>
          </w:tcPr>
          <w:p w14:paraId="20E5FF85" w14:textId="77777777" w:rsidR="00113079" w:rsidRPr="008E2FD8" w:rsidRDefault="00113079" w:rsidP="00DE1D1F">
            <w:pPr>
              <w:jc w:val="center"/>
              <w:rPr>
                <w:rFonts w:eastAsia="Calibri" w:cstheme="minorHAnsi"/>
                <w:bCs/>
                <w:color w:val="002060"/>
                <w:sz w:val="18"/>
                <w:szCs w:val="18"/>
                <w:lang w:val="sr-Cyrl-RS"/>
              </w:rPr>
            </w:pPr>
          </w:p>
        </w:tc>
      </w:tr>
      <w:tr w:rsidR="00113079" w:rsidRPr="008E2FD8" w14:paraId="699063A8" w14:textId="77777777" w:rsidTr="00113079">
        <w:trPr>
          <w:trHeight w:val="281"/>
          <w:jc w:val="center"/>
        </w:trPr>
        <w:tc>
          <w:tcPr>
            <w:tcW w:w="2590" w:type="pct"/>
            <w:noWrap/>
            <w:vAlign w:val="center"/>
            <w:hideMark/>
          </w:tcPr>
          <w:p w14:paraId="34840639"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Пољопривреда</w:t>
            </w:r>
          </w:p>
        </w:tc>
        <w:tc>
          <w:tcPr>
            <w:tcW w:w="602" w:type="pct"/>
            <w:tcBorders>
              <w:top w:val="nil"/>
              <w:left w:val="nil"/>
              <w:bottom w:val="nil"/>
              <w:right w:val="nil"/>
            </w:tcBorders>
            <w:shd w:val="clear" w:color="auto" w:fill="auto"/>
            <w:noWrap/>
            <w:vAlign w:val="bottom"/>
          </w:tcPr>
          <w:p w14:paraId="47EF96BE" w14:textId="77777777" w:rsidR="00113079" w:rsidRPr="008E2FD8" w:rsidRDefault="00113079" w:rsidP="00DE1D1F">
            <w:pPr>
              <w:jc w:val="center"/>
              <w:rPr>
                <w:color w:val="002060"/>
                <w:sz w:val="18"/>
                <w:lang w:val="sr-Cyrl-RS"/>
              </w:rPr>
            </w:pPr>
            <w:r w:rsidRPr="008E2FD8">
              <w:rPr>
                <w:color w:val="002060"/>
                <w:sz w:val="18"/>
                <w:lang w:val="sr-Cyrl-RS"/>
              </w:rPr>
              <w:t>-0,3</w:t>
            </w:r>
          </w:p>
        </w:tc>
        <w:tc>
          <w:tcPr>
            <w:tcW w:w="603" w:type="pct"/>
            <w:tcBorders>
              <w:top w:val="nil"/>
              <w:left w:val="nil"/>
              <w:bottom w:val="nil"/>
              <w:right w:val="nil"/>
            </w:tcBorders>
            <w:shd w:val="clear" w:color="auto" w:fill="auto"/>
            <w:noWrap/>
            <w:vAlign w:val="bottom"/>
          </w:tcPr>
          <w:p w14:paraId="4D76CF4A" w14:textId="77777777" w:rsidR="00113079" w:rsidRPr="008E2FD8" w:rsidRDefault="00113079" w:rsidP="00DE1D1F">
            <w:pPr>
              <w:jc w:val="center"/>
              <w:rPr>
                <w:color w:val="002060"/>
                <w:sz w:val="18"/>
                <w:lang w:val="sr-Cyrl-RS"/>
              </w:rPr>
            </w:pPr>
            <w:r w:rsidRPr="008E2FD8">
              <w:rPr>
                <w:color w:val="002060"/>
                <w:sz w:val="18"/>
                <w:lang w:val="sr-Cyrl-RS"/>
              </w:rPr>
              <w:t>0,1</w:t>
            </w:r>
          </w:p>
        </w:tc>
        <w:tc>
          <w:tcPr>
            <w:tcW w:w="603" w:type="pct"/>
            <w:tcBorders>
              <w:top w:val="nil"/>
              <w:left w:val="nil"/>
              <w:bottom w:val="nil"/>
              <w:right w:val="nil"/>
            </w:tcBorders>
            <w:shd w:val="clear" w:color="auto" w:fill="auto"/>
            <w:noWrap/>
            <w:vAlign w:val="bottom"/>
          </w:tcPr>
          <w:p w14:paraId="61FB22AC" w14:textId="77777777" w:rsidR="00113079" w:rsidRPr="008E2FD8" w:rsidRDefault="00113079" w:rsidP="00DE1D1F">
            <w:pPr>
              <w:jc w:val="center"/>
              <w:rPr>
                <w:color w:val="002060"/>
                <w:sz w:val="18"/>
                <w:lang w:val="sr-Cyrl-RS"/>
              </w:rPr>
            </w:pPr>
            <w:r w:rsidRPr="008E2FD8">
              <w:rPr>
                <w:color w:val="002060"/>
                <w:sz w:val="18"/>
                <w:lang w:val="sr-Cyrl-RS"/>
              </w:rPr>
              <w:t>0,0</w:t>
            </w:r>
          </w:p>
        </w:tc>
        <w:tc>
          <w:tcPr>
            <w:tcW w:w="603" w:type="pct"/>
            <w:tcBorders>
              <w:top w:val="nil"/>
              <w:left w:val="nil"/>
              <w:bottom w:val="nil"/>
              <w:right w:val="nil"/>
            </w:tcBorders>
            <w:shd w:val="clear" w:color="auto" w:fill="auto"/>
            <w:noWrap/>
            <w:vAlign w:val="bottom"/>
          </w:tcPr>
          <w:p w14:paraId="7A6E03B0" w14:textId="77777777" w:rsidR="00113079" w:rsidRPr="008E2FD8" w:rsidRDefault="00113079" w:rsidP="00DE1D1F">
            <w:pPr>
              <w:jc w:val="center"/>
              <w:rPr>
                <w:color w:val="002060"/>
                <w:sz w:val="18"/>
                <w:lang w:val="sr-Cyrl-RS"/>
              </w:rPr>
            </w:pPr>
            <w:r w:rsidRPr="008E2FD8">
              <w:rPr>
                <w:color w:val="002060"/>
                <w:sz w:val="18"/>
                <w:lang w:val="sr-Cyrl-RS"/>
              </w:rPr>
              <w:t>0,0</w:t>
            </w:r>
          </w:p>
        </w:tc>
      </w:tr>
      <w:tr w:rsidR="00113079" w:rsidRPr="008E2FD8" w14:paraId="27096F67" w14:textId="77777777" w:rsidTr="00113079">
        <w:trPr>
          <w:trHeight w:val="281"/>
          <w:jc w:val="center"/>
        </w:trPr>
        <w:tc>
          <w:tcPr>
            <w:tcW w:w="2590" w:type="pct"/>
            <w:noWrap/>
            <w:vAlign w:val="center"/>
            <w:hideMark/>
          </w:tcPr>
          <w:p w14:paraId="634C1373"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Индустрија</w:t>
            </w:r>
          </w:p>
        </w:tc>
        <w:tc>
          <w:tcPr>
            <w:tcW w:w="602" w:type="pct"/>
            <w:tcBorders>
              <w:top w:val="nil"/>
              <w:left w:val="nil"/>
              <w:bottom w:val="nil"/>
              <w:right w:val="nil"/>
            </w:tcBorders>
            <w:shd w:val="clear" w:color="auto" w:fill="auto"/>
            <w:noWrap/>
            <w:vAlign w:val="bottom"/>
          </w:tcPr>
          <w:p w14:paraId="7893006F" w14:textId="77777777" w:rsidR="00113079" w:rsidRPr="008E2FD8" w:rsidRDefault="00113079" w:rsidP="00DE1D1F">
            <w:pPr>
              <w:jc w:val="center"/>
              <w:rPr>
                <w:color w:val="002060"/>
                <w:sz w:val="18"/>
                <w:lang w:val="sr-Cyrl-RS"/>
              </w:rPr>
            </w:pPr>
            <w:r w:rsidRPr="008E2FD8">
              <w:rPr>
                <w:color w:val="002060"/>
                <w:sz w:val="18"/>
                <w:lang w:val="sr-Cyrl-RS"/>
              </w:rPr>
              <w:t>1,3</w:t>
            </w:r>
          </w:p>
        </w:tc>
        <w:tc>
          <w:tcPr>
            <w:tcW w:w="603" w:type="pct"/>
            <w:tcBorders>
              <w:top w:val="nil"/>
              <w:left w:val="nil"/>
              <w:bottom w:val="nil"/>
              <w:right w:val="nil"/>
            </w:tcBorders>
            <w:shd w:val="clear" w:color="auto" w:fill="auto"/>
            <w:noWrap/>
            <w:vAlign w:val="bottom"/>
          </w:tcPr>
          <w:p w14:paraId="3A84A47A" w14:textId="77777777" w:rsidR="00113079" w:rsidRPr="008E2FD8" w:rsidRDefault="00113079" w:rsidP="00DE1D1F">
            <w:pPr>
              <w:jc w:val="center"/>
              <w:rPr>
                <w:color w:val="002060"/>
                <w:sz w:val="18"/>
                <w:lang w:val="sr-Cyrl-RS"/>
              </w:rPr>
            </w:pPr>
            <w:r w:rsidRPr="008E2FD8">
              <w:rPr>
                <w:color w:val="002060"/>
                <w:sz w:val="18"/>
                <w:lang w:val="sr-Cyrl-RS"/>
              </w:rPr>
              <w:t>1,1</w:t>
            </w:r>
          </w:p>
        </w:tc>
        <w:tc>
          <w:tcPr>
            <w:tcW w:w="603" w:type="pct"/>
            <w:tcBorders>
              <w:top w:val="nil"/>
              <w:left w:val="nil"/>
              <w:bottom w:val="nil"/>
              <w:right w:val="nil"/>
            </w:tcBorders>
            <w:shd w:val="clear" w:color="auto" w:fill="auto"/>
            <w:noWrap/>
            <w:vAlign w:val="bottom"/>
          </w:tcPr>
          <w:p w14:paraId="0DA6A36E" w14:textId="77777777" w:rsidR="00113079" w:rsidRPr="008E2FD8" w:rsidRDefault="00113079" w:rsidP="00DE1D1F">
            <w:pPr>
              <w:jc w:val="center"/>
              <w:rPr>
                <w:color w:val="002060"/>
                <w:sz w:val="18"/>
                <w:lang w:val="sr-Cyrl-RS"/>
              </w:rPr>
            </w:pPr>
            <w:r w:rsidRPr="008E2FD8">
              <w:rPr>
                <w:color w:val="002060"/>
                <w:sz w:val="18"/>
                <w:lang w:val="sr-Cyrl-RS"/>
              </w:rPr>
              <w:t>1,2</w:t>
            </w:r>
          </w:p>
        </w:tc>
        <w:tc>
          <w:tcPr>
            <w:tcW w:w="603" w:type="pct"/>
            <w:tcBorders>
              <w:top w:val="nil"/>
              <w:left w:val="nil"/>
              <w:bottom w:val="nil"/>
              <w:right w:val="nil"/>
            </w:tcBorders>
            <w:shd w:val="clear" w:color="auto" w:fill="auto"/>
            <w:noWrap/>
            <w:vAlign w:val="bottom"/>
          </w:tcPr>
          <w:p w14:paraId="4CD874E6" w14:textId="77777777" w:rsidR="00113079" w:rsidRPr="008E2FD8" w:rsidRDefault="00113079" w:rsidP="00DE1D1F">
            <w:pPr>
              <w:jc w:val="center"/>
              <w:rPr>
                <w:color w:val="002060"/>
                <w:sz w:val="18"/>
                <w:lang w:val="sr-Cyrl-RS"/>
              </w:rPr>
            </w:pPr>
            <w:r w:rsidRPr="008E2FD8">
              <w:rPr>
                <w:color w:val="002060"/>
                <w:sz w:val="18"/>
                <w:lang w:val="sr-Cyrl-RS"/>
              </w:rPr>
              <w:t>1,2</w:t>
            </w:r>
          </w:p>
        </w:tc>
      </w:tr>
      <w:tr w:rsidR="00113079" w:rsidRPr="008E2FD8" w14:paraId="2E2162A0" w14:textId="77777777" w:rsidTr="00113079">
        <w:trPr>
          <w:trHeight w:val="281"/>
          <w:jc w:val="center"/>
        </w:trPr>
        <w:tc>
          <w:tcPr>
            <w:tcW w:w="2590" w:type="pct"/>
            <w:noWrap/>
            <w:vAlign w:val="center"/>
            <w:hideMark/>
          </w:tcPr>
          <w:p w14:paraId="30037FB6"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Грађевинарство</w:t>
            </w:r>
          </w:p>
        </w:tc>
        <w:tc>
          <w:tcPr>
            <w:tcW w:w="602" w:type="pct"/>
            <w:tcBorders>
              <w:top w:val="nil"/>
              <w:left w:val="nil"/>
              <w:bottom w:val="nil"/>
              <w:right w:val="nil"/>
            </w:tcBorders>
            <w:shd w:val="clear" w:color="auto" w:fill="auto"/>
            <w:noWrap/>
            <w:vAlign w:val="bottom"/>
          </w:tcPr>
          <w:p w14:paraId="114732ED" w14:textId="77777777" w:rsidR="00113079" w:rsidRPr="008E2FD8" w:rsidRDefault="00113079" w:rsidP="00DE1D1F">
            <w:pPr>
              <w:jc w:val="center"/>
              <w:rPr>
                <w:color w:val="002060"/>
                <w:sz w:val="18"/>
                <w:lang w:val="sr-Cyrl-RS"/>
              </w:rPr>
            </w:pPr>
            <w:r w:rsidRPr="008E2FD8">
              <w:rPr>
                <w:color w:val="002060"/>
                <w:sz w:val="18"/>
                <w:lang w:val="sr-Cyrl-RS"/>
              </w:rPr>
              <w:t>0,8</w:t>
            </w:r>
          </w:p>
        </w:tc>
        <w:tc>
          <w:tcPr>
            <w:tcW w:w="603" w:type="pct"/>
            <w:tcBorders>
              <w:top w:val="nil"/>
              <w:left w:val="nil"/>
              <w:bottom w:val="nil"/>
              <w:right w:val="nil"/>
            </w:tcBorders>
            <w:shd w:val="clear" w:color="auto" w:fill="auto"/>
            <w:noWrap/>
            <w:vAlign w:val="bottom"/>
          </w:tcPr>
          <w:p w14:paraId="73795E59" w14:textId="77777777" w:rsidR="00113079" w:rsidRPr="008E2FD8" w:rsidRDefault="00113079" w:rsidP="00DE1D1F">
            <w:pPr>
              <w:jc w:val="center"/>
              <w:rPr>
                <w:color w:val="002060"/>
                <w:sz w:val="18"/>
                <w:lang w:val="sr-Cyrl-RS"/>
              </w:rPr>
            </w:pPr>
            <w:r w:rsidRPr="008E2FD8">
              <w:rPr>
                <w:color w:val="002060"/>
                <w:sz w:val="18"/>
                <w:lang w:val="sr-Cyrl-RS"/>
              </w:rPr>
              <w:t>0,3</w:t>
            </w:r>
          </w:p>
        </w:tc>
        <w:tc>
          <w:tcPr>
            <w:tcW w:w="603" w:type="pct"/>
            <w:tcBorders>
              <w:top w:val="nil"/>
              <w:left w:val="nil"/>
              <w:bottom w:val="nil"/>
              <w:right w:val="nil"/>
            </w:tcBorders>
            <w:shd w:val="clear" w:color="auto" w:fill="auto"/>
            <w:noWrap/>
            <w:vAlign w:val="bottom"/>
          </w:tcPr>
          <w:p w14:paraId="12257BA3" w14:textId="77777777" w:rsidR="00113079" w:rsidRPr="008E2FD8" w:rsidRDefault="00113079" w:rsidP="00DE1D1F">
            <w:pPr>
              <w:jc w:val="center"/>
              <w:rPr>
                <w:color w:val="002060"/>
                <w:sz w:val="18"/>
                <w:lang w:val="sr-Cyrl-RS"/>
              </w:rPr>
            </w:pPr>
            <w:r w:rsidRPr="008E2FD8">
              <w:rPr>
                <w:color w:val="002060"/>
                <w:sz w:val="18"/>
                <w:lang w:val="sr-Cyrl-RS"/>
              </w:rPr>
              <w:t>0,4</w:t>
            </w:r>
          </w:p>
        </w:tc>
        <w:tc>
          <w:tcPr>
            <w:tcW w:w="603" w:type="pct"/>
            <w:tcBorders>
              <w:top w:val="nil"/>
              <w:left w:val="nil"/>
              <w:bottom w:val="nil"/>
              <w:right w:val="nil"/>
            </w:tcBorders>
            <w:shd w:val="clear" w:color="auto" w:fill="auto"/>
            <w:noWrap/>
            <w:vAlign w:val="bottom"/>
          </w:tcPr>
          <w:p w14:paraId="4304E711" w14:textId="77777777" w:rsidR="00113079" w:rsidRPr="008E2FD8" w:rsidRDefault="00113079" w:rsidP="00DE1D1F">
            <w:pPr>
              <w:jc w:val="center"/>
              <w:rPr>
                <w:color w:val="002060"/>
                <w:sz w:val="18"/>
                <w:lang w:val="sr-Cyrl-RS"/>
              </w:rPr>
            </w:pPr>
            <w:r w:rsidRPr="008E2FD8">
              <w:rPr>
                <w:color w:val="002060"/>
                <w:sz w:val="18"/>
                <w:lang w:val="sr-Cyrl-RS"/>
              </w:rPr>
              <w:t>0,4</w:t>
            </w:r>
          </w:p>
        </w:tc>
      </w:tr>
      <w:tr w:rsidR="00113079" w:rsidRPr="008E2FD8" w14:paraId="020795F0" w14:textId="77777777" w:rsidTr="00113079">
        <w:trPr>
          <w:trHeight w:val="281"/>
          <w:jc w:val="center"/>
        </w:trPr>
        <w:tc>
          <w:tcPr>
            <w:tcW w:w="2590" w:type="pct"/>
            <w:noWrap/>
            <w:vAlign w:val="center"/>
            <w:hideMark/>
          </w:tcPr>
          <w:p w14:paraId="51D159BC"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Услуге</w:t>
            </w:r>
          </w:p>
        </w:tc>
        <w:tc>
          <w:tcPr>
            <w:tcW w:w="602" w:type="pct"/>
            <w:tcBorders>
              <w:top w:val="nil"/>
              <w:left w:val="nil"/>
              <w:bottom w:val="nil"/>
              <w:right w:val="nil"/>
            </w:tcBorders>
            <w:shd w:val="clear" w:color="auto" w:fill="auto"/>
            <w:noWrap/>
            <w:vAlign w:val="bottom"/>
          </w:tcPr>
          <w:p w14:paraId="676C5151" w14:textId="77777777" w:rsidR="00113079" w:rsidRPr="008E2FD8" w:rsidRDefault="00113079" w:rsidP="00DE1D1F">
            <w:pPr>
              <w:jc w:val="center"/>
              <w:rPr>
                <w:color w:val="002060"/>
                <w:sz w:val="18"/>
                <w:lang w:val="sr-Cyrl-RS"/>
              </w:rPr>
            </w:pPr>
            <w:r w:rsidRPr="008E2FD8">
              <w:rPr>
                <w:color w:val="002060"/>
                <w:sz w:val="18"/>
                <w:lang w:val="sr-Cyrl-RS"/>
              </w:rPr>
              <w:t>3,0</w:t>
            </w:r>
          </w:p>
        </w:tc>
        <w:tc>
          <w:tcPr>
            <w:tcW w:w="603" w:type="pct"/>
            <w:tcBorders>
              <w:top w:val="nil"/>
              <w:left w:val="nil"/>
              <w:bottom w:val="nil"/>
              <w:right w:val="nil"/>
            </w:tcBorders>
            <w:shd w:val="clear" w:color="auto" w:fill="auto"/>
            <w:noWrap/>
            <w:vAlign w:val="bottom"/>
          </w:tcPr>
          <w:p w14:paraId="41789054" w14:textId="77777777" w:rsidR="00113079" w:rsidRPr="008E2FD8" w:rsidRDefault="00113079" w:rsidP="00DE1D1F">
            <w:pPr>
              <w:jc w:val="center"/>
              <w:rPr>
                <w:color w:val="002060"/>
                <w:sz w:val="18"/>
                <w:lang w:val="sr-Cyrl-RS"/>
              </w:rPr>
            </w:pPr>
            <w:r w:rsidRPr="008E2FD8">
              <w:rPr>
                <w:color w:val="002060"/>
                <w:sz w:val="18"/>
                <w:lang w:val="sr-Cyrl-RS"/>
              </w:rPr>
              <w:t>1,9</w:t>
            </w:r>
          </w:p>
        </w:tc>
        <w:tc>
          <w:tcPr>
            <w:tcW w:w="603" w:type="pct"/>
            <w:tcBorders>
              <w:top w:val="nil"/>
              <w:left w:val="nil"/>
              <w:bottom w:val="nil"/>
              <w:right w:val="nil"/>
            </w:tcBorders>
            <w:shd w:val="clear" w:color="auto" w:fill="auto"/>
            <w:noWrap/>
            <w:vAlign w:val="bottom"/>
          </w:tcPr>
          <w:p w14:paraId="4945C2AD" w14:textId="77777777" w:rsidR="00113079" w:rsidRPr="008E2FD8" w:rsidRDefault="00113079" w:rsidP="00DE1D1F">
            <w:pPr>
              <w:jc w:val="center"/>
              <w:rPr>
                <w:color w:val="002060"/>
                <w:sz w:val="18"/>
                <w:lang w:val="sr-Cyrl-RS"/>
              </w:rPr>
            </w:pPr>
            <w:r w:rsidRPr="008E2FD8">
              <w:rPr>
                <w:color w:val="002060"/>
                <w:sz w:val="18"/>
                <w:lang w:val="sr-Cyrl-RS"/>
              </w:rPr>
              <w:t>1,9</w:t>
            </w:r>
          </w:p>
        </w:tc>
        <w:tc>
          <w:tcPr>
            <w:tcW w:w="603" w:type="pct"/>
            <w:tcBorders>
              <w:top w:val="nil"/>
              <w:left w:val="nil"/>
              <w:bottom w:val="nil"/>
              <w:right w:val="nil"/>
            </w:tcBorders>
            <w:shd w:val="clear" w:color="auto" w:fill="auto"/>
            <w:noWrap/>
            <w:vAlign w:val="bottom"/>
          </w:tcPr>
          <w:p w14:paraId="144A50B9" w14:textId="77777777" w:rsidR="00113079" w:rsidRPr="008E2FD8" w:rsidRDefault="00113079" w:rsidP="00DE1D1F">
            <w:pPr>
              <w:jc w:val="center"/>
              <w:rPr>
                <w:color w:val="002060"/>
                <w:sz w:val="18"/>
                <w:lang w:val="sr-Cyrl-RS"/>
              </w:rPr>
            </w:pPr>
            <w:r w:rsidRPr="008E2FD8">
              <w:rPr>
                <w:color w:val="002060"/>
                <w:sz w:val="18"/>
                <w:lang w:val="sr-Cyrl-RS"/>
              </w:rPr>
              <w:t>2,0</w:t>
            </w:r>
          </w:p>
        </w:tc>
      </w:tr>
      <w:tr w:rsidR="00113079" w:rsidRPr="008E2FD8" w14:paraId="2CE8D7D7" w14:textId="77777777" w:rsidTr="00113079">
        <w:trPr>
          <w:trHeight w:val="281"/>
          <w:jc w:val="center"/>
        </w:trPr>
        <w:tc>
          <w:tcPr>
            <w:tcW w:w="2590" w:type="pct"/>
            <w:noWrap/>
            <w:vAlign w:val="center"/>
          </w:tcPr>
          <w:p w14:paraId="780FCBA9"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Нето порези</w:t>
            </w:r>
          </w:p>
        </w:tc>
        <w:tc>
          <w:tcPr>
            <w:tcW w:w="602" w:type="pct"/>
            <w:tcBorders>
              <w:top w:val="nil"/>
              <w:left w:val="nil"/>
              <w:bottom w:val="nil"/>
              <w:right w:val="nil"/>
            </w:tcBorders>
            <w:shd w:val="clear" w:color="auto" w:fill="auto"/>
            <w:noWrap/>
            <w:vAlign w:val="bottom"/>
          </w:tcPr>
          <w:p w14:paraId="11050A6F" w14:textId="77777777" w:rsidR="00113079" w:rsidRPr="008E2FD8" w:rsidRDefault="00113079" w:rsidP="00DE1D1F">
            <w:pPr>
              <w:jc w:val="center"/>
              <w:rPr>
                <w:color w:val="002060"/>
                <w:sz w:val="18"/>
                <w:lang w:val="sr-Cyrl-RS"/>
              </w:rPr>
            </w:pPr>
            <w:r w:rsidRPr="008E2FD8">
              <w:rPr>
                <w:color w:val="002060"/>
                <w:sz w:val="18"/>
                <w:lang w:val="sr-Cyrl-RS"/>
              </w:rPr>
              <w:t>1,1</w:t>
            </w:r>
          </w:p>
        </w:tc>
        <w:tc>
          <w:tcPr>
            <w:tcW w:w="603" w:type="pct"/>
            <w:tcBorders>
              <w:top w:val="nil"/>
              <w:left w:val="nil"/>
              <w:bottom w:val="nil"/>
              <w:right w:val="nil"/>
            </w:tcBorders>
            <w:shd w:val="clear" w:color="auto" w:fill="auto"/>
            <w:noWrap/>
            <w:vAlign w:val="bottom"/>
          </w:tcPr>
          <w:p w14:paraId="096E0E6F" w14:textId="77777777" w:rsidR="00113079" w:rsidRPr="008E2FD8" w:rsidRDefault="00113079" w:rsidP="00DE1D1F">
            <w:pPr>
              <w:jc w:val="center"/>
              <w:rPr>
                <w:color w:val="002060"/>
                <w:sz w:val="18"/>
                <w:lang w:val="sr-Cyrl-RS"/>
              </w:rPr>
            </w:pPr>
            <w:r w:rsidRPr="008E2FD8">
              <w:rPr>
                <w:color w:val="002060"/>
                <w:sz w:val="18"/>
                <w:lang w:val="sr-Cyrl-RS"/>
              </w:rPr>
              <w:t>0,6</w:t>
            </w:r>
          </w:p>
        </w:tc>
        <w:tc>
          <w:tcPr>
            <w:tcW w:w="603" w:type="pct"/>
            <w:tcBorders>
              <w:top w:val="nil"/>
              <w:left w:val="nil"/>
              <w:bottom w:val="nil"/>
              <w:right w:val="nil"/>
            </w:tcBorders>
            <w:shd w:val="clear" w:color="auto" w:fill="auto"/>
            <w:noWrap/>
            <w:vAlign w:val="bottom"/>
          </w:tcPr>
          <w:p w14:paraId="5E2C5E16" w14:textId="77777777" w:rsidR="00113079" w:rsidRPr="008E2FD8" w:rsidRDefault="00113079" w:rsidP="00DE1D1F">
            <w:pPr>
              <w:jc w:val="center"/>
              <w:rPr>
                <w:color w:val="002060"/>
                <w:sz w:val="18"/>
                <w:lang w:val="sr-Cyrl-RS"/>
              </w:rPr>
            </w:pPr>
            <w:r w:rsidRPr="008E2FD8">
              <w:rPr>
                <w:color w:val="002060"/>
                <w:sz w:val="18"/>
                <w:lang w:val="sr-Cyrl-RS"/>
              </w:rPr>
              <w:t>0,5</w:t>
            </w:r>
          </w:p>
        </w:tc>
        <w:tc>
          <w:tcPr>
            <w:tcW w:w="603" w:type="pct"/>
            <w:tcBorders>
              <w:top w:val="nil"/>
              <w:left w:val="nil"/>
              <w:bottom w:val="nil"/>
              <w:right w:val="nil"/>
            </w:tcBorders>
            <w:shd w:val="clear" w:color="auto" w:fill="auto"/>
            <w:noWrap/>
            <w:vAlign w:val="bottom"/>
          </w:tcPr>
          <w:p w14:paraId="672260CF" w14:textId="77777777" w:rsidR="00113079" w:rsidRPr="008E2FD8" w:rsidRDefault="00113079" w:rsidP="00DE1D1F">
            <w:pPr>
              <w:jc w:val="center"/>
              <w:rPr>
                <w:color w:val="002060"/>
                <w:sz w:val="18"/>
                <w:lang w:val="sr-Cyrl-RS"/>
              </w:rPr>
            </w:pPr>
            <w:r w:rsidRPr="008E2FD8">
              <w:rPr>
                <w:color w:val="002060"/>
                <w:sz w:val="18"/>
                <w:lang w:val="sr-Cyrl-RS"/>
              </w:rPr>
              <w:t>0,4</w:t>
            </w:r>
          </w:p>
        </w:tc>
      </w:tr>
      <w:tr w:rsidR="00113079" w:rsidRPr="008E2FD8" w14:paraId="05CC435A" w14:textId="77777777" w:rsidTr="00113079">
        <w:trPr>
          <w:trHeight w:val="281"/>
          <w:jc w:val="center"/>
        </w:trPr>
        <w:tc>
          <w:tcPr>
            <w:tcW w:w="2590" w:type="pct"/>
            <w:shd w:val="clear" w:color="auto" w:fill="E7E6E6" w:themeFill="background2"/>
            <w:noWrap/>
            <w:vAlign w:val="center"/>
            <w:hideMark/>
          </w:tcPr>
          <w:p w14:paraId="7BAD297F" w14:textId="77777777" w:rsidR="00113079" w:rsidRPr="008E2FD8" w:rsidRDefault="00113079" w:rsidP="00DE1D1F">
            <w:pPr>
              <w:jc w:val="left"/>
              <w:rPr>
                <w:rFonts w:eastAsia="Calibri" w:cstheme="minorHAnsi"/>
                <w:bCs/>
                <w:iCs/>
                <w:color w:val="002060"/>
                <w:sz w:val="18"/>
                <w:szCs w:val="18"/>
                <w:lang w:val="sr-Cyrl-RS"/>
              </w:rPr>
            </w:pPr>
            <w:r w:rsidRPr="008E2FD8">
              <w:rPr>
                <w:rFonts w:eastAsia="Calibri" w:cstheme="minorHAnsi"/>
                <w:iCs/>
                <w:color w:val="002060"/>
                <w:sz w:val="18"/>
                <w:szCs w:val="18"/>
                <w:lang w:val="sr-Cyrl-RS"/>
              </w:rPr>
              <w:t>Кретање цена, %</w:t>
            </w:r>
          </w:p>
        </w:tc>
        <w:tc>
          <w:tcPr>
            <w:tcW w:w="602" w:type="pct"/>
            <w:shd w:val="clear" w:color="auto" w:fill="E7E6E6" w:themeFill="background2"/>
            <w:noWrap/>
            <w:vAlign w:val="center"/>
          </w:tcPr>
          <w:p w14:paraId="3D1DD789" w14:textId="77777777" w:rsidR="00113079" w:rsidRPr="008E2FD8" w:rsidRDefault="00113079" w:rsidP="00DE1D1F">
            <w:pPr>
              <w:jc w:val="center"/>
              <w:rPr>
                <w:rFonts w:eastAsia="Calibri" w:cstheme="minorHAnsi"/>
                <w:iCs/>
                <w:color w:val="002060"/>
                <w:sz w:val="18"/>
                <w:szCs w:val="18"/>
                <w:lang w:val="sr-Cyrl-RS"/>
              </w:rPr>
            </w:pPr>
          </w:p>
        </w:tc>
        <w:tc>
          <w:tcPr>
            <w:tcW w:w="603" w:type="pct"/>
            <w:shd w:val="clear" w:color="auto" w:fill="E7E6E6" w:themeFill="background2"/>
            <w:noWrap/>
            <w:vAlign w:val="center"/>
          </w:tcPr>
          <w:p w14:paraId="3CE279E9"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576BC300"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5C24AB4B" w14:textId="77777777" w:rsidR="00113079" w:rsidRPr="008E2FD8" w:rsidRDefault="00113079" w:rsidP="00DE1D1F">
            <w:pPr>
              <w:jc w:val="center"/>
              <w:rPr>
                <w:rFonts w:eastAsia="Calibri" w:cstheme="minorHAnsi"/>
                <w:color w:val="002060"/>
                <w:sz w:val="18"/>
                <w:szCs w:val="18"/>
                <w:lang w:val="sr-Cyrl-RS"/>
              </w:rPr>
            </w:pPr>
          </w:p>
        </w:tc>
      </w:tr>
      <w:tr w:rsidR="00113079" w:rsidRPr="008E2FD8" w14:paraId="637D0BCE" w14:textId="77777777" w:rsidTr="00113079">
        <w:trPr>
          <w:trHeight w:val="281"/>
          <w:jc w:val="center"/>
        </w:trPr>
        <w:tc>
          <w:tcPr>
            <w:tcW w:w="2590" w:type="pct"/>
            <w:noWrap/>
            <w:vAlign w:val="center"/>
            <w:hideMark/>
          </w:tcPr>
          <w:p w14:paraId="084084C7"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БДП дефлатор</w:t>
            </w:r>
          </w:p>
        </w:tc>
        <w:tc>
          <w:tcPr>
            <w:tcW w:w="602" w:type="pct"/>
            <w:tcBorders>
              <w:top w:val="nil"/>
              <w:left w:val="nil"/>
              <w:bottom w:val="nil"/>
              <w:right w:val="nil"/>
            </w:tcBorders>
            <w:shd w:val="clear" w:color="auto" w:fill="auto"/>
            <w:noWrap/>
            <w:vAlign w:val="bottom"/>
          </w:tcPr>
          <w:p w14:paraId="2E3278CC" w14:textId="77777777" w:rsidR="00113079" w:rsidRPr="008E2FD8" w:rsidRDefault="00113079" w:rsidP="00DE1D1F">
            <w:pPr>
              <w:jc w:val="center"/>
              <w:rPr>
                <w:color w:val="002060"/>
                <w:sz w:val="18"/>
                <w:lang w:val="sr-Cyrl-RS"/>
              </w:rPr>
            </w:pPr>
            <w:r w:rsidRPr="008E2FD8">
              <w:rPr>
                <w:color w:val="002060"/>
                <w:sz w:val="18"/>
                <w:lang w:val="sr-Cyrl-RS"/>
              </w:rPr>
              <w:t>2,6</w:t>
            </w:r>
          </w:p>
        </w:tc>
        <w:tc>
          <w:tcPr>
            <w:tcW w:w="603" w:type="pct"/>
            <w:tcBorders>
              <w:top w:val="nil"/>
              <w:left w:val="nil"/>
              <w:bottom w:val="nil"/>
              <w:right w:val="nil"/>
            </w:tcBorders>
            <w:shd w:val="clear" w:color="auto" w:fill="auto"/>
            <w:noWrap/>
            <w:vAlign w:val="bottom"/>
          </w:tcPr>
          <w:p w14:paraId="6150EDEB" w14:textId="77777777" w:rsidR="00113079" w:rsidRPr="008E2FD8" w:rsidRDefault="00113079" w:rsidP="00DE1D1F">
            <w:pPr>
              <w:jc w:val="center"/>
              <w:rPr>
                <w:color w:val="002060"/>
                <w:sz w:val="18"/>
                <w:lang w:val="sr-Cyrl-RS"/>
              </w:rPr>
            </w:pPr>
            <w:r w:rsidRPr="008E2FD8">
              <w:rPr>
                <w:color w:val="002060"/>
                <w:sz w:val="18"/>
                <w:lang w:val="sr-Cyrl-RS"/>
              </w:rPr>
              <w:t>2,7</w:t>
            </w:r>
          </w:p>
        </w:tc>
        <w:tc>
          <w:tcPr>
            <w:tcW w:w="603" w:type="pct"/>
            <w:tcBorders>
              <w:top w:val="nil"/>
              <w:left w:val="nil"/>
              <w:bottom w:val="nil"/>
              <w:right w:val="nil"/>
            </w:tcBorders>
            <w:shd w:val="clear" w:color="auto" w:fill="auto"/>
            <w:noWrap/>
            <w:vAlign w:val="bottom"/>
          </w:tcPr>
          <w:p w14:paraId="78C438F8" w14:textId="77777777" w:rsidR="00113079" w:rsidRPr="008E2FD8" w:rsidRDefault="00113079" w:rsidP="00DE1D1F">
            <w:pPr>
              <w:jc w:val="center"/>
              <w:rPr>
                <w:color w:val="002060"/>
                <w:sz w:val="18"/>
                <w:lang w:val="sr-Cyrl-RS"/>
              </w:rPr>
            </w:pPr>
            <w:r w:rsidRPr="008E2FD8">
              <w:rPr>
                <w:color w:val="002060"/>
                <w:sz w:val="18"/>
                <w:lang w:val="sr-Cyrl-RS"/>
              </w:rPr>
              <w:t>3,0</w:t>
            </w:r>
          </w:p>
        </w:tc>
        <w:tc>
          <w:tcPr>
            <w:tcW w:w="603" w:type="pct"/>
            <w:tcBorders>
              <w:top w:val="nil"/>
              <w:left w:val="nil"/>
              <w:bottom w:val="nil"/>
              <w:right w:val="nil"/>
            </w:tcBorders>
            <w:shd w:val="clear" w:color="auto" w:fill="auto"/>
            <w:noWrap/>
            <w:vAlign w:val="bottom"/>
          </w:tcPr>
          <w:p w14:paraId="1ACA71D0" w14:textId="77777777" w:rsidR="00113079" w:rsidRPr="008E2FD8" w:rsidRDefault="00113079" w:rsidP="00DE1D1F">
            <w:pPr>
              <w:jc w:val="center"/>
              <w:rPr>
                <w:color w:val="002060"/>
                <w:sz w:val="18"/>
                <w:lang w:val="sr-Cyrl-RS"/>
              </w:rPr>
            </w:pPr>
            <w:r w:rsidRPr="008E2FD8">
              <w:rPr>
                <w:color w:val="002060"/>
                <w:sz w:val="18"/>
                <w:lang w:val="sr-Cyrl-RS"/>
              </w:rPr>
              <w:t>3,2</w:t>
            </w:r>
          </w:p>
        </w:tc>
      </w:tr>
      <w:tr w:rsidR="00113079" w:rsidRPr="008E2FD8" w14:paraId="565E76B6" w14:textId="77777777" w:rsidTr="00113079">
        <w:trPr>
          <w:trHeight w:val="281"/>
          <w:jc w:val="center"/>
        </w:trPr>
        <w:tc>
          <w:tcPr>
            <w:tcW w:w="2590" w:type="pct"/>
            <w:noWrap/>
            <w:vAlign w:val="center"/>
            <w:hideMark/>
          </w:tcPr>
          <w:p w14:paraId="4F3AD678"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Потрошачке цене (годишњи просек)</w:t>
            </w:r>
          </w:p>
        </w:tc>
        <w:tc>
          <w:tcPr>
            <w:tcW w:w="602" w:type="pct"/>
            <w:tcBorders>
              <w:top w:val="nil"/>
              <w:left w:val="nil"/>
              <w:bottom w:val="nil"/>
              <w:right w:val="nil"/>
            </w:tcBorders>
            <w:shd w:val="clear" w:color="auto" w:fill="auto"/>
            <w:noWrap/>
            <w:vAlign w:val="bottom"/>
          </w:tcPr>
          <w:p w14:paraId="1F42A45E" w14:textId="77777777" w:rsidR="00113079" w:rsidRPr="008E2FD8" w:rsidRDefault="00113079" w:rsidP="00DE1D1F">
            <w:pPr>
              <w:jc w:val="center"/>
              <w:rPr>
                <w:color w:val="002060"/>
                <w:sz w:val="18"/>
                <w:lang w:val="sr-Cyrl-RS"/>
              </w:rPr>
            </w:pPr>
            <w:r w:rsidRPr="008E2FD8">
              <w:rPr>
                <w:color w:val="002060"/>
                <w:sz w:val="18"/>
                <w:lang w:val="sr-Cyrl-RS"/>
              </w:rPr>
              <w:t>2,6</w:t>
            </w:r>
          </w:p>
        </w:tc>
        <w:tc>
          <w:tcPr>
            <w:tcW w:w="603" w:type="pct"/>
            <w:tcBorders>
              <w:top w:val="nil"/>
              <w:left w:val="nil"/>
              <w:bottom w:val="nil"/>
              <w:right w:val="nil"/>
            </w:tcBorders>
            <w:shd w:val="clear" w:color="auto" w:fill="auto"/>
            <w:noWrap/>
            <w:vAlign w:val="bottom"/>
          </w:tcPr>
          <w:p w14:paraId="5AA87DC4" w14:textId="77777777" w:rsidR="00113079" w:rsidRPr="008E2FD8" w:rsidRDefault="00113079" w:rsidP="00DE1D1F">
            <w:pPr>
              <w:jc w:val="center"/>
              <w:rPr>
                <w:color w:val="002060"/>
                <w:sz w:val="18"/>
                <w:lang w:val="sr-Cyrl-RS"/>
              </w:rPr>
            </w:pPr>
            <w:r w:rsidRPr="008E2FD8">
              <w:rPr>
                <w:color w:val="002060"/>
                <w:sz w:val="18"/>
                <w:lang w:val="sr-Cyrl-RS"/>
              </w:rPr>
              <w:t>2,5</w:t>
            </w:r>
          </w:p>
        </w:tc>
        <w:tc>
          <w:tcPr>
            <w:tcW w:w="603" w:type="pct"/>
            <w:tcBorders>
              <w:top w:val="nil"/>
              <w:left w:val="nil"/>
              <w:bottom w:val="nil"/>
              <w:right w:val="nil"/>
            </w:tcBorders>
            <w:shd w:val="clear" w:color="auto" w:fill="auto"/>
            <w:noWrap/>
            <w:vAlign w:val="bottom"/>
          </w:tcPr>
          <w:p w14:paraId="0CEDBD52" w14:textId="77777777" w:rsidR="00113079" w:rsidRPr="008E2FD8" w:rsidRDefault="00113079" w:rsidP="00DE1D1F">
            <w:pPr>
              <w:jc w:val="center"/>
              <w:rPr>
                <w:color w:val="002060"/>
                <w:sz w:val="18"/>
                <w:lang w:val="sr-Cyrl-RS"/>
              </w:rPr>
            </w:pPr>
            <w:r w:rsidRPr="008E2FD8">
              <w:rPr>
                <w:color w:val="002060"/>
                <w:sz w:val="18"/>
                <w:lang w:val="sr-Cyrl-RS"/>
              </w:rPr>
              <w:t>2,9</w:t>
            </w:r>
          </w:p>
        </w:tc>
        <w:tc>
          <w:tcPr>
            <w:tcW w:w="603" w:type="pct"/>
            <w:tcBorders>
              <w:top w:val="nil"/>
              <w:left w:val="nil"/>
              <w:bottom w:val="nil"/>
              <w:right w:val="nil"/>
            </w:tcBorders>
            <w:shd w:val="clear" w:color="auto" w:fill="auto"/>
            <w:noWrap/>
            <w:vAlign w:val="bottom"/>
          </w:tcPr>
          <w:p w14:paraId="1784A299" w14:textId="77777777" w:rsidR="00113079" w:rsidRPr="008E2FD8" w:rsidRDefault="00113079" w:rsidP="00DE1D1F">
            <w:pPr>
              <w:jc w:val="center"/>
              <w:rPr>
                <w:color w:val="002060"/>
                <w:sz w:val="18"/>
                <w:lang w:val="sr-Cyrl-RS"/>
              </w:rPr>
            </w:pPr>
            <w:r w:rsidRPr="008E2FD8">
              <w:rPr>
                <w:color w:val="002060"/>
                <w:sz w:val="18"/>
                <w:lang w:val="sr-Cyrl-RS"/>
              </w:rPr>
              <w:t>2,9</w:t>
            </w:r>
          </w:p>
        </w:tc>
      </w:tr>
      <w:tr w:rsidR="00113079" w:rsidRPr="008E2FD8" w14:paraId="7775B175" w14:textId="77777777" w:rsidTr="00113079">
        <w:trPr>
          <w:trHeight w:val="281"/>
          <w:jc w:val="center"/>
        </w:trPr>
        <w:tc>
          <w:tcPr>
            <w:tcW w:w="2590" w:type="pct"/>
            <w:shd w:val="clear" w:color="auto" w:fill="E7E6E6" w:themeFill="background2"/>
            <w:noWrap/>
            <w:vAlign w:val="center"/>
            <w:hideMark/>
          </w:tcPr>
          <w:p w14:paraId="00FD07A0" w14:textId="77777777" w:rsidR="00113079" w:rsidRPr="008E2FD8" w:rsidRDefault="00113079" w:rsidP="00DE1D1F">
            <w:pPr>
              <w:jc w:val="left"/>
              <w:rPr>
                <w:rFonts w:eastAsia="Calibri" w:cstheme="minorHAnsi"/>
                <w:bCs/>
                <w:iCs/>
                <w:color w:val="002060"/>
                <w:sz w:val="18"/>
                <w:szCs w:val="18"/>
                <w:lang w:val="sr-Cyrl-RS"/>
              </w:rPr>
            </w:pPr>
            <w:r w:rsidRPr="008E2FD8">
              <w:rPr>
                <w:rFonts w:eastAsia="Calibri" w:cstheme="minorHAnsi"/>
                <w:iCs/>
                <w:color w:val="002060"/>
                <w:sz w:val="18"/>
                <w:szCs w:val="18"/>
                <w:lang w:val="sr-Cyrl-RS"/>
              </w:rPr>
              <w:t>Кретања у спољном сектору, % БДП</w:t>
            </w:r>
          </w:p>
        </w:tc>
        <w:tc>
          <w:tcPr>
            <w:tcW w:w="602" w:type="pct"/>
            <w:shd w:val="clear" w:color="auto" w:fill="E7E6E6" w:themeFill="background2"/>
            <w:noWrap/>
            <w:vAlign w:val="center"/>
          </w:tcPr>
          <w:p w14:paraId="061A40FF"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383C2F22"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77E90F09"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42F2CB7F" w14:textId="77777777" w:rsidR="00113079" w:rsidRPr="008E2FD8" w:rsidRDefault="00113079" w:rsidP="00DE1D1F">
            <w:pPr>
              <w:jc w:val="center"/>
              <w:rPr>
                <w:rFonts w:eastAsia="Calibri" w:cstheme="minorHAnsi"/>
                <w:color w:val="002060"/>
                <w:sz w:val="18"/>
                <w:szCs w:val="18"/>
                <w:lang w:val="sr-Cyrl-RS"/>
              </w:rPr>
            </w:pPr>
          </w:p>
        </w:tc>
      </w:tr>
      <w:tr w:rsidR="00113079" w:rsidRPr="008E2FD8" w14:paraId="19600195" w14:textId="77777777" w:rsidTr="00113079">
        <w:trPr>
          <w:trHeight w:val="281"/>
          <w:jc w:val="center"/>
        </w:trPr>
        <w:tc>
          <w:tcPr>
            <w:tcW w:w="2590" w:type="pct"/>
            <w:noWrap/>
            <w:vAlign w:val="center"/>
            <w:hideMark/>
          </w:tcPr>
          <w:p w14:paraId="7925CC0A"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Салдо роба</w:t>
            </w:r>
          </w:p>
        </w:tc>
        <w:tc>
          <w:tcPr>
            <w:tcW w:w="602" w:type="pct"/>
            <w:tcBorders>
              <w:top w:val="nil"/>
              <w:left w:val="nil"/>
              <w:bottom w:val="nil"/>
              <w:right w:val="nil"/>
            </w:tcBorders>
            <w:shd w:val="clear" w:color="000000" w:fill="FFFFFF"/>
            <w:noWrap/>
            <w:vAlign w:val="bottom"/>
          </w:tcPr>
          <w:p w14:paraId="3A118342" w14:textId="77777777" w:rsidR="00113079" w:rsidRPr="008E2FD8" w:rsidRDefault="00113079" w:rsidP="00DE1D1F">
            <w:pPr>
              <w:jc w:val="center"/>
              <w:rPr>
                <w:color w:val="002060"/>
                <w:sz w:val="18"/>
                <w:lang w:val="sr-Cyrl-RS"/>
              </w:rPr>
            </w:pPr>
            <w:r w:rsidRPr="008E2FD8">
              <w:rPr>
                <w:color w:val="002060"/>
                <w:sz w:val="18"/>
                <w:lang w:val="sr-Cyrl-RS"/>
              </w:rPr>
              <w:t>-12,0</w:t>
            </w:r>
          </w:p>
        </w:tc>
        <w:tc>
          <w:tcPr>
            <w:tcW w:w="603" w:type="pct"/>
            <w:tcBorders>
              <w:top w:val="nil"/>
              <w:left w:val="nil"/>
              <w:bottom w:val="nil"/>
              <w:right w:val="nil"/>
            </w:tcBorders>
            <w:shd w:val="clear" w:color="000000" w:fill="FFFFFF"/>
            <w:noWrap/>
            <w:vAlign w:val="bottom"/>
          </w:tcPr>
          <w:p w14:paraId="4CE55CE8" w14:textId="77777777" w:rsidR="00113079" w:rsidRPr="008E2FD8" w:rsidRDefault="00113079" w:rsidP="00DE1D1F">
            <w:pPr>
              <w:jc w:val="center"/>
              <w:rPr>
                <w:color w:val="002060"/>
                <w:sz w:val="18"/>
                <w:lang w:val="sr-Cyrl-RS"/>
              </w:rPr>
            </w:pPr>
            <w:r w:rsidRPr="008E2FD8">
              <w:rPr>
                <w:color w:val="002060"/>
                <w:sz w:val="18"/>
                <w:lang w:val="sr-Cyrl-RS"/>
              </w:rPr>
              <w:t>-11,5</w:t>
            </w:r>
          </w:p>
        </w:tc>
        <w:tc>
          <w:tcPr>
            <w:tcW w:w="603" w:type="pct"/>
            <w:tcBorders>
              <w:top w:val="nil"/>
              <w:left w:val="nil"/>
              <w:bottom w:val="nil"/>
              <w:right w:val="nil"/>
            </w:tcBorders>
            <w:shd w:val="clear" w:color="000000" w:fill="FFFFFF"/>
            <w:noWrap/>
            <w:vAlign w:val="bottom"/>
          </w:tcPr>
          <w:p w14:paraId="162A19A2" w14:textId="77777777" w:rsidR="00113079" w:rsidRPr="008E2FD8" w:rsidRDefault="00113079" w:rsidP="00DE1D1F">
            <w:pPr>
              <w:jc w:val="center"/>
              <w:rPr>
                <w:color w:val="002060"/>
                <w:sz w:val="18"/>
                <w:lang w:val="sr-Cyrl-RS"/>
              </w:rPr>
            </w:pPr>
            <w:r w:rsidRPr="008E2FD8">
              <w:rPr>
                <w:color w:val="002060"/>
                <w:sz w:val="18"/>
                <w:lang w:val="sr-Cyrl-RS"/>
              </w:rPr>
              <w:t>-10,5</w:t>
            </w:r>
          </w:p>
        </w:tc>
        <w:tc>
          <w:tcPr>
            <w:tcW w:w="603" w:type="pct"/>
            <w:tcBorders>
              <w:top w:val="nil"/>
              <w:left w:val="nil"/>
              <w:bottom w:val="nil"/>
              <w:right w:val="nil"/>
            </w:tcBorders>
            <w:shd w:val="clear" w:color="000000" w:fill="FFFFFF"/>
            <w:noWrap/>
            <w:vAlign w:val="bottom"/>
          </w:tcPr>
          <w:p w14:paraId="68261E29" w14:textId="77777777" w:rsidR="00113079" w:rsidRPr="008E2FD8" w:rsidRDefault="00113079" w:rsidP="00DE1D1F">
            <w:pPr>
              <w:jc w:val="center"/>
              <w:rPr>
                <w:color w:val="002060"/>
                <w:sz w:val="18"/>
                <w:lang w:val="sr-Cyrl-RS"/>
              </w:rPr>
            </w:pPr>
            <w:r w:rsidRPr="008E2FD8">
              <w:rPr>
                <w:color w:val="002060"/>
                <w:sz w:val="18"/>
                <w:lang w:val="sr-Cyrl-RS"/>
              </w:rPr>
              <w:t>-9,5</w:t>
            </w:r>
          </w:p>
        </w:tc>
      </w:tr>
      <w:tr w:rsidR="00113079" w:rsidRPr="008E2FD8" w14:paraId="4FEA1A25" w14:textId="77777777" w:rsidTr="00113079">
        <w:trPr>
          <w:trHeight w:val="281"/>
          <w:jc w:val="center"/>
        </w:trPr>
        <w:tc>
          <w:tcPr>
            <w:tcW w:w="2590" w:type="pct"/>
            <w:noWrap/>
            <w:vAlign w:val="center"/>
          </w:tcPr>
          <w:p w14:paraId="1329802E"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Салдо услуга</w:t>
            </w:r>
          </w:p>
        </w:tc>
        <w:tc>
          <w:tcPr>
            <w:tcW w:w="602" w:type="pct"/>
            <w:tcBorders>
              <w:top w:val="nil"/>
              <w:left w:val="nil"/>
              <w:bottom w:val="nil"/>
              <w:right w:val="nil"/>
            </w:tcBorders>
            <w:shd w:val="clear" w:color="000000" w:fill="FFFFFF"/>
            <w:noWrap/>
            <w:vAlign w:val="bottom"/>
          </w:tcPr>
          <w:p w14:paraId="3A273064" w14:textId="77777777" w:rsidR="00113079" w:rsidRPr="008E2FD8" w:rsidRDefault="00113079" w:rsidP="00DE1D1F">
            <w:pPr>
              <w:jc w:val="center"/>
              <w:rPr>
                <w:color w:val="002060"/>
                <w:sz w:val="18"/>
                <w:lang w:val="sr-Cyrl-RS"/>
              </w:rPr>
            </w:pPr>
            <w:r w:rsidRPr="008E2FD8">
              <w:rPr>
                <w:color w:val="002060"/>
                <w:sz w:val="18"/>
                <w:lang w:val="sr-Cyrl-RS"/>
              </w:rPr>
              <w:t>2,3</w:t>
            </w:r>
          </w:p>
        </w:tc>
        <w:tc>
          <w:tcPr>
            <w:tcW w:w="603" w:type="pct"/>
            <w:tcBorders>
              <w:top w:val="nil"/>
              <w:left w:val="nil"/>
              <w:bottom w:val="nil"/>
              <w:right w:val="nil"/>
            </w:tcBorders>
            <w:shd w:val="clear" w:color="000000" w:fill="FFFFFF"/>
            <w:noWrap/>
            <w:vAlign w:val="bottom"/>
          </w:tcPr>
          <w:p w14:paraId="0C783157" w14:textId="77777777" w:rsidR="00113079" w:rsidRPr="008E2FD8" w:rsidRDefault="00113079" w:rsidP="00DE1D1F">
            <w:pPr>
              <w:jc w:val="center"/>
              <w:rPr>
                <w:color w:val="002060"/>
                <w:sz w:val="18"/>
                <w:lang w:val="sr-Cyrl-RS"/>
              </w:rPr>
            </w:pPr>
            <w:r w:rsidRPr="008E2FD8">
              <w:rPr>
                <w:color w:val="002060"/>
                <w:sz w:val="18"/>
                <w:lang w:val="sr-Cyrl-RS"/>
              </w:rPr>
              <w:t>2,4</w:t>
            </w:r>
          </w:p>
        </w:tc>
        <w:tc>
          <w:tcPr>
            <w:tcW w:w="603" w:type="pct"/>
            <w:tcBorders>
              <w:top w:val="nil"/>
              <w:left w:val="nil"/>
              <w:bottom w:val="nil"/>
              <w:right w:val="nil"/>
            </w:tcBorders>
            <w:shd w:val="clear" w:color="000000" w:fill="FFFFFF"/>
            <w:noWrap/>
            <w:vAlign w:val="bottom"/>
          </w:tcPr>
          <w:p w14:paraId="7A09953E" w14:textId="77777777" w:rsidR="00113079" w:rsidRPr="008E2FD8" w:rsidRDefault="00113079" w:rsidP="00DE1D1F">
            <w:pPr>
              <w:jc w:val="center"/>
              <w:rPr>
                <w:color w:val="002060"/>
                <w:sz w:val="18"/>
                <w:lang w:val="sr-Cyrl-RS"/>
              </w:rPr>
            </w:pPr>
            <w:r w:rsidRPr="008E2FD8">
              <w:rPr>
                <w:color w:val="002060"/>
                <w:sz w:val="18"/>
                <w:lang w:val="sr-Cyrl-RS"/>
              </w:rPr>
              <w:t>2,4</w:t>
            </w:r>
          </w:p>
        </w:tc>
        <w:tc>
          <w:tcPr>
            <w:tcW w:w="603" w:type="pct"/>
            <w:tcBorders>
              <w:top w:val="nil"/>
              <w:left w:val="nil"/>
              <w:bottom w:val="nil"/>
              <w:right w:val="nil"/>
            </w:tcBorders>
            <w:shd w:val="clear" w:color="000000" w:fill="FFFFFF"/>
            <w:noWrap/>
            <w:vAlign w:val="bottom"/>
          </w:tcPr>
          <w:p w14:paraId="5CAF6608" w14:textId="77777777" w:rsidR="00113079" w:rsidRPr="008E2FD8" w:rsidRDefault="00113079" w:rsidP="00DE1D1F">
            <w:pPr>
              <w:jc w:val="center"/>
              <w:rPr>
                <w:color w:val="002060"/>
                <w:sz w:val="18"/>
                <w:lang w:val="sr-Cyrl-RS"/>
              </w:rPr>
            </w:pPr>
            <w:r w:rsidRPr="008E2FD8">
              <w:rPr>
                <w:color w:val="002060"/>
                <w:sz w:val="18"/>
                <w:lang w:val="sr-Cyrl-RS"/>
              </w:rPr>
              <w:t>2,5</w:t>
            </w:r>
          </w:p>
        </w:tc>
      </w:tr>
      <w:tr w:rsidR="00113079" w:rsidRPr="008E2FD8" w14:paraId="6FFFD3CF" w14:textId="77777777" w:rsidTr="00113079">
        <w:trPr>
          <w:trHeight w:val="281"/>
          <w:jc w:val="center"/>
        </w:trPr>
        <w:tc>
          <w:tcPr>
            <w:tcW w:w="2590" w:type="pct"/>
            <w:noWrap/>
            <w:vAlign w:val="center"/>
            <w:hideMark/>
          </w:tcPr>
          <w:p w14:paraId="62F9E417"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Салдо текућег рачуна</w:t>
            </w:r>
          </w:p>
        </w:tc>
        <w:tc>
          <w:tcPr>
            <w:tcW w:w="602" w:type="pct"/>
            <w:tcBorders>
              <w:top w:val="nil"/>
              <w:left w:val="nil"/>
              <w:bottom w:val="nil"/>
              <w:right w:val="nil"/>
            </w:tcBorders>
            <w:shd w:val="clear" w:color="000000" w:fill="FFFFFF"/>
            <w:noWrap/>
            <w:vAlign w:val="bottom"/>
          </w:tcPr>
          <w:p w14:paraId="27B040B7" w14:textId="77777777" w:rsidR="00113079" w:rsidRPr="008E2FD8" w:rsidRDefault="00113079" w:rsidP="00DE1D1F">
            <w:pPr>
              <w:jc w:val="center"/>
              <w:rPr>
                <w:color w:val="002060"/>
                <w:sz w:val="18"/>
                <w:lang w:val="sr-Cyrl-RS"/>
              </w:rPr>
            </w:pPr>
            <w:r w:rsidRPr="008E2FD8">
              <w:rPr>
                <w:color w:val="002060"/>
                <w:sz w:val="18"/>
                <w:lang w:val="sr-Cyrl-RS"/>
              </w:rPr>
              <w:t>-5,6</w:t>
            </w:r>
          </w:p>
        </w:tc>
        <w:tc>
          <w:tcPr>
            <w:tcW w:w="603" w:type="pct"/>
            <w:tcBorders>
              <w:top w:val="nil"/>
              <w:left w:val="nil"/>
              <w:bottom w:val="nil"/>
              <w:right w:val="nil"/>
            </w:tcBorders>
            <w:shd w:val="clear" w:color="000000" w:fill="FFFFFF"/>
            <w:noWrap/>
            <w:vAlign w:val="bottom"/>
          </w:tcPr>
          <w:p w14:paraId="2FAF77B6" w14:textId="77777777" w:rsidR="00113079" w:rsidRPr="008E2FD8" w:rsidRDefault="00113079" w:rsidP="00DE1D1F">
            <w:pPr>
              <w:jc w:val="center"/>
              <w:rPr>
                <w:color w:val="002060"/>
                <w:sz w:val="18"/>
                <w:lang w:val="sr-Cyrl-RS"/>
              </w:rPr>
            </w:pPr>
            <w:r w:rsidRPr="008E2FD8">
              <w:rPr>
                <w:color w:val="002060"/>
                <w:sz w:val="18"/>
                <w:lang w:val="sr-Cyrl-RS"/>
              </w:rPr>
              <w:t>-5,3</w:t>
            </w:r>
          </w:p>
        </w:tc>
        <w:tc>
          <w:tcPr>
            <w:tcW w:w="603" w:type="pct"/>
            <w:tcBorders>
              <w:top w:val="nil"/>
              <w:left w:val="nil"/>
              <w:bottom w:val="nil"/>
              <w:right w:val="nil"/>
            </w:tcBorders>
            <w:shd w:val="clear" w:color="000000" w:fill="FFFFFF"/>
            <w:noWrap/>
            <w:vAlign w:val="bottom"/>
          </w:tcPr>
          <w:p w14:paraId="799042AD" w14:textId="77777777" w:rsidR="00113079" w:rsidRPr="008E2FD8" w:rsidRDefault="00113079" w:rsidP="00DE1D1F">
            <w:pPr>
              <w:jc w:val="center"/>
              <w:rPr>
                <w:color w:val="002060"/>
                <w:sz w:val="18"/>
                <w:lang w:val="sr-Cyrl-RS"/>
              </w:rPr>
            </w:pPr>
            <w:r w:rsidRPr="008E2FD8">
              <w:rPr>
                <w:color w:val="002060"/>
                <w:sz w:val="18"/>
                <w:lang w:val="sr-Cyrl-RS"/>
              </w:rPr>
              <w:t>-4,9</w:t>
            </w:r>
          </w:p>
        </w:tc>
        <w:tc>
          <w:tcPr>
            <w:tcW w:w="603" w:type="pct"/>
            <w:tcBorders>
              <w:top w:val="nil"/>
              <w:left w:val="nil"/>
              <w:bottom w:val="nil"/>
              <w:right w:val="nil"/>
            </w:tcBorders>
            <w:shd w:val="clear" w:color="000000" w:fill="FFFFFF"/>
            <w:noWrap/>
            <w:vAlign w:val="bottom"/>
          </w:tcPr>
          <w:p w14:paraId="2E5AE494" w14:textId="77777777" w:rsidR="00113079" w:rsidRPr="008E2FD8" w:rsidRDefault="00113079" w:rsidP="00DE1D1F">
            <w:pPr>
              <w:jc w:val="center"/>
              <w:rPr>
                <w:color w:val="002060"/>
                <w:sz w:val="18"/>
                <w:lang w:val="sr-Cyrl-RS"/>
              </w:rPr>
            </w:pPr>
            <w:r w:rsidRPr="008E2FD8">
              <w:rPr>
                <w:color w:val="002060"/>
                <w:sz w:val="18"/>
                <w:lang w:val="sr-Cyrl-RS"/>
              </w:rPr>
              <w:t>-4,4</w:t>
            </w:r>
          </w:p>
        </w:tc>
      </w:tr>
      <w:tr w:rsidR="00113079" w:rsidRPr="008E2FD8" w14:paraId="2698090F" w14:textId="77777777" w:rsidTr="00113079">
        <w:trPr>
          <w:trHeight w:val="283"/>
          <w:jc w:val="center"/>
        </w:trPr>
        <w:tc>
          <w:tcPr>
            <w:tcW w:w="2590" w:type="pct"/>
            <w:shd w:val="clear" w:color="auto" w:fill="E7E6E6" w:themeFill="background2"/>
            <w:noWrap/>
            <w:vAlign w:val="center"/>
            <w:hideMark/>
          </w:tcPr>
          <w:p w14:paraId="446DA86E" w14:textId="77777777" w:rsidR="00113079" w:rsidRPr="008E2FD8" w:rsidRDefault="00113079" w:rsidP="00DE1D1F">
            <w:pPr>
              <w:jc w:val="left"/>
              <w:rPr>
                <w:rFonts w:eastAsia="Calibri" w:cstheme="minorHAnsi"/>
                <w:bCs/>
                <w:iCs/>
                <w:color w:val="002060"/>
                <w:sz w:val="18"/>
                <w:szCs w:val="18"/>
                <w:lang w:val="sr-Cyrl-RS"/>
              </w:rPr>
            </w:pPr>
            <w:r w:rsidRPr="008E2FD8">
              <w:rPr>
                <w:rFonts w:eastAsia="Calibri" w:cstheme="minorHAnsi"/>
                <w:iCs/>
                <w:color w:val="002060"/>
                <w:sz w:val="18"/>
                <w:szCs w:val="18"/>
                <w:lang w:val="sr-Cyrl-RS"/>
              </w:rPr>
              <w:t>Фискални индикатори, % БДП</w:t>
            </w:r>
          </w:p>
        </w:tc>
        <w:tc>
          <w:tcPr>
            <w:tcW w:w="602" w:type="pct"/>
            <w:shd w:val="clear" w:color="auto" w:fill="E7E6E6" w:themeFill="background2"/>
            <w:noWrap/>
            <w:vAlign w:val="center"/>
          </w:tcPr>
          <w:p w14:paraId="3DE36418" w14:textId="77777777" w:rsidR="00113079" w:rsidRPr="008E2FD8" w:rsidRDefault="00113079" w:rsidP="00DE1D1F">
            <w:pPr>
              <w:jc w:val="center"/>
              <w:rPr>
                <w:rFonts w:eastAsia="Calibri" w:cstheme="minorHAnsi"/>
                <w:iCs/>
                <w:color w:val="002060"/>
                <w:sz w:val="18"/>
                <w:szCs w:val="18"/>
                <w:lang w:val="sr-Cyrl-RS"/>
              </w:rPr>
            </w:pPr>
          </w:p>
        </w:tc>
        <w:tc>
          <w:tcPr>
            <w:tcW w:w="603" w:type="pct"/>
            <w:shd w:val="clear" w:color="auto" w:fill="E7E6E6" w:themeFill="background2"/>
            <w:noWrap/>
            <w:vAlign w:val="center"/>
          </w:tcPr>
          <w:p w14:paraId="5783C848"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75A74AA5" w14:textId="77777777" w:rsidR="00113079" w:rsidRPr="008E2FD8" w:rsidRDefault="00113079" w:rsidP="00DE1D1F">
            <w:pPr>
              <w:jc w:val="center"/>
              <w:rPr>
                <w:rFonts w:eastAsia="Calibri" w:cstheme="minorHAnsi"/>
                <w:color w:val="002060"/>
                <w:sz w:val="18"/>
                <w:szCs w:val="18"/>
                <w:lang w:val="sr-Cyrl-RS"/>
              </w:rPr>
            </w:pPr>
          </w:p>
        </w:tc>
        <w:tc>
          <w:tcPr>
            <w:tcW w:w="603" w:type="pct"/>
            <w:shd w:val="clear" w:color="auto" w:fill="E7E6E6" w:themeFill="background2"/>
            <w:noWrap/>
            <w:vAlign w:val="center"/>
          </w:tcPr>
          <w:p w14:paraId="2DE789A3" w14:textId="77777777" w:rsidR="00113079" w:rsidRPr="008E2FD8" w:rsidRDefault="00113079" w:rsidP="00DE1D1F">
            <w:pPr>
              <w:jc w:val="center"/>
              <w:rPr>
                <w:rFonts w:eastAsia="Calibri" w:cstheme="minorHAnsi"/>
                <w:color w:val="002060"/>
                <w:sz w:val="18"/>
                <w:szCs w:val="18"/>
                <w:lang w:val="sr-Cyrl-RS"/>
              </w:rPr>
            </w:pPr>
          </w:p>
        </w:tc>
      </w:tr>
      <w:tr w:rsidR="00113079" w:rsidRPr="008E2FD8" w14:paraId="2A826F4F" w14:textId="77777777" w:rsidTr="00113079">
        <w:trPr>
          <w:trHeight w:val="281"/>
          <w:jc w:val="center"/>
        </w:trPr>
        <w:tc>
          <w:tcPr>
            <w:tcW w:w="2590" w:type="pct"/>
            <w:noWrap/>
            <w:vAlign w:val="center"/>
            <w:hideMark/>
          </w:tcPr>
          <w:p w14:paraId="31A04BEF"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Фискални резултат опште државе</w:t>
            </w:r>
          </w:p>
        </w:tc>
        <w:tc>
          <w:tcPr>
            <w:tcW w:w="602" w:type="pct"/>
            <w:shd w:val="clear" w:color="auto" w:fill="auto"/>
            <w:noWrap/>
            <w:vAlign w:val="center"/>
          </w:tcPr>
          <w:p w14:paraId="6D8DCE3D"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-6,9</w:t>
            </w:r>
          </w:p>
        </w:tc>
        <w:tc>
          <w:tcPr>
            <w:tcW w:w="603" w:type="pct"/>
            <w:shd w:val="clear" w:color="auto" w:fill="auto"/>
            <w:noWrap/>
            <w:vAlign w:val="center"/>
          </w:tcPr>
          <w:p w14:paraId="742DDFC3"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-3,0</w:t>
            </w:r>
          </w:p>
        </w:tc>
        <w:tc>
          <w:tcPr>
            <w:tcW w:w="603" w:type="pct"/>
            <w:shd w:val="clear" w:color="auto" w:fill="auto"/>
            <w:noWrap/>
            <w:vAlign w:val="center"/>
          </w:tcPr>
          <w:p w14:paraId="1EEE215F"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-1,5</w:t>
            </w:r>
          </w:p>
        </w:tc>
        <w:tc>
          <w:tcPr>
            <w:tcW w:w="603" w:type="pct"/>
            <w:shd w:val="clear" w:color="auto" w:fill="auto"/>
            <w:noWrap/>
            <w:vAlign w:val="center"/>
          </w:tcPr>
          <w:p w14:paraId="3082F1C9"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-1,0</w:t>
            </w:r>
          </w:p>
        </w:tc>
      </w:tr>
      <w:tr w:rsidR="00113079" w:rsidRPr="008E2FD8" w14:paraId="033AEC3E" w14:textId="77777777" w:rsidTr="00113079">
        <w:trPr>
          <w:trHeight w:val="281"/>
          <w:jc w:val="center"/>
        </w:trPr>
        <w:tc>
          <w:tcPr>
            <w:tcW w:w="2590" w:type="pct"/>
            <w:noWrap/>
            <w:vAlign w:val="center"/>
            <w:hideMark/>
          </w:tcPr>
          <w:p w14:paraId="68F4E185"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Консолидовани приходи</w:t>
            </w:r>
          </w:p>
        </w:tc>
        <w:tc>
          <w:tcPr>
            <w:tcW w:w="602" w:type="pct"/>
            <w:shd w:val="clear" w:color="auto" w:fill="auto"/>
            <w:noWrap/>
            <w:vAlign w:val="center"/>
          </w:tcPr>
          <w:p w14:paraId="157C9186"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41,8</w:t>
            </w:r>
          </w:p>
        </w:tc>
        <w:tc>
          <w:tcPr>
            <w:tcW w:w="603" w:type="pct"/>
            <w:shd w:val="clear" w:color="auto" w:fill="auto"/>
            <w:noWrap/>
            <w:vAlign w:val="center"/>
          </w:tcPr>
          <w:p w14:paraId="66E76BDD"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41,8</w:t>
            </w:r>
          </w:p>
        </w:tc>
        <w:tc>
          <w:tcPr>
            <w:tcW w:w="603" w:type="pct"/>
            <w:shd w:val="clear" w:color="auto" w:fill="auto"/>
            <w:noWrap/>
            <w:vAlign w:val="center"/>
          </w:tcPr>
          <w:p w14:paraId="5721E13D"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40,8</w:t>
            </w:r>
          </w:p>
        </w:tc>
        <w:tc>
          <w:tcPr>
            <w:tcW w:w="603" w:type="pct"/>
            <w:shd w:val="clear" w:color="auto" w:fill="auto"/>
            <w:noWrap/>
            <w:vAlign w:val="center"/>
          </w:tcPr>
          <w:p w14:paraId="49CAC6D6"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40,6</w:t>
            </w:r>
          </w:p>
        </w:tc>
      </w:tr>
      <w:tr w:rsidR="00113079" w:rsidRPr="008E2FD8" w14:paraId="45B37AC5" w14:textId="77777777" w:rsidTr="00113079">
        <w:trPr>
          <w:trHeight w:val="281"/>
          <w:jc w:val="center"/>
        </w:trPr>
        <w:tc>
          <w:tcPr>
            <w:tcW w:w="2590" w:type="pct"/>
            <w:noWrap/>
            <w:vAlign w:val="center"/>
            <w:hideMark/>
          </w:tcPr>
          <w:p w14:paraId="0685BA9A" w14:textId="77777777" w:rsidR="00113079" w:rsidRPr="008E2FD8" w:rsidRDefault="00113079" w:rsidP="00DE1D1F">
            <w:pPr>
              <w:ind w:left="113"/>
              <w:jc w:val="left"/>
              <w:rPr>
                <w:rFonts w:eastAsia="Calibri" w:cstheme="minorHAnsi"/>
                <w:color w:val="002060"/>
                <w:sz w:val="18"/>
                <w:szCs w:val="18"/>
                <w:lang w:val="sr-Cyrl-RS"/>
              </w:rPr>
            </w:pPr>
            <w:r w:rsidRPr="008E2FD8">
              <w:rPr>
                <w:rFonts w:eastAsia="Calibri" w:cstheme="minorHAnsi"/>
                <w:color w:val="002060"/>
                <w:sz w:val="18"/>
                <w:szCs w:val="18"/>
                <w:lang w:val="sr-Cyrl-RS"/>
              </w:rPr>
              <w:t>Консолидовани расходи</w:t>
            </w:r>
          </w:p>
        </w:tc>
        <w:tc>
          <w:tcPr>
            <w:tcW w:w="602" w:type="pct"/>
            <w:shd w:val="clear" w:color="auto" w:fill="auto"/>
            <w:noWrap/>
            <w:vAlign w:val="center"/>
          </w:tcPr>
          <w:p w14:paraId="535462A4"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48,7</w:t>
            </w:r>
          </w:p>
        </w:tc>
        <w:tc>
          <w:tcPr>
            <w:tcW w:w="603" w:type="pct"/>
            <w:shd w:val="clear" w:color="auto" w:fill="auto"/>
            <w:noWrap/>
            <w:vAlign w:val="center"/>
          </w:tcPr>
          <w:p w14:paraId="6758FCFE"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44,7</w:t>
            </w:r>
          </w:p>
        </w:tc>
        <w:tc>
          <w:tcPr>
            <w:tcW w:w="603" w:type="pct"/>
            <w:shd w:val="clear" w:color="auto" w:fill="auto"/>
            <w:noWrap/>
            <w:vAlign w:val="center"/>
          </w:tcPr>
          <w:p w14:paraId="5BEE7B82" w14:textId="77777777" w:rsidR="00113079" w:rsidRPr="008E2FD8" w:rsidRDefault="00113079" w:rsidP="00DE1D1F">
            <w:pPr>
              <w:jc w:val="center"/>
              <w:rPr>
                <w:color w:val="002060"/>
                <w:sz w:val="18"/>
                <w:lang w:val="sr-Cyrl-RS"/>
              </w:rPr>
            </w:pPr>
            <w:r w:rsidRPr="008E2FD8">
              <w:rPr>
                <w:rFonts w:cstheme="minorHAnsi"/>
                <w:color w:val="002060"/>
                <w:sz w:val="18"/>
                <w:szCs w:val="18"/>
                <w:lang w:val="sr-Cyrl-RS"/>
              </w:rPr>
              <w:t>42,4</w:t>
            </w:r>
          </w:p>
        </w:tc>
        <w:tc>
          <w:tcPr>
            <w:tcW w:w="603" w:type="pct"/>
            <w:shd w:val="clear" w:color="auto" w:fill="auto"/>
            <w:noWrap/>
            <w:vAlign w:val="center"/>
          </w:tcPr>
          <w:p w14:paraId="6704FEE5"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41,6</w:t>
            </w:r>
          </w:p>
        </w:tc>
      </w:tr>
      <w:tr w:rsidR="00113079" w:rsidRPr="008E2FD8" w14:paraId="5FE1261B" w14:textId="77777777" w:rsidTr="00113079">
        <w:trPr>
          <w:trHeight w:val="281"/>
          <w:jc w:val="center"/>
        </w:trPr>
        <w:tc>
          <w:tcPr>
            <w:tcW w:w="2590" w:type="pct"/>
            <w:tcBorders>
              <w:bottom w:val="single" w:sz="4" w:space="0" w:color="002060"/>
            </w:tcBorders>
            <w:noWrap/>
            <w:vAlign w:val="center"/>
            <w:hideMark/>
          </w:tcPr>
          <w:p w14:paraId="1179C0C5" w14:textId="77777777" w:rsidR="00113079" w:rsidRPr="008E2FD8" w:rsidRDefault="00113079" w:rsidP="00DE1D1F">
            <w:pPr>
              <w:ind w:left="113"/>
              <w:jc w:val="left"/>
              <w:rPr>
                <w:rFonts w:eastAsia="Calibri" w:cstheme="minorHAnsi"/>
                <w:bCs/>
                <w:color w:val="002060"/>
                <w:sz w:val="18"/>
                <w:szCs w:val="18"/>
                <w:lang w:val="sr-Cyrl-RS"/>
              </w:rPr>
            </w:pPr>
            <w:r w:rsidRPr="008E2FD8">
              <w:rPr>
                <w:rFonts w:eastAsia="Calibri" w:cstheme="minorHAnsi"/>
                <w:color w:val="002060"/>
                <w:sz w:val="18"/>
                <w:szCs w:val="18"/>
                <w:lang w:val="sr-Cyrl-RS"/>
              </w:rPr>
              <w:t>Бруто дуг сектора опште државе</w:t>
            </w:r>
          </w:p>
        </w:tc>
        <w:tc>
          <w:tcPr>
            <w:tcW w:w="602" w:type="pct"/>
            <w:tcBorders>
              <w:bottom w:val="single" w:sz="4" w:space="0" w:color="auto"/>
            </w:tcBorders>
            <w:shd w:val="clear" w:color="auto" w:fill="auto"/>
            <w:noWrap/>
            <w:vAlign w:val="center"/>
          </w:tcPr>
          <w:p w14:paraId="06E4F9F2"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60,0</w:t>
            </w:r>
          </w:p>
        </w:tc>
        <w:tc>
          <w:tcPr>
            <w:tcW w:w="603" w:type="pct"/>
            <w:tcBorders>
              <w:bottom w:val="single" w:sz="4" w:space="0" w:color="auto"/>
            </w:tcBorders>
            <w:shd w:val="clear" w:color="auto" w:fill="auto"/>
            <w:noWrap/>
            <w:vAlign w:val="center"/>
          </w:tcPr>
          <w:p w14:paraId="19556B1E"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59,3</w:t>
            </w:r>
          </w:p>
        </w:tc>
        <w:tc>
          <w:tcPr>
            <w:tcW w:w="603" w:type="pct"/>
            <w:tcBorders>
              <w:bottom w:val="single" w:sz="4" w:space="0" w:color="auto"/>
            </w:tcBorders>
            <w:shd w:val="clear" w:color="auto" w:fill="auto"/>
            <w:noWrap/>
            <w:vAlign w:val="center"/>
          </w:tcPr>
          <w:p w14:paraId="7CFB2C32"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57,6</w:t>
            </w:r>
          </w:p>
        </w:tc>
        <w:tc>
          <w:tcPr>
            <w:tcW w:w="603" w:type="pct"/>
            <w:tcBorders>
              <w:bottom w:val="single" w:sz="4" w:space="0" w:color="auto"/>
            </w:tcBorders>
            <w:shd w:val="clear" w:color="auto" w:fill="auto"/>
            <w:noWrap/>
            <w:vAlign w:val="center"/>
          </w:tcPr>
          <w:p w14:paraId="4ADB733F" w14:textId="77777777" w:rsidR="00113079" w:rsidRPr="008E2FD8" w:rsidRDefault="00113079" w:rsidP="00DE1D1F">
            <w:pPr>
              <w:jc w:val="center"/>
              <w:rPr>
                <w:rFonts w:eastAsia="Calibri" w:cstheme="minorHAnsi"/>
                <w:color w:val="002060"/>
                <w:sz w:val="18"/>
                <w:szCs w:val="18"/>
                <w:lang w:val="sr-Cyrl-RS"/>
              </w:rPr>
            </w:pPr>
            <w:r w:rsidRPr="008E2FD8">
              <w:rPr>
                <w:rFonts w:cstheme="minorHAnsi"/>
                <w:color w:val="002060"/>
                <w:sz w:val="18"/>
                <w:szCs w:val="18"/>
                <w:lang w:val="sr-Cyrl-RS"/>
              </w:rPr>
              <w:t>55,5</w:t>
            </w:r>
          </w:p>
        </w:tc>
      </w:tr>
      <w:bookmarkEnd w:id="51"/>
      <w:bookmarkEnd w:id="52"/>
    </w:tbl>
    <w:p w14:paraId="5B7FBB10" w14:textId="77777777" w:rsidR="00D505DF" w:rsidRPr="008E2FD8" w:rsidRDefault="00D505DF" w:rsidP="00D751D5">
      <w:pPr>
        <w:jc w:val="left"/>
        <w:rPr>
          <w:rFonts w:cstheme="minorHAnsi"/>
          <w:sz w:val="16"/>
          <w:szCs w:val="16"/>
          <w:lang w:val="sr-Cyrl-RS"/>
        </w:rPr>
      </w:pPr>
    </w:p>
    <w:p w14:paraId="4E384C2C" w14:textId="77777777" w:rsidR="00D505DF" w:rsidRPr="008E2FD8" w:rsidRDefault="00D505DF" w:rsidP="00D751D5">
      <w:pPr>
        <w:jc w:val="left"/>
        <w:rPr>
          <w:rFonts w:cstheme="minorHAnsi"/>
          <w:sz w:val="16"/>
          <w:szCs w:val="16"/>
          <w:lang w:val="sr-Cyrl-RS"/>
        </w:rPr>
        <w:sectPr w:rsidR="00D505DF" w:rsidRPr="008E2FD8" w:rsidSect="001A0255">
          <w:footerReference w:type="default" r:id="rId169"/>
          <w:pgSz w:w="12240" w:h="15840" w:code="1"/>
          <w:pgMar w:top="1440" w:right="1440" w:bottom="1440" w:left="1440" w:header="720" w:footer="720" w:gutter="0"/>
          <w:cols w:space="720"/>
          <w:docGrid w:linePitch="360"/>
        </w:sectPr>
      </w:pPr>
    </w:p>
    <w:p w14:paraId="60CF1B62" w14:textId="77777777" w:rsidR="00586723" w:rsidRDefault="00586723" w:rsidP="00586723">
      <w:pPr>
        <w:spacing w:after="0"/>
        <w:ind w:left="567"/>
        <w:rPr>
          <w:color w:val="2F5496" w:themeColor="accent1" w:themeShade="BF"/>
          <w:sz w:val="14"/>
          <w:szCs w:val="26"/>
        </w:rPr>
      </w:pPr>
    </w:p>
    <w:p w14:paraId="045A71EC" w14:textId="77777777" w:rsidR="00586723" w:rsidRPr="008A59FA" w:rsidRDefault="00586723" w:rsidP="00586723">
      <w:pPr>
        <w:keepNext/>
        <w:keepLines/>
        <w:spacing w:before="40"/>
        <w:outlineLvl w:val="0"/>
        <w:rPr>
          <w:rFonts w:eastAsiaTheme="majorEastAsia" w:cstheme="minorHAnsi"/>
          <w:color w:val="002060"/>
          <w:sz w:val="24"/>
          <w:szCs w:val="26"/>
          <w:lang w:val="sr-Cyrl-RS"/>
        </w:rPr>
      </w:pPr>
      <w:bookmarkStart w:id="53" w:name="_Toc72394589"/>
      <w:bookmarkStart w:id="54" w:name="_Toc73364977"/>
      <w:r w:rsidRPr="008A59FA">
        <w:rPr>
          <w:rFonts w:eastAsiaTheme="majorEastAsia" w:cstheme="minorHAnsi"/>
          <w:color w:val="002060"/>
          <w:sz w:val="24"/>
          <w:szCs w:val="26"/>
          <w:lang w:val="sr-Cyrl-RS"/>
        </w:rPr>
        <w:t>Прилог 2 – Фискални оквир опште државе у 2022. години</w:t>
      </w:r>
      <w:bookmarkEnd w:id="53"/>
      <w:bookmarkEnd w:id="54"/>
    </w:p>
    <w:tbl>
      <w:tblPr>
        <w:tblStyle w:val="ListTable1Light-Accent3"/>
        <w:tblW w:w="14458" w:type="dxa"/>
        <w:tblLook w:val="04A0" w:firstRow="1" w:lastRow="0" w:firstColumn="1" w:lastColumn="0" w:noHBand="0" w:noVBand="1"/>
      </w:tblPr>
      <w:tblGrid>
        <w:gridCol w:w="2875"/>
        <w:gridCol w:w="1028"/>
        <w:gridCol w:w="1028"/>
        <w:gridCol w:w="1042"/>
        <w:gridCol w:w="1007"/>
        <w:gridCol w:w="1076"/>
        <w:gridCol w:w="1022"/>
        <w:gridCol w:w="1076"/>
        <w:gridCol w:w="1076"/>
        <w:gridCol w:w="1076"/>
        <w:gridCol w:w="1076"/>
        <w:gridCol w:w="1076"/>
      </w:tblGrid>
      <w:tr w:rsidR="00586723" w:rsidRPr="008A59FA" w14:paraId="2D3B34F4" w14:textId="77777777" w:rsidTr="00282E6F">
        <w:trPr>
          <w:cnfStyle w:val="100000000000" w:firstRow="1" w:lastRow="0" w:firstColumn="0" w:lastColumn="0" w:oddVBand="0" w:evenVBand="0" w:oddHBand="0" w:evenHBand="0" w:firstRowFirstColumn="0" w:firstRowLastColumn="0" w:lastRowFirstColumn="0" w:lastRowLastColumn="0"/>
          <w:trHeight w:val="687"/>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bottom w:val="single" w:sz="4" w:space="0" w:color="auto"/>
            </w:tcBorders>
            <w:noWrap/>
            <w:hideMark/>
          </w:tcPr>
          <w:p w14:paraId="1CD10CC1" w14:textId="77777777" w:rsidR="00586723" w:rsidRPr="008A59FA" w:rsidRDefault="00586723" w:rsidP="00586723">
            <w:pPr>
              <w:tabs>
                <w:tab w:val="center" w:pos="4680"/>
                <w:tab w:val="right" w:pos="9360"/>
              </w:tabs>
              <w:rPr>
                <w:rFonts w:ascii="Calibri" w:hAnsi="Calibri" w:cs="Calibri"/>
                <w:color w:val="002060"/>
                <w:sz w:val="14"/>
                <w:szCs w:val="14"/>
                <w:lang w:val="sr-Cyrl-RS"/>
              </w:rPr>
            </w:pPr>
            <w:r w:rsidRPr="008A59FA">
              <w:rPr>
                <w:rFonts w:ascii="Calibri" w:hAnsi="Calibri" w:cs="Calibri"/>
                <w:color w:val="002060"/>
                <w:sz w:val="14"/>
                <w:szCs w:val="14"/>
                <w:lang w:val="sr-Cyrl-RS"/>
              </w:rPr>
              <w:t> </w:t>
            </w:r>
          </w:p>
        </w:tc>
        <w:tc>
          <w:tcPr>
            <w:tcW w:w="1028" w:type="dxa"/>
            <w:tcBorders>
              <w:top w:val="single" w:sz="4" w:space="0" w:color="auto"/>
              <w:bottom w:val="single" w:sz="4" w:space="0" w:color="auto"/>
            </w:tcBorders>
            <w:vAlign w:val="center"/>
            <w:hideMark/>
          </w:tcPr>
          <w:p w14:paraId="1AE30D6D"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en-GB"/>
              </w:rPr>
            </w:pPr>
            <w:r w:rsidRPr="00282E6F">
              <w:rPr>
                <w:rFonts w:ascii="Calibri" w:hAnsi="Calibri" w:cs="Calibri"/>
                <w:b w:val="0"/>
                <w:color w:val="002060"/>
                <w:sz w:val="14"/>
                <w:szCs w:val="14"/>
                <w:lang w:val="sr-Cyrl-RS"/>
              </w:rPr>
              <w:t>Општа држава</w:t>
            </w:r>
            <w:r w:rsidRPr="00282E6F">
              <w:rPr>
                <w:rFonts w:ascii="Calibri" w:hAnsi="Calibri" w:cs="Calibri"/>
                <w:b w:val="0"/>
                <w:color w:val="002060"/>
                <w:sz w:val="14"/>
                <w:szCs w:val="14"/>
                <w:lang w:val="en-GB"/>
              </w:rPr>
              <w:t>*</w:t>
            </w:r>
          </w:p>
        </w:tc>
        <w:tc>
          <w:tcPr>
            <w:tcW w:w="1028" w:type="dxa"/>
            <w:tcBorders>
              <w:top w:val="single" w:sz="4" w:space="0" w:color="auto"/>
              <w:bottom w:val="single" w:sz="4" w:space="0" w:color="auto"/>
            </w:tcBorders>
            <w:vAlign w:val="center"/>
            <w:hideMark/>
          </w:tcPr>
          <w:p w14:paraId="1386C2C0"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Буџет Републике</w:t>
            </w:r>
          </w:p>
        </w:tc>
        <w:tc>
          <w:tcPr>
            <w:tcW w:w="1042" w:type="dxa"/>
            <w:tcBorders>
              <w:top w:val="single" w:sz="4" w:space="0" w:color="auto"/>
              <w:bottom w:val="single" w:sz="4" w:space="0" w:color="auto"/>
            </w:tcBorders>
            <w:vAlign w:val="center"/>
            <w:hideMark/>
          </w:tcPr>
          <w:p w14:paraId="33EA0369"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Јединице локалне самоуправе</w:t>
            </w:r>
          </w:p>
        </w:tc>
        <w:tc>
          <w:tcPr>
            <w:tcW w:w="1007" w:type="dxa"/>
            <w:tcBorders>
              <w:top w:val="single" w:sz="4" w:space="0" w:color="auto"/>
              <w:bottom w:val="single" w:sz="4" w:space="0" w:color="auto"/>
            </w:tcBorders>
            <w:vAlign w:val="center"/>
            <w:hideMark/>
          </w:tcPr>
          <w:p w14:paraId="3391ADCF"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Градови и општине</w:t>
            </w:r>
          </w:p>
        </w:tc>
        <w:tc>
          <w:tcPr>
            <w:tcW w:w="1076" w:type="dxa"/>
            <w:tcBorders>
              <w:top w:val="single" w:sz="4" w:space="0" w:color="auto"/>
              <w:bottom w:val="single" w:sz="4" w:space="0" w:color="auto"/>
            </w:tcBorders>
            <w:noWrap/>
            <w:vAlign w:val="center"/>
            <w:hideMark/>
          </w:tcPr>
          <w:p w14:paraId="76C5AFCB"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AП Војводина</w:t>
            </w:r>
          </w:p>
        </w:tc>
        <w:tc>
          <w:tcPr>
            <w:tcW w:w="1022" w:type="dxa"/>
            <w:tcBorders>
              <w:top w:val="single" w:sz="4" w:space="0" w:color="auto"/>
              <w:bottom w:val="single" w:sz="4" w:space="0" w:color="auto"/>
            </w:tcBorders>
            <w:vAlign w:val="center"/>
            <w:hideMark/>
          </w:tcPr>
          <w:p w14:paraId="18F5F789" w14:textId="77777777" w:rsidR="00F670C1" w:rsidRPr="002B7CC3"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3"/>
                <w:szCs w:val="13"/>
                <w:lang w:val="sr-Cyrl-RS"/>
              </w:rPr>
            </w:pPr>
            <w:r w:rsidRPr="00282E6F">
              <w:rPr>
                <w:rFonts w:ascii="Calibri" w:hAnsi="Calibri" w:cs="Calibri"/>
                <w:b w:val="0"/>
                <w:color w:val="002060"/>
                <w:sz w:val="14"/>
                <w:szCs w:val="14"/>
                <w:lang w:val="sr-Cyrl-RS"/>
              </w:rPr>
              <w:t xml:space="preserve">ЈП „Путеви Србије” и </w:t>
            </w:r>
            <w:r w:rsidR="00F670C1" w:rsidRPr="002B7CC3">
              <w:rPr>
                <w:rFonts w:ascii="Calibri" w:hAnsi="Calibri" w:cs="Calibri"/>
                <w:b w:val="0"/>
                <w:color w:val="002060"/>
                <w:sz w:val="13"/>
                <w:szCs w:val="13"/>
                <w:lang w:val="sr-Cyrl-RS"/>
              </w:rPr>
              <w:t>„</w:t>
            </w:r>
            <w:r w:rsidRPr="002B7CC3">
              <w:rPr>
                <w:rFonts w:ascii="Calibri" w:hAnsi="Calibri" w:cs="Calibri"/>
                <w:b w:val="0"/>
                <w:color w:val="002060"/>
                <w:sz w:val="13"/>
                <w:szCs w:val="13"/>
                <w:lang w:val="sr-Cyrl-RS"/>
              </w:rPr>
              <w:t xml:space="preserve">Коридори </w:t>
            </w:r>
          </w:p>
          <w:p w14:paraId="2F25EEC1"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B7CC3">
              <w:rPr>
                <w:rFonts w:ascii="Calibri" w:hAnsi="Calibri" w:cs="Calibri"/>
                <w:b w:val="0"/>
                <w:color w:val="002060"/>
                <w:sz w:val="13"/>
                <w:szCs w:val="13"/>
                <w:lang w:val="sr-Cyrl-RS"/>
              </w:rPr>
              <w:t>Србије</w:t>
            </w:r>
            <w:r w:rsidR="00F670C1" w:rsidRPr="002B7CC3">
              <w:rPr>
                <w:rFonts w:ascii="Calibri" w:hAnsi="Calibri" w:cs="Calibri"/>
                <w:b w:val="0"/>
                <w:color w:val="002060"/>
                <w:sz w:val="13"/>
                <w:szCs w:val="13"/>
                <w:lang w:val="sr-Cyrl-RS"/>
              </w:rPr>
              <w:t>”</w:t>
            </w:r>
            <w:r w:rsidRPr="002B7CC3">
              <w:rPr>
                <w:rFonts w:ascii="Calibri" w:hAnsi="Calibri" w:cs="Calibri"/>
                <w:b w:val="0"/>
                <w:color w:val="002060"/>
                <w:sz w:val="13"/>
                <w:szCs w:val="13"/>
                <w:lang w:val="sr-Cyrl-RS"/>
              </w:rPr>
              <w:t xml:space="preserve"> д.о.о.</w:t>
            </w:r>
          </w:p>
        </w:tc>
        <w:tc>
          <w:tcPr>
            <w:tcW w:w="1076" w:type="dxa"/>
            <w:tcBorders>
              <w:top w:val="single" w:sz="4" w:space="0" w:color="auto"/>
              <w:bottom w:val="single" w:sz="4" w:space="0" w:color="auto"/>
            </w:tcBorders>
            <w:noWrap/>
            <w:vAlign w:val="center"/>
            <w:hideMark/>
          </w:tcPr>
          <w:p w14:paraId="5D452D7D"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ООСО</w:t>
            </w:r>
          </w:p>
        </w:tc>
        <w:tc>
          <w:tcPr>
            <w:tcW w:w="1076" w:type="dxa"/>
            <w:tcBorders>
              <w:top w:val="single" w:sz="4" w:space="0" w:color="auto"/>
              <w:bottom w:val="single" w:sz="4" w:space="0" w:color="auto"/>
            </w:tcBorders>
            <w:noWrap/>
            <w:vAlign w:val="center"/>
            <w:hideMark/>
          </w:tcPr>
          <w:p w14:paraId="41EF0A46"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ПИО</w:t>
            </w:r>
          </w:p>
        </w:tc>
        <w:tc>
          <w:tcPr>
            <w:tcW w:w="1076" w:type="dxa"/>
            <w:tcBorders>
              <w:top w:val="single" w:sz="4" w:space="0" w:color="auto"/>
              <w:bottom w:val="single" w:sz="4" w:space="0" w:color="auto"/>
            </w:tcBorders>
            <w:noWrap/>
            <w:vAlign w:val="center"/>
            <w:hideMark/>
          </w:tcPr>
          <w:p w14:paraId="0A69EE8F"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РФЗО</w:t>
            </w:r>
          </w:p>
        </w:tc>
        <w:tc>
          <w:tcPr>
            <w:tcW w:w="1076" w:type="dxa"/>
            <w:tcBorders>
              <w:top w:val="single" w:sz="4" w:space="0" w:color="auto"/>
              <w:bottom w:val="single" w:sz="4" w:space="0" w:color="auto"/>
            </w:tcBorders>
            <w:noWrap/>
            <w:vAlign w:val="center"/>
            <w:hideMark/>
          </w:tcPr>
          <w:p w14:paraId="1CF1903C"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НСЗ</w:t>
            </w:r>
          </w:p>
        </w:tc>
        <w:tc>
          <w:tcPr>
            <w:tcW w:w="1076" w:type="dxa"/>
            <w:tcBorders>
              <w:top w:val="single" w:sz="4" w:space="0" w:color="auto"/>
              <w:bottom w:val="single" w:sz="4" w:space="0" w:color="auto"/>
            </w:tcBorders>
            <w:noWrap/>
            <w:vAlign w:val="center"/>
            <w:hideMark/>
          </w:tcPr>
          <w:p w14:paraId="7A370EAE" w14:textId="77777777" w:rsidR="00586723" w:rsidRPr="00282E6F" w:rsidRDefault="00586723" w:rsidP="00282E6F">
            <w:pPr>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СОВО</w:t>
            </w:r>
          </w:p>
        </w:tc>
      </w:tr>
      <w:tr w:rsidR="00586723" w:rsidRPr="008A59FA" w14:paraId="7CD47650" w14:textId="77777777" w:rsidTr="00586723">
        <w:trPr>
          <w:cnfStyle w:val="000000100000" w:firstRow="0" w:lastRow="0" w:firstColumn="0" w:lastColumn="0" w:oddVBand="0" w:evenVBand="0" w:oddHBand="1" w:evenHBand="0" w:firstRowFirstColumn="0" w:firstRowLastColumn="0" w:lastRowFirstColumn="0" w:lastRowLastColumn="0"/>
          <w:trHeight w:val="222"/>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bottom w:val="single" w:sz="4" w:space="0" w:color="auto"/>
            </w:tcBorders>
            <w:shd w:val="clear" w:color="auto" w:fill="auto"/>
            <w:noWrap/>
            <w:hideMark/>
          </w:tcPr>
          <w:p w14:paraId="536B4556" w14:textId="77777777" w:rsidR="00586723" w:rsidRPr="008A59FA" w:rsidRDefault="00586723" w:rsidP="00586723">
            <w:pPr>
              <w:tabs>
                <w:tab w:val="center" w:pos="4680"/>
                <w:tab w:val="right" w:pos="9360"/>
              </w:tabs>
              <w:rPr>
                <w:rFonts w:ascii="Calibri" w:hAnsi="Calibri" w:cs="Calibri"/>
                <w:color w:val="002060"/>
                <w:sz w:val="14"/>
                <w:szCs w:val="14"/>
                <w:lang w:val="sr-Cyrl-RS"/>
              </w:rPr>
            </w:pPr>
            <w:r w:rsidRPr="008A59FA">
              <w:rPr>
                <w:rFonts w:ascii="Calibri" w:hAnsi="Calibri" w:cs="Calibri"/>
                <w:color w:val="002060"/>
                <w:sz w:val="14"/>
                <w:szCs w:val="14"/>
                <w:lang w:val="sr-Cyrl-RS"/>
              </w:rPr>
              <w:t> </w:t>
            </w:r>
          </w:p>
        </w:tc>
        <w:tc>
          <w:tcPr>
            <w:tcW w:w="1028" w:type="dxa"/>
            <w:tcBorders>
              <w:top w:val="single" w:sz="4" w:space="0" w:color="auto"/>
              <w:bottom w:val="single" w:sz="4" w:space="0" w:color="auto"/>
            </w:tcBorders>
            <w:shd w:val="clear" w:color="auto" w:fill="auto"/>
            <w:hideMark/>
          </w:tcPr>
          <w:p w14:paraId="554FE622"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1=2+3+6+7</w:t>
            </w:r>
          </w:p>
        </w:tc>
        <w:tc>
          <w:tcPr>
            <w:tcW w:w="1028" w:type="dxa"/>
            <w:tcBorders>
              <w:top w:val="single" w:sz="4" w:space="0" w:color="auto"/>
              <w:bottom w:val="single" w:sz="4" w:space="0" w:color="auto"/>
            </w:tcBorders>
            <w:shd w:val="clear" w:color="auto" w:fill="auto"/>
            <w:hideMark/>
          </w:tcPr>
          <w:p w14:paraId="753C83C9"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2</w:t>
            </w:r>
          </w:p>
        </w:tc>
        <w:tc>
          <w:tcPr>
            <w:tcW w:w="1042" w:type="dxa"/>
            <w:tcBorders>
              <w:top w:val="single" w:sz="4" w:space="0" w:color="auto"/>
              <w:bottom w:val="single" w:sz="4" w:space="0" w:color="auto"/>
            </w:tcBorders>
            <w:shd w:val="clear" w:color="auto" w:fill="auto"/>
            <w:hideMark/>
          </w:tcPr>
          <w:p w14:paraId="2D98A344"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3=4+5</w:t>
            </w:r>
          </w:p>
        </w:tc>
        <w:tc>
          <w:tcPr>
            <w:tcW w:w="1007" w:type="dxa"/>
            <w:tcBorders>
              <w:top w:val="single" w:sz="4" w:space="0" w:color="auto"/>
              <w:bottom w:val="single" w:sz="4" w:space="0" w:color="auto"/>
            </w:tcBorders>
            <w:shd w:val="clear" w:color="auto" w:fill="auto"/>
            <w:hideMark/>
          </w:tcPr>
          <w:p w14:paraId="53BC3B3F"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4</w:t>
            </w:r>
          </w:p>
        </w:tc>
        <w:tc>
          <w:tcPr>
            <w:tcW w:w="1076" w:type="dxa"/>
            <w:tcBorders>
              <w:top w:val="single" w:sz="4" w:space="0" w:color="auto"/>
              <w:bottom w:val="single" w:sz="4" w:space="0" w:color="auto"/>
            </w:tcBorders>
            <w:shd w:val="clear" w:color="auto" w:fill="auto"/>
            <w:noWrap/>
            <w:hideMark/>
          </w:tcPr>
          <w:p w14:paraId="7739CE07"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5</w:t>
            </w:r>
          </w:p>
        </w:tc>
        <w:tc>
          <w:tcPr>
            <w:tcW w:w="1022" w:type="dxa"/>
            <w:tcBorders>
              <w:top w:val="single" w:sz="4" w:space="0" w:color="auto"/>
              <w:bottom w:val="single" w:sz="4" w:space="0" w:color="auto"/>
            </w:tcBorders>
            <w:shd w:val="clear" w:color="auto" w:fill="auto"/>
            <w:noWrap/>
            <w:hideMark/>
          </w:tcPr>
          <w:p w14:paraId="7FA1E331"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6</w:t>
            </w:r>
          </w:p>
        </w:tc>
        <w:tc>
          <w:tcPr>
            <w:tcW w:w="1076" w:type="dxa"/>
            <w:tcBorders>
              <w:top w:val="single" w:sz="4" w:space="0" w:color="auto"/>
              <w:bottom w:val="single" w:sz="4" w:space="0" w:color="auto"/>
            </w:tcBorders>
            <w:shd w:val="clear" w:color="auto" w:fill="auto"/>
            <w:noWrap/>
            <w:hideMark/>
          </w:tcPr>
          <w:p w14:paraId="0095CA5D"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7=8+9+10+11</w:t>
            </w:r>
          </w:p>
        </w:tc>
        <w:tc>
          <w:tcPr>
            <w:tcW w:w="1076" w:type="dxa"/>
            <w:tcBorders>
              <w:top w:val="single" w:sz="4" w:space="0" w:color="auto"/>
              <w:bottom w:val="single" w:sz="4" w:space="0" w:color="auto"/>
            </w:tcBorders>
            <w:shd w:val="clear" w:color="auto" w:fill="auto"/>
            <w:noWrap/>
            <w:hideMark/>
          </w:tcPr>
          <w:p w14:paraId="0D80F322"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8</w:t>
            </w:r>
          </w:p>
        </w:tc>
        <w:tc>
          <w:tcPr>
            <w:tcW w:w="1076" w:type="dxa"/>
            <w:tcBorders>
              <w:top w:val="single" w:sz="4" w:space="0" w:color="auto"/>
              <w:bottom w:val="single" w:sz="4" w:space="0" w:color="auto"/>
            </w:tcBorders>
            <w:shd w:val="clear" w:color="auto" w:fill="auto"/>
            <w:noWrap/>
            <w:hideMark/>
          </w:tcPr>
          <w:p w14:paraId="26FC0C50" w14:textId="77777777" w:rsidR="00586723" w:rsidRPr="008A59FA" w:rsidRDefault="00586723" w:rsidP="00586723">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9</w:t>
            </w:r>
          </w:p>
        </w:tc>
        <w:tc>
          <w:tcPr>
            <w:tcW w:w="1076" w:type="dxa"/>
            <w:tcBorders>
              <w:top w:val="single" w:sz="4" w:space="0" w:color="auto"/>
              <w:bottom w:val="single" w:sz="4" w:space="0" w:color="auto"/>
            </w:tcBorders>
            <w:shd w:val="clear" w:color="auto" w:fill="auto"/>
            <w:noWrap/>
            <w:hideMark/>
          </w:tcPr>
          <w:p w14:paraId="2E711771" w14:textId="77777777" w:rsidR="00586723" w:rsidRPr="008A59FA" w:rsidRDefault="00586723" w:rsidP="0058672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10</w:t>
            </w:r>
          </w:p>
        </w:tc>
        <w:tc>
          <w:tcPr>
            <w:tcW w:w="1076" w:type="dxa"/>
            <w:tcBorders>
              <w:top w:val="single" w:sz="4" w:space="0" w:color="auto"/>
              <w:bottom w:val="single" w:sz="4" w:space="0" w:color="auto"/>
            </w:tcBorders>
            <w:shd w:val="clear" w:color="auto" w:fill="auto"/>
            <w:noWrap/>
            <w:hideMark/>
          </w:tcPr>
          <w:p w14:paraId="439D18FD" w14:textId="77777777" w:rsidR="00586723" w:rsidRPr="008A59FA" w:rsidRDefault="00586723" w:rsidP="00586723">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8A59FA">
              <w:rPr>
                <w:rFonts w:ascii="Calibri" w:hAnsi="Calibri" w:cs="Calibri"/>
                <w:color w:val="002060"/>
                <w:sz w:val="14"/>
                <w:szCs w:val="14"/>
                <w:lang w:val="sr-Cyrl-RS"/>
              </w:rPr>
              <w:t>11</w:t>
            </w:r>
          </w:p>
        </w:tc>
      </w:tr>
      <w:tr w:rsidR="00586723" w:rsidRPr="008A59FA" w14:paraId="43CCAD30"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tcBorders>
              <w:top w:val="single" w:sz="4" w:space="0" w:color="auto"/>
            </w:tcBorders>
            <w:shd w:val="clear" w:color="auto" w:fill="DBDBDB" w:themeFill="accent3" w:themeFillTint="66"/>
            <w:noWrap/>
            <w:vAlign w:val="center"/>
            <w:hideMark/>
          </w:tcPr>
          <w:p w14:paraId="7DCBDFD5"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Јавни приходи</w:t>
            </w:r>
          </w:p>
        </w:tc>
        <w:tc>
          <w:tcPr>
            <w:tcW w:w="1028" w:type="dxa"/>
            <w:tcBorders>
              <w:top w:val="single" w:sz="4" w:space="0" w:color="auto"/>
            </w:tcBorders>
            <w:shd w:val="clear" w:color="auto" w:fill="DBDBDB" w:themeFill="accent3" w:themeFillTint="66"/>
            <w:noWrap/>
            <w:vAlign w:val="center"/>
            <w:hideMark/>
          </w:tcPr>
          <w:p w14:paraId="1156E97D"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2.</w:t>
            </w:r>
            <w:r w:rsidR="00586723" w:rsidRPr="000418DA">
              <w:rPr>
                <w:rFonts w:ascii="Calibri" w:hAnsi="Calibri" w:cs="Calibri"/>
                <w:color w:val="002060"/>
                <w:sz w:val="14"/>
                <w:szCs w:val="14"/>
                <w:lang w:val="sr-Cyrl-RS"/>
              </w:rPr>
              <w:t>649</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4</w:t>
            </w:r>
          </w:p>
        </w:tc>
        <w:tc>
          <w:tcPr>
            <w:tcW w:w="1028" w:type="dxa"/>
            <w:tcBorders>
              <w:top w:val="single" w:sz="4" w:space="0" w:color="auto"/>
            </w:tcBorders>
            <w:shd w:val="clear" w:color="auto" w:fill="DBDBDB" w:themeFill="accent3" w:themeFillTint="66"/>
            <w:noWrap/>
            <w:vAlign w:val="center"/>
            <w:hideMark/>
          </w:tcPr>
          <w:p w14:paraId="4E4824AB"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w:t>
            </w:r>
            <w:r w:rsidR="00586723" w:rsidRPr="000418DA">
              <w:rPr>
                <w:rFonts w:ascii="Calibri" w:hAnsi="Calibri" w:cs="Calibri"/>
                <w:color w:val="002060"/>
                <w:sz w:val="14"/>
                <w:szCs w:val="14"/>
                <w:lang w:val="sr-Cyrl-RS"/>
              </w:rPr>
              <w:t>389</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2</w:t>
            </w:r>
          </w:p>
        </w:tc>
        <w:tc>
          <w:tcPr>
            <w:tcW w:w="1042" w:type="dxa"/>
            <w:tcBorders>
              <w:top w:val="single" w:sz="4" w:space="0" w:color="auto"/>
            </w:tcBorders>
            <w:shd w:val="clear" w:color="auto" w:fill="DBDBDB" w:themeFill="accent3" w:themeFillTint="66"/>
            <w:noWrap/>
            <w:vAlign w:val="center"/>
            <w:hideMark/>
          </w:tcPr>
          <w:p w14:paraId="40B3A02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07" w:type="dxa"/>
            <w:tcBorders>
              <w:top w:val="single" w:sz="4" w:space="0" w:color="auto"/>
            </w:tcBorders>
            <w:shd w:val="clear" w:color="auto" w:fill="DBDBDB" w:themeFill="accent3" w:themeFillTint="66"/>
            <w:noWrap/>
            <w:vAlign w:val="center"/>
            <w:hideMark/>
          </w:tcPr>
          <w:p w14:paraId="4614689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single" w:sz="4" w:space="0" w:color="auto"/>
            </w:tcBorders>
            <w:shd w:val="clear" w:color="auto" w:fill="DBDBDB" w:themeFill="accent3" w:themeFillTint="66"/>
            <w:noWrap/>
            <w:vAlign w:val="center"/>
            <w:hideMark/>
          </w:tcPr>
          <w:p w14:paraId="17FE247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single" w:sz="4" w:space="0" w:color="auto"/>
            </w:tcBorders>
            <w:shd w:val="clear" w:color="auto" w:fill="DBDBDB" w:themeFill="accent3" w:themeFillTint="66"/>
            <w:noWrap/>
            <w:vAlign w:val="center"/>
            <w:hideMark/>
          </w:tcPr>
          <w:p w14:paraId="0BC952A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single" w:sz="4" w:space="0" w:color="auto"/>
            </w:tcBorders>
            <w:shd w:val="clear" w:color="auto" w:fill="DBDBDB" w:themeFill="accent3" w:themeFillTint="66"/>
            <w:noWrap/>
            <w:vAlign w:val="center"/>
            <w:hideMark/>
          </w:tcPr>
          <w:p w14:paraId="45759D3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895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single" w:sz="4" w:space="0" w:color="auto"/>
            </w:tcBorders>
            <w:shd w:val="clear" w:color="auto" w:fill="DBDBDB" w:themeFill="accent3" w:themeFillTint="66"/>
            <w:noWrap/>
            <w:vAlign w:val="center"/>
            <w:hideMark/>
          </w:tcPr>
          <w:p w14:paraId="4C1C8C0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single" w:sz="4" w:space="0" w:color="auto"/>
            </w:tcBorders>
            <w:shd w:val="clear" w:color="auto" w:fill="DBDBDB" w:themeFill="accent3" w:themeFillTint="66"/>
            <w:noWrap/>
            <w:vAlign w:val="center"/>
            <w:hideMark/>
          </w:tcPr>
          <w:p w14:paraId="7E342AC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single" w:sz="4" w:space="0" w:color="auto"/>
            </w:tcBorders>
            <w:shd w:val="clear" w:color="auto" w:fill="DBDBDB" w:themeFill="accent3" w:themeFillTint="66"/>
            <w:noWrap/>
            <w:vAlign w:val="center"/>
            <w:hideMark/>
          </w:tcPr>
          <w:p w14:paraId="325AE0E7"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single" w:sz="4" w:space="0" w:color="auto"/>
            </w:tcBorders>
            <w:shd w:val="clear" w:color="auto" w:fill="DBDBDB" w:themeFill="accent3" w:themeFillTint="66"/>
            <w:noWrap/>
            <w:vAlign w:val="center"/>
            <w:hideMark/>
          </w:tcPr>
          <w:p w14:paraId="6372BD15"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r>
      <w:tr w:rsidR="00586723" w:rsidRPr="008A59FA" w14:paraId="5D3CD776"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1E1CED1F"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Текући приходи</w:t>
            </w:r>
          </w:p>
        </w:tc>
        <w:tc>
          <w:tcPr>
            <w:tcW w:w="1028" w:type="dxa"/>
            <w:tcBorders>
              <w:top w:val="nil"/>
            </w:tcBorders>
            <w:shd w:val="clear" w:color="000000" w:fill="FFFFFF"/>
            <w:noWrap/>
            <w:vAlign w:val="center"/>
            <w:hideMark/>
          </w:tcPr>
          <w:p w14:paraId="56C17A34" w14:textId="77777777" w:rsidR="00586723" w:rsidRPr="000418DA" w:rsidRDefault="00282E6F"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2.</w:t>
            </w:r>
            <w:r w:rsidR="00586723" w:rsidRPr="000418DA">
              <w:rPr>
                <w:rFonts w:ascii="Calibri" w:hAnsi="Calibri" w:cs="Calibri"/>
                <w:color w:val="002060"/>
                <w:sz w:val="14"/>
                <w:szCs w:val="14"/>
                <w:lang w:val="sr-Cyrl-RS"/>
              </w:rPr>
              <w:t>630</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9</w:t>
            </w:r>
          </w:p>
        </w:tc>
        <w:tc>
          <w:tcPr>
            <w:tcW w:w="1028" w:type="dxa"/>
            <w:tcBorders>
              <w:top w:val="nil"/>
            </w:tcBorders>
            <w:shd w:val="clear" w:color="000000" w:fill="FFFFFF"/>
            <w:noWrap/>
            <w:vAlign w:val="center"/>
            <w:hideMark/>
          </w:tcPr>
          <w:p w14:paraId="577A02B8" w14:textId="77777777" w:rsidR="00586723" w:rsidRPr="000418DA" w:rsidRDefault="00282E6F"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w:t>
            </w:r>
            <w:r w:rsidR="00586723" w:rsidRPr="000418DA">
              <w:rPr>
                <w:rFonts w:ascii="Calibri" w:hAnsi="Calibri" w:cs="Calibri"/>
                <w:color w:val="002060"/>
                <w:sz w:val="14"/>
                <w:szCs w:val="14"/>
                <w:lang w:val="sr-Cyrl-RS"/>
              </w:rPr>
              <w:t>372</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2</w:t>
            </w:r>
          </w:p>
        </w:tc>
        <w:tc>
          <w:tcPr>
            <w:tcW w:w="1042" w:type="dxa"/>
            <w:tcBorders>
              <w:top w:val="nil"/>
            </w:tcBorders>
            <w:shd w:val="clear" w:color="000000" w:fill="FFFFFF"/>
            <w:noWrap/>
            <w:vAlign w:val="center"/>
            <w:hideMark/>
          </w:tcPr>
          <w:p w14:paraId="7EC720E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331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07" w:type="dxa"/>
            <w:tcBorders>
              <w:top w:val="nil"/>
            </w:tcBorders>
            <w:shd w:val="clear" w:color="000000" w:fill="FFFFFF"/>
            <w:noWrap/>
            <w:vAlign w:val="center"/>
            <w:hideMark/>
          </w:tcPr>
          <w:p w14:paraId="3846833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042445C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7E95754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46C0EF0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894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729F797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6B04EAA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36AC04A1"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003A723A"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r>
      <w:tr w:rsidR="00586723" w:rsidRPr="008A59FA" w14:paraId="742E57F1"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222B326"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Порески приходи</w:t>
            </w:r>
          </w:p>
        </w:tc>
        <w:tc>
          <w:tcPr>
            <w:tcW w:w="1028" w:type="dxa"/>
            <w:tcBorders>
              <w:top w:val="nil"/>
            </w:tcBorders>
            <w:shd w:val="clear" w:color="000000" w:fill="FFFFFF"/>
            <w:noWrap/>
            <w:vAlign w:val="center"/>
            <w:hideMark/>
          </w:tcPr>
          <w:p w14:paraId="083F5C2D"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2</w:t>
            </w:r>
            <w:r>
              <w:rPr>
                <w:rFonts w:ascii="Calibri" w:hAnsi="Calibri" w:cs="Calibri"/>
                <w:color w:val="002060"/>
                <w:sz w:val="14"/>
                <w:szCs w:val="14"/>
                <w:lang w:val="sr-Latn-RS"/>
              </w:rPr>
              <w:t>.</w:t>
            </w:r>
            <w:r w:rsidR="00586723" w:rsidRPr="000418DA">
              <w:rPr>
                <w:rFonts w:ascii="Calibri" w:hAnsi="Calibri" w:cs="Calibri"/>
                <w:color w:val="002060"/>
                <w:sz w:val="14"/>
                <w:szCs w:val="14"/>
                <w:lang w:val="sr-Cyrl-RS"/>
              </w:rPr>
              <w:t>387</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6</w:t>
            </w:r>
          </w:p>
        </w:tc>
        <w:tc>
          <w:tcPr>
            <w:tcW w:w="1028" w:type="dxa"/>
            <w:tcBorders>
              <w:top w:val="nil"/>
            </w:tcBorders>
            <w:shd w:val="clear" w:color="000000" w:fill="FFFFFF"/>
            <w:noWrap/>
            <w:vAlign w:val="center"/>
            <w:hideMark/>
          </w:tcPr>
          <w:p w14:paraId="01BFD3A4"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w:t>
            </w:r>
            <w:r w:rsidR="00586723" w:rsidRPr="000418DA">
              <w:rPr>
                <w:rFonts w:ascii="Calibri" w:hAnsi="Calibri" w:cs="Calibri"/>
                <w:color w:val="002060"/>
                <w:sz w:val="14"/>
                <w:szCs w:val="14"/>
                <w:lang w:val="sr-Cyrl-RS"/>
              </w:rPr>
              <w:t>248</w:t>
            </w:r>
            <w:r>
              <w:rPr>
                <w:rFonts w:ascii="Calibri" w:hAnsi="Calibri" w:cs="Calibri"/>
                <w:color w:val="002060"/>
                <w:sz w:val="14"/>
                <w:szCs w:val="14"/>
                <w:lang w:val="sr-Cyrl-RS"/>
              </w:rPr>
              <w:t>,</w:t>
            </w:r>
            <w:r w:rsidR="00586723" w:rsidRPr="000418DA">
              <w:rPr>
                <w:rFonts w:ascii="Calibri" w:hAnsi="Calibri" w:cs="Calibri"/>
                <w:color w:val="002060"/>
                <w:sz w:val="14"/>
                <w:szCs w:val="14"/>
                <w:lang w:val="sr-Cyrl-RS"/>
              </w:rPr>
              <w:t>4</w:t>
            </w:r>
          </w:p>
        </w:tc>
        <w:tc>
          <w:tcPr>
            <w:tcW w:w="1042" w:type="dxa"/>
            <w:tcBorders>
              <w:top w:val="nil"/>
            </w:tcBorders>
            <w:shd w:val="clear" w:color="000000" w:fill="FFFFFF"/>
            <w:noWrap/>
            <w:vAlign w:val="center"/>
            <w:hideMark/>
          </w:tcPr>
          <w:p w14:paraId="3726E1E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256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07" w:type="dxa"/>
            <w:tcBorders>
              <w:top w:val="nil"/>
            </w:tcBorders>
            <w:shd w:val="clear" w:color="000000" w:fill="FFFFFF"/>
            <w:noWrap/>
            <w:vAlign w:val="center"/>
            <w:hideMark/>
          </w:tcPr>
          <w:p w14:paraId="69B559B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238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6D40135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22" w:type="dxa"/>
            <w:tcBorders>
              <w:top w:val="nil"/>
            </w:tcBorders>
            <w:shd w:val="clear" w:color="000000" w:fill="FFFFFF"/>
            <w:noWrap/>
            <w:vAlign w:val="center"/>
          </w:tcPr>
          <w:p w14:paraId="4E335B4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341AF1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29E7390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2683D7C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2AF9A80A"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46B04AB2"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r>
      <w:tr w:rsidR="00586723" w:rsidRPr="008A59FA" w14:paraId="2B7202E3"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0F0AB1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Порез на доходак </w:t>
            </w:r>
          </w:p>
        </w:tc>
        <w:tc>
          <w:tcPr>
            <w:tcW w:w="1028" w:type="dxa"/>
            <w:tcBorders>
              <w:top w:val="nil"/>
            </w:tcBorders>
            <w:shd w:val="clear" w:color="000000" w:fill="FFFFFF"/>
            <w:noWrap/>
            <w:vAlign w:val="center"/>
            <w:hideMark/>
          </w:tcPr>
          <w:p w14:paraId="1BE16D6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256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28" w:type="dxa"/>
            <w:tcBorders>
              <w:top w:val="nil"/>
            </w:tcBorders>
            <w:shd w:val="clear" w:color="000000" w:fill="FFFFFF"/>
            <w:noWrap/>
            <w:vAlign w:val="center"/>
            <w:hideMark/>
          </w:tcPr>
          <w:p w14:paraId="322EB12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42" w:type="dxa"/>
            <w:tcBorders>
              <w:top w:val="nil"/>
            </w:tcBorders>
            <w:shd w:val="clear" w:color="000000" w:fill="FFFFFF"/>
            <w:noWrap/>
            <w:vAlign w:val="center"/>
            <w:hideMark/>
          </w:tcPr>
          <w:p w14:paraId="4450045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172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07" w:type="dxa"/>
            <w:tcBorders>
              <w:top w:val="nil"/>
            </w:tcBorders>
            <w:shd w:val="clear" w:color="000000" w:fill="FFFFFF"/>
            <w:noWrap/>
            <w:vAlign w:val="center"/>
            <w:hideMark/>
          </w:tcPr>
          <w:p w14:paraId="4CC3FE4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163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1600021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2" w:type="dxa"/>
            <w:tcBorders>
              <w:top w:val="nil"/>
            </w:tcBorders>
            <w:shd w:val="clear" w:color="000000" w:fill="FFFFFF"/>
            <w:noWrap/>
            <w:vAlign w:val="center"/>
          </w:tcPr>
          <w:p w14:paraId="195C89E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E22B46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646F1B8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157FAA3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DB0CA5A"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624FD382"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0F3F7B5B"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4FE57E14"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Доприноси</w:t>
            </w:r>
          </w:p>
        </w:tc>
        <w:tc>
          <w:tcPr>
            <w:tcW w:w="1028" w:type="dxa"/>
            <w:tcBorders>
              <w:top w:val="nil"/>
            </w:tcBorders>
            <w:shd w:val="clear" w:color="000000" w:fill="FFFFFF"/>
            <w:noWrap/>
            <w:vAlign w:val="center"/>
            <w:hideMark/>
          </w:tcPr>
          <w:p w14:paraId="3222A74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28" w:type="dxa"/>
            <w:tcBorders>
              <w:top w:val="nil"/>
            </w:tcBorders>
            <w:shd w:val="clear" w:color="000000" w:fill="FFFFFF"/>
            <w:noWrap/>
            <w:vAlign w:val="center"/>
            <w:hideMark/>
          </w:tcPr>
          <w:p w14:paraId="7677F26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729A7E2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2BE6956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7FD83C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tcPr>
          <w:p w14:paraId="63B5457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C365D0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0C9B2F2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386DD18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680CDFE4"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50F62D95"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r>
      <w:tr w:rsidR="00586723" w:rsidRPr="008A59FA" w14:paraId="4D7E5CD9"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116C1DD0"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Порез на добит </w:t>
            </w:r>
          </w:p>
        </w:tc>
        <w:tc>
          <w:tcPr>
            <w:tcW w:w="1028" w:type="dxa"/>
            <w:tcBorders>
              <w:top w:val="nil"/>
            </w:tcBorders>
            <w:shd w:val="clear" w:color="000000" w:fill="FFFFFF"/>
            <w:noWrap/>
            <w:vAlign w:val="center"/>
            <w:hideMark/>
          </w:tcPr>
          <w:p w14:paraId="7BC0808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8" w:type="dxa"/>
            <w:tcBorders>
              <w:top w:val="nil"/>
            </w:tcBorders>
            <w:shd w:val="clear" w:color="000000" w:fill="FFFFFF"/>
            <w:noWrap/>
            <w:vAlign w:val="center"/>
            <w:hideMark/>
          </w:tcPr>
          <w:p w14:paraId="23100F0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113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42" w:type="dxa"/>
            <w:tcBorders>
              <w:top w:val="nil"/>
            </w:tcBorders>
            <w:shd w:val="clear" w:color="000000" w:fill="FFFFFF"/>
            <w:noWrap/>
            <w:vAlign w:val="center"/>
            <w:hideMark/>
          </w:tcPr>
          <w:p w14:paraId="3A1CE10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tcPr>
          <w:p w14:paraId="00F265F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E3EC86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2" w:type="dxa"/>
            <w:tcBorders>
              <w:top w:val="nil"/>
            </w:tcBorders>
            <w:shd w:val="clear" w:color="000000" w:fill="FFFFFF"/>
            <w:noWrap/>
            <w:vAlign w:val="center"/>
          </w:tcPr>
          <w:p w14:paraId="799B64D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979A6A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2AFA9D2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B6B7DC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5C5970F"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840EAD9"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07EC1E7B"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3BCDEC1"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ПДВ</w:t>
            </w:r>
          </w:p>
        </w:tc>
        <w:tc>
          <w:tcPr>
            <w:tcW w:w="1028" w:type="dxa"/>
            <w:tcBorders>
              <w:top w:val="nil"/>
            </w:tcBorders>
            <w:shd w:val="clear" w:color="000000" w:fill="FFFFFF"/>
            <w:noWrap/>
            <w:vAlign w:val="center"/>
            <w:hideMark/>
          </w:tcPr>
          <w:p w14:paraId="7FBA577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640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28" w:type="dxa"/>
            <w:tcBorders>
              <w:top w:val="nil"/>
            </w:tcBorders>
            <w:shd w:val="clear" w:color="000000" w:fill="FFFFFF"/>
            <w:noWrap/>
            <w:vAlign w:val="center"/>
            <w:hideMark/>
          </w:tcPr>
          <w:p w14:paraId="2ABB849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640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42" w:type="dxa"/>
            <w:tcBorders>
              <w:top w:val="nil"/>
            </w:tcBorders>
            <w:shd w:val="clear" w:color="000000" w:fill="FFFFFF"/>
            <w:noWrap/>
            <w:vAlign w:val="center"/>
          </w:tcPr>
          <w:p w14:paraId="76DB875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tcPr>
          <w:p w14:paraId="5EE54FE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E365B0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26500CA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801C04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263A2F5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1363A3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86489F4"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40D290A"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2B2CA5FA"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85A10DB"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Акцизе</w:t>
            </w:r>
          </w:p>
        </w:tc>
        <w:tc>
          <w:tcPr>
            <w:tcW w:w="1028" w:type="dxa"/>
            <w:tcBorders>
              <w:top w:val="nil"/>
            </w:tcBorders>
            <w:shd w:val="clear" w:color="000000" w:fill="FFFFFF"/>
            <w:noWrap/>
            <w:vAlign w:val="center"/>
            <w:hideMark/>
          </w:tcPr>
          <w:p w14:paraId="02454F9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335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380A356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335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42" w:type="dxa"/>
            <w:tcBorders>
              <w:top w:val="nil"/>
            </w:tcBorders>
            <w:shd w:val="clear" w:color="000000" w:fill="FFFFFF"/>
            <w:noWrap/>
            <w:vAlign w:val="center"/>
          </w:tcPr>
          <w:p w14:paraId="7AAEC3E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1D9F24F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D5A688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1069F25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B82DD0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7666452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C790EA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B337913"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0B8C363"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6E251A2F"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6AE828B5"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Царине</w:t>
            </w:r>
          </w:p>
        </w:tc>
        <w:tc>
          <w:tcPr>
            <w:tcW w:w="1028" w:type="dxa"/>
            <w:tcBorders>
              <w:top w:val="nil"/>
            </w:tcBorders>
            <w:shd w:val="clear" w:color="000000" w:fill="FFFFFF"/>
            <w:noWrap/>
            <w:vAlign w:val="center"/>
            <w:hideMark/>
          </w:tcPr>
          <w:p w14:paraId="676E8D2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28" w:type="dxa"/>
            <w:tcBorders>
              <w:top w:val="nil"/>
            </w:tcBorders>
            <w:shd w:val="clear" w:color="000000" w:fill="FFFFFF"/>
            <w:noWrap/>
            <w:vAlign w:val="center"/>
            <w:hideMark/>
          </w:tcPr>
          <w:p w14:paraId="1729220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42" w:type="dxa"/>
            <w:tcBorders>
              <w:top w:val="nil"/>
            </w:tcBorders>
            <w:shd w:val="clear" w:color="000000" w:fill="FFFFFF"/>
            <w:noWrap/>
            <w:vAlign w:val="center"/>
          </w:tcPr>
          <w:p w14:paraId="200C184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0B0B2CB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6BE22D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74AA5B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5C30AC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36817D3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0AC6EC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223C2E9"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0F9119B"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00EEB1A5"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06A63BB"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Остали порески приходи</w:t>
            </w:r>
          </w:p>
        </w:tc>
        <w:tc>
          <w:tcPr>
            <w:tcW w:w="1028" w:type="dxa"/>
            <w:tcBorders>
              <w:top w:val="nil"/>
            </w:tcBorders>
            <w:shd w:val="clear" w:color="000000" w:fill="FFFFFF"/>
            <w:noWrap/>
            <w:vAlign w:val="center"/>
            <w:hideMark/>
          </w:tcPr>
          <w:p w14:paraId="2C80B61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60D6F3F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42" w:type="dxa"/>
            <w:tcBorders>
              <w:top w:val="nil"/>
            </w:tcBorders>
            <w:shd w:val="clear" w:color="000000" w:fill="FFFFFF"/>
            <w:noWrap/>
            <w:vAlign w:val="center"/>
            <w:hideMark/>
          </w:tcPr>
          <w:p w14:paraId="315B040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07" w:type="dxa"/>
            <w:tcBorders>
              <w:top w:val="nil"/>
            </w:tcBorders>
            <w:shd w:val="clear" w:color="000000" w:fill="FFFFFF"/>
            <w:noWrap/>
            <w:vAlign w:val="center"/>
            <w:hideMark/>
          </w:tcPr>
          <w:p w14:paraId="0BB5851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4DBE837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20C63F1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06F9E3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516632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6E7871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B368414"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575BD5F"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5D110B51"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6021A908"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Непорески приходи</w:t>
            </w:r>
          </w:p>
        </w:tc>
        <w:tc>
          <w:tcPr>
            <w:tcW w:w="1028" w:type="dxa"/>
            <w:tcBorders>
              <w:top w:val="nil"/>
            </w:tcBorders>
            <w:shd w:val="clear" w:color="000000" w:fill="FFFFFF"/>
            <w:noWrap/>
            <w:vAlign w:val="center"/>
            <w:hideMark/>
          </w:tcPr>
          <w:p w14:paraId="065E8A8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243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8" w:type="dxa"/>
            <w:tcBorders>
              <w:top w:val="nil"/>
            </w:tcBorders>
            <w:shd w:val="clear" w:color="000000" w:fill="FFFFFF"/>
            <w:noWrap/>
            <w:vAlign w:val="center"/>
            <w:hideMark/>
          </w:tcPr>
          <w:p w14:paraId="73F5FEB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42" w:type="dxa"/>
            <w:tcBorders>
              <w:top w:val="nil"/>
            </w:tcBorders>
            <w:shd w:val="clear" w:color="000000" w:fill="FFFFFF"/>
            <w:noWrap/>
            <w:vAlign w:val="center"/>
            <w:hideMark/>
          </w:tcPr>
          <w:p w14:paraId="3F3994D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07" w:type="dxa"/>
            <w:tcBorders>
              <w:top w:val="nil"/>
            </w:tcBorders>
            <w:shd w:val="clear" w:color="000000" w:fill="FFFFFF"/>
            <w:noWrap/>
            <w:vAlign w:val="center"/>
            <w:hideMark/>
          </w:tcPr>
          <w:p w14:paraId="1F10A8C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5D284AA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2" w:type="dxa"/>
            <w:tcBorders>
              <w:top w:val="nil"/>
            </w:tcBorders>
            <w:shd w:val="clear" w:color="000000" w:fill="FFFFFF"/>
            <w:noWrap/>
            <w:vAlign w:val="center"/>
            <w:hideMark/>
          </w:tcPr>
          <w:p w14:paraId="6DC52A3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3FF113E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76" w:type="dxa"/>
            <w:tcBorders>
              <w:top w:val="nil"/>
            </w:tcBorders>
            <w:shd w:val="clear" w:color="000000" w:fill="FFFFFF"/>
            <w:noWrap/>
            <w:vAlign w:val="center"/>
            <w:hideMark/>
          </w:tcPr>
          <w:p w14:paraId="1E95B7C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70B7F08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76" w:type="dxa"/>
            <w:tcBorders>
              <w:top w:val="nil"/>
            </w:tcBorders>
            <w:shd w:val="clear" w:color="000000" w:fill="FFFFFF"/>
            <w:noWrap/>
            <w:vAlign w:val="center"/>
            <w:hideMark/>
          </w:tcPr>
          <w:p w14:paraId="5B92934D"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2129D65A"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r>
      <w:tr w:rsidR="00586723" w:rsidRPr="008A59FA" w14:paraId="2014B8B2"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1EC0D59"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Донације</w:t>
            </w:r>
          </w:p>
        </w:tc>
        <w:tc>
          <w:tcPr>
            <w:tcW w:w="1028" w:type="dxa"/>
            <w:tcBorders>
              <w:top w:val="nil"/>
            </w:tcBorders>
            <w:shd w:val="clear" w:color="000000" w:fill="FFFFFF"/>
            <w:noWrap/>
            <w:vAlign w:val="center"/>
            <w:hideMark/>
          </w:tcPr>
          <w:p w14:paraId="07C8F0E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8" w:type="dxa"/>
            <w:tcBorders>
              <w:top w:val="nil"/>
            </w:tcBorders>
            <w:shd w:val="clear" w:color="000000" w:fill="FFFFFF"/>
            <w:noWrap/>
            <w:vAlign w:val="center"/>
            <w:hideMark/>
          </w:tcPr>
          <w:p w14:paraId="42CE217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78E776E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62C9422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5DFAA71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tcPr>
          <w:p w14:paraId="73E99CB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42DCD2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4C2445A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6920F5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C640C85"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35412AD3"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44C8463B"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DBDBDB" w:themeFill="accent3" w:themeFillTint="66"/>
            <w:noWrap/>
            <w:vAlign w:val="center"/>
            <w:hideMark/>
          </w:tcPr>
          <w:p w14:paraId="55FE488C"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Јавни расходи</w:t>
            </w:r>
          </w:p>
        </w:tc>
        <w:tc>
          <w:tcPr>
            <w:tcW w:w="1028" w:type="dxa"/>
            <w:tcBorders>
              <w:top w:val="nil"/>
            </w:tcBorders>
            <w:shd w:val="clear" w:color="auto" w:fill="DBDBDB" w:themeFill="accent3" w:themeFillTint="66"/>
            <w:noWrap/>
            <w:vAlign w:val="center"/>
            <w:hideMark/>
          </w:tcPr>
          <w:p w14:paraId="1732126E"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2.837,</w:t>
            </w:r>
            <w:r w:rsidR="00586723" w:rsidRPr="000418DA">
              <w:rPr>
                <w:rFonts w:ascii="Calibri" w:hAnsi="Calibri" w:cs="Calibri"/>
                <w:color w:val="002060"/>
                <w:sz w:val="14"/>
                <w:szCs w:val="14"/>
                <w:lang w:val="sr-Cyrl-RS"/>
              </w:rPr>
              <w:t>5</w:t>
            </w:r>
          </w:p>
        </w:tc>
        <w:tc>
          <w:tcPr>
            <w:tcW w:w="1028" w:type="dxa"/>
            <w:tcBorders>
              <w:top w:val="nil"/>
            </w:tcBorders>
            <w:shd w:val="clear" w:color="auto" w:fill="DBDBDB" w:themeFill="accent3" w:themeFillTint="66"/>
            <w:noWrap/>
            <w:vAlign w:val="center"/>
            <w:hideMark/>
          </w:tcPr>
          <w:p w14:paraId="76F9CB31"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1.249,</w:t>
            </w:r>
            <w:r w:rsidR="00586723" w:rsidRPr="000418DA">
              <w:rPr>
                <w:rFonts w:ascii="Calibri" w:hAnsi="Calibri" w:cs="Calibri"/>
                <w:color w:val="002060"/>
                <w:sz w:val="14"/>
                <w:szCs w:val="14"/>
                <w:lang w:val="sr-Cyrl-RS"/>
              </w:rPr>
              <w:t>0</w:t>
            </w:r>
          </w:p>
        </w:tc>
        <w:tc>
          <w:tcPr>
            <w:tcW w:w="1042" w:type="dxa"/>
            <w:tcBorders>
              <w:top w:val="nil"/>
            </w:tcBorders>
            <w:shd w:val="clear" w:color="auto" w:fill="DBDBDB" w:themeFill="accent3" w:themeFillTint="66"/>
            <w:noWrap/>
            <w:vAlign w:val="center"/>
            <w:hideMark/>
          </w:tcPr>
          <w:p w14:paraId="67F510B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419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07" w:type="dxa"/>
            <w:tcBorders>
              <w:top w:val="nil"/>
            </w:tcBorders>
            <w:shd w:val="clear" w:color="auto" w:fill="DBDBDB" w:themeFill="accent3" w:themeFillTint="66"/>
            <w:noWrap/>
            <w:vAlign w:val="center"/>
            <w:hideMark/>
          </w:tcPr>
          <w:p w14:paraId="3F8EDDF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356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auto" w:fill="DBDBDB" w:themeFill="accent3" w:themeFillTint="66"/>
            <w:noWrap/>
            <w:vAlign w:val="center"/>
            <w:hideMark/>
          </w:tcPr>
          <w:p w14:paraId="66E67AB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22" w:type="dxa"/>
            <w:tcBorders>
              <w:top w:val="nil"/>
            </w:tcBorders>
            <w:shd w:val="clear" w:color="auto" w:fill="DBDBDB" w:themeFill="accent3" w:themeFillTint="66"/>
            <w:noWrap/>
            <w:vAlign w:val="center"/>
            <w:hideMark/>
          </w:tcPr>
          <w:p w14:paraId="32FE8F7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auto" w:fill="DBDBDB" w:themeFill="accent3" w:themeFillTint="66"/>
            <w:noWrap/>
            <w:vAlign w:val="center"/>
            <w:hideMark/>
          </w:tcPr>
          <w:p w14:paraId="6AD322B8" w14:textId="77777777" w:rsidR="00586723" w:rsidRPr="000418DA" w:rsidRDefault="00282E6F"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1.103,</w:t>
            </w:r>
            <w:r w:rsidR="00586723" w:rsidRPr="000418DA">
              <w:rPr>
                <w:rFonts w:ascii="Calibri" w:hAnsi="Calibri" w:cs="Calibri"/>
                <w:color w:val="002060"/>
                <w:sz w:val="14"/>
                <w:szCs w:val="14"/>
                <w:lang w:val="sr-Cyrl-RS"/>
              </w:rPr>
              <w:t>6</w:t>
            </w:r>
          </w:p>
        </w:tc>
        <w:tc>
          <w:tcPr>
            <w:tcW w:w="1076" w:type="dxa"/>
            <w:tcBorders>
              <w:top w:val="nil"/>
            </w:tcBorders>
            <w:shd w:val="clear" w:color="auto" w:fill="DBDBDB" w:themeFill="accent3" w:themeFillTint="66"/>
            <w:noWrap/>
            <w:vAlign w:val="center"/>
            <w:hideMark/>
          </w:tcPr>
          <w:p w14:paraId="40E7E02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692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76" w:type="dxa"/>
            <w:tcBorders>
              <w:top w:val="nil"/>
            </w:tcBorders>
            <w:shd w:val="clear" w:color="auto" w:fill="DBDBDB" w:themeFill="accent3" w:themeFillTint="66"/>
            <w:noWrap/>
            <w:vAlign w:val="center"/>
            <w:hideMark/>
          </w:tcPr>
          <w:p w14:paraId="1A8F4D5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383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auto" w:fill="DBDBDB" w:themeFill="accent3" w:themeFillTint="66"/>
            <w:noWrap/>
            <w:vAlign w:val="center"/>
            <w:hideMark/>
          </w:tcPr>
          <w:p w14:paraId="069741FA"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nil"/>
            </w:tcBorders>
            <w:shd w:val="clear" w:color="auto" w:fill="DBDBDB" w:themeFill="accent3" w:themeFillTint="66"/>
            <w:noWrap/>
            <w:vAlign w:val="center"/>
            <w:hideMark/>
          </w:tcPr>
          <w:p w14:paraId="73CAC3D9"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r>
      <w:tr w:rsidR="00586723" w:rsidRPr="008A59FA" w14:paraId="7F8C6262"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523B1C93"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Текући расходи</w:t>
            </w:r>
          </w:p>
        </w:tc>
        <w:tc>
          <w:tcPr>
            <w:tcW w:w="1028" w:type="dxa"/>
            <w:tcBorders>
              <w:top w:val="nil"/>
            </w:tcBorders>
            <w:shd w:val="clear" w:color="000000" w:fill="FFFFFF"/>
            <w:noWrap/>
            <w:vAlign w:val="center"/>
            <w:hideMark/>
          </w:tcPr>
          <w:p w14:paraId="40C416C2" w14:textId="77777777" w:rsidR="00586723" w:rsidRPr="000418DA" w:rsidRDefault="00282E6F"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2.368,</w:t>
            </w:r>
            <w:r w:rsidR="00586723" w:rsidRPr="000418DA">
              <w:rPr>
                <w:rFonts w:ascii="Calibri" w:hAnsi="Calibri" w:cs="Calibri"/>
                <w:color w:val="002060"/>
                <w:sz w:val="14"/>
                <w:szCs w:val="14"/>
                <w:lang w:val="sr-Cyrl-RS"/>
              </w:rPr>
              <w:t>3</w:t>
            </w:r>
          </w:p>
        </w:tc>
        <w:tc>
          <w:tcPr>
            <w:tcW w:w="1028" w:type="dxa"/>
            <w:tcBorders>
              <w:top w:val="nil"/>
            </w:tcBorders>
            <w:shd w:val="clear" w:color="000000" w:fill="FFFFFF"/>
            <w:noWrap/>
            <w:vAlign w:val="center"/>
            <w:hideMark/>
          </w:tcPr>
          <w:p w14:paraId="3DA9E4C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861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42" w:type="dxa"/>
            <w:tcBorders>
              <w:top w:val="nil"/>
            </w:tcBorders>
            <w:shd w:val="clear" w:color="000000" w:fill="FFFFFF"/>
            <w:noWrap/>
            <w:vAlign w:val="center"/>
            <w:hideMark/>
          </w:tcPr>
          <w:p w14:paraId="39BA40A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358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07" w:type="dxa"/>
            <w:tcBorders>
              <w:top w:val="nil"/>
            </w:tcBorders>
            <w:shd w:val="clear" w:color="000000" w:fill="FFFFFF"/>
            <w:noWrap/>
            <w:vAlign w:val="center"/>
            <w:hideMark/>
          </w:tcPr>
          <w:p w14:paraId="394FB79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296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4241E82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2" w:type="dxa"/>
            <w:tcBorders>
              <w:top w:val="nil"/>
            </w:tcBorders>
            <w:shd w:val="clear" w:color="000000" w:fill="FFFFFF"/>
            <w:noWrap/>
            <w:vAlign w:val="center"/>
            <w:hideMark/>
          </w:tcPr>
          <w:p w14:paraId="7574F08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223C06EB" w14:textId="77777777" w:rsidR="00586723" w:rsidRPr="000418DA" w:rsidRDefault="00282E6F"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Pr>
                <w:rFonts w:ascii="Calibri" w:hAnsi="Calibri" w:cs="Calibri"/>
                <w:color w:val="002060"/>
                <w:sz w:val="14"/>
                <w:szCs w:val="14"/>
                <w:lang w:val="sr-Cyrl-RS"/>
              </w:rPr>
              <w:t>1.100,</w:t>
            </w:r>
            <w:r w:rsidR="00586723" w:rsidRPr="000418DA">
              <w:rPr>
                <w:rFonts w:ascii="Calibri" w:hAnsi="Calibri" w:cs="Calibri"/>
                <w:color w:val="002060"/>
                <w:sz w:val="14"/>
                <w:szCs w:val="14"/>
                <w:lang w:val="sr-Cyrl-RS"/>
              </w:rPr>
              <w:t>3</w:t>
            </w:r>
          </w:p>
        </w:tc>
        <w:tc>
          <w:tcPr>
            <w:tcW w:w="1076" w:type="dxa"/>
            <w:tcBorders>
              <w:top w:val="nil"/>
            </w:tcBorders>
            <w:shd w:val="clear" w:color="000000" w:fill="FFFFFF"/>
            <w:noWrap/>
            <w:vAlign w:val="center"/>
            <w:hideMark/>
          </w:tcPr>
          <w:p w14:paraId="73E22EB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691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472768B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381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4DEA0C7A"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76" w:type="dxa"/>
            <w:tcBorders>
              <w:top w:val="nil"/>
            </w:tcBorders>
            <w:shd w:val="clear" w:color="000000" w:fill="FFFFFF"/>
            <w:noWrap/>
            <w:vAlign w:val="center"/>
            <w:hideMark/>
          </w:tcPr>
          <w:p w14:paraId="26ED7ACA"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r>
      <w:tr w:rsidR="00586723" w:rsidRPr="008A59FA" w14:paraId="65654A49"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47A742FC"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Расходи за запослене</w:t>
            </w:r>
          </w:p>
        </w:tc>
        <w:tc>
          <w:tcPr>
            <w:tcW w:w="1028" w:type="dxa"/>
            <w:tcBorders>
              <w:top w:val="nil"/>
            </w:tcBorders>
            <w:shd w:val="clear" w:color="000000" w:fill="FFFFFF"/>
            <w:noWrap/>
            <w:vAlign w:val="center"/>
            <w:hideMark/>
          </w:tcPr>
          <w:p w14:paraId="76C1A14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8" w:type="dxa"/>
            <w:tcBorders>
              <w:top w:val="nil"/>
            </w:tcBorders>
            <w:shd w:val="clear" w:color="000000" w:fill="FFFFFF"/>
            <w:noWrap/>
            <w:vAlign w:val="center"/>
            <w:hideMark/>
          </w:tcPr>
          <w:p w14:paraId="7D54F19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288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42" w:type="dxa"/>
            <w:tcBorders>
              <w:top w:val="nil"/>
            </w:tcBorders>
            <w:shd w:val="clear" w:color="000000" w:fill="FFFFFF"/>
            <w:noWrap/>
            <w:vAlign w:val="center"/>
            <w:hideMark/>
          </w:tcPr>
          <w:p w14:paraId="3EC41A5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07" w:type="dxa"/>
            <w:tcBorders>
              <w:top w:val="nil"/>
            </w:tcBorders>
            <w:shd w:val="clear" w:color="000000" w:fill="FFFFFF"/>
            <w:noWrap/>
            <w:vAlign w:val="center"/>
            <w:hideMark/>
          </w:tcPr>
          <w:p w14:paraId="0432A31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25A87BE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4BA5599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216B543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160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2D8BAC8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76" w:type="dxa"/>
            <w:tcBorders>
              <w:top w:val="nil"/>
            </w:tcBorders>
            <w:shd w:val="clear" w:color="000000" w:fill="FFFFFF"/>
            <w:noWrap/>
            <w:vAlign w:val="center"/>
            <w:hideMark/>
          </w:tcPr>
          <w:p w14:paraId="6267C23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155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419290C5"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tcPr>
          <w:p w14:paraId="2EC8B8C6"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2E07C2A8"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9DFC1DC"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Доприноси на терет послодавца</w:t>
            </w:r>
          </w:p>
        </w:tc>
        <w:tc>
          <w:tcPr>
            <w:tcW w:w="1028" w:type="dxa"/>
            <w:tcBorders>
              <w:top w:val="nil"/>
            </w:tcBorders>
            <w:shd w:val="clear" w:color="000000" w:fill="FFFFFF"/>
            <w:noWrap/>
            <w:vAlign w:val="center"/>
            <w:hideMark/>
          </w:tcPr>
          <w:p w14:paraId="181D11F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8" w:type="dxa"/>
            <w:tcBorders>
              <w:top w:val="nil"/>
            </w:tcBorders>
            <w:shd w:val="clear" w:color="000000" w:fill="FFFFFF"/>
            <w:noWrap/>
            <w:vAlign w:val="center"/>
            <w:hideMark/>
          </w:tcPr>
          <w:p w14:paraId="2E4783C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42" w:type="dxa"/>
            <w:tcBorders>
              <w:top w:val="nil"/>
            </w:tcBorders>
            <w:shd w:val="clear" w:color="000000" w:fill="FFFFFF"/>
            <w:noWrap/>
            <w:vAlign w:val="center"/>
            <w:hideMark/>
          </w:tcPr>
          <w:p w14:paraId="0898437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07" w:type="dxa"/>
            <w:tcBorders>
              <w:top w:val="nil"/>
            </w:tcBorders>
            <w:shd w:val="clear" w:color="000000" w:fill="FFFFFF"/>
            <w:noWrap/>
            <w:vAlign w:val="center"/>
            <w:hideMark/>
          </w:tcPr>
          <w:p w14:paraId="5460E69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47B688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2D65E0E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3872D4C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85A2A6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261A06F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4F89FF21"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tcPr>
          <w:p w14:paraId="7C0D872D"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6EA439BB"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AC383DD"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Куповина роба и услуга</w:t>
            </w:r>
          </w:p>
        </w:tc>
        <w:tc>
          <w:tcPr>
            <w:tcW w:w="1028" w:type="dxa"/>
            <w:tcBorders>
              <w:top w:val="nil"/>
            </w:tcBorders>
            <w:shd w:val="clear" w:color="000000" w:fill="FFFFFF"/>
            <w:noWrap/>
            <w:vAlign w:val="center"/>
            <w:hideMark/>
          </w:tcPr>
          <w:p w14:paraId="39A6B78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500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4BDAEAB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42" w:type="dxa"/>
            <w:tcBorders>
              <w:top w:val="nil"/>
            </w:tcBorders>
            <w:shd w:val="clear" w:color="000000" w:fill="FFFFFF"/>
            <w:noWrap/>
            <w:vAlign w:val="center"/>
            <w:hideMark/>
          </w:tcPr>
          <w:p w14:paraId="286C3FC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07" w:type="dxa"/>
            <w:tcBorders>
              <w:top w:val="nil"/>
            </w:tcBorders>
            <w:shd w:val="clear" w:color="000000" w:fill="FFFFFF"/>
            <w:noWrap/>
            <w:vAlign w:val="center"/>
            <w:hideMark/>
          </w:tcPr>
          <w:p w14:paraId="5BD8B84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24231C1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2" w:type="dxa"/>
            <w:tcBorders>
              <w:top w:val="nil"/>
            </w:tcBorders>
            <w:shd w:val="clear" w:color="000000" w:fill="FFFFFF"/>
            <w:noWrap/>
            <w:vAlign w:val="center"/>
            <w:hideMark/>
          </w:tcPr>
          <w:p w14:paraId="71FA82F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327E1B7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190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AEF610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3C6AB62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183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64DB5AEC"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4E3BFEA1"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r>
      <w:tr w:rsidR="00586723" w:rsidRPr="008A59FA" w14:paraId="0CE21D23"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D47B392"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Отплата камата</w:t>
            </w:r>
          </w:p>
        </w:tc>
        <w:tc>
          <w:tcPr>
            <w:tcW w:w="1028" w:type="dxa"/>
            <w:tcBorders>
              <w:top w:val="nil"/>
            </w:tcBorders>
            <w:shd w:val="clear" w:color="000000" w:fill="FFFFFF"/>
            <w:noWrap/>
            <w:vAlign w:val="center"/>
            <w:hideMark/>
          </w:tcPr>
          <w:p w14:paraId="32C0AC9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111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28" w:type="dxa"/>
            <w:tcBorders>
              <w:top w:val="nil"/>
            </w:tcBorders>
            <w:shd w:val="clear" w:color="000000" w:fill="FFFFFF"/>
            <w:noWrap/>
            <w:vAlign w:val="center"/>
            <w:hideMark/>
          </w:tcPr>
          <w:p w14:paraId="24AA4B2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109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42" w:type="dxa"/>
            <w:tcBorders>
              <w:top w:val="nil"/>
            </w:tcBorders>
            <w:shd w:val="clear" w:color="000000" w:fill="FFFFFF"/>
            <w:noWrap/>
            <w:vAlign w:val="center"/>
            <w:hideMark/>
          </w:tcPr>
          <w:p w14:paraId="34116A9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07" w:type="dxa"/>
            <w:tcBorders>
              <w:top w:val="nil"/>
            </w:tcBorders>
            <w:shd w:val="clear" w:color="000000" w:fill="FFFFFF"/>
            <w:noWrap/>
            <w:vAlign w:val="center"/>
            <w:hideMark/>
          </w:tcPr>
          <w:p w14:paraId="1B32D36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7E5319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2" w:type="dxa"/>
            <w:tcBorders>
              <w:top w:val="nil"/>
            </w:tcBorders>
            <w:shd w:val="clear" w:color="000000" w:fill="FFFFFF"/>
            <w:noWrap/>
            <w:vAlign w:val="center"/>
            <w:hideMark/>
          </w:tcPr>
          <w:p w14:paraId="7EAC74D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390C9B5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33B0ADC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1C077C3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66352A69"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20A8F595"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53B58E0A"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5984908B"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Субвенције</w:t>
            </w:r>
          </w:p>
        </w:tc>
        <w:tc>
          <w:tcPr>
            <w:tcW w:w="1028" w:type="dxa"/>
            <w:tcBorders>
              <w:top w:val="nil"/>
            </w:tcBorders>
            <w:shd w:val="clear" w:color="000000" w:fill="FFFFFF"/>
            <w:noWrap/>
            <w:vAlign w:val="center"/>
            <w:hideMark/>
          </w:tcPr>
          <w:p w14:paraId="4DAA139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8" w:type="dxa"/>
            <w:tcBorders>
              <w:top w:val="nil"/>
            </w:tcBorders>
            <w:shd w:val="clear" w:color="000000" w:fill="FFFFFF"/>
            <w:noWrap/>
            <w:vAlign w:val="center"/>
            <w:hideMark/>
          </w:tcPr>
          <w:p w14:paraId="10BF563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42" w:type="dxa"/>
            <w:tcBorders>
              <w:top w:val="nil"/>
            </w:tcBorders>
            <w:shd w:val="clear" w:color="000000" w:fill="FFFFFF"/>
            <w:noWrap/>
            <w:vAlign w:val="center"/>
            <w:hideMark/>
          </w:tcPr>
          <w:p w14:paraId="175A355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07" w:type="dxa"/>
            <w:tcBorders>
              <w:top w:val="nil"/>
            </w:tcBorders>
            <w:shd w:val="clear" w:color="000000" w:fill="FFFFFF"/>
            <w:noWrap/>
            <w:vAlign w:val="center"/>
            <w:hideMark/>
          </w:tcPr>
          <w:p w14:paraId="7ABD5CD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4DA079B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2" w:type="dxa"/>
            <w:tcBorders>
              <w:top w:val="nil"/>
            </w:tcBorders>
            <w:shd w:val="clear" w:color="000000" w:fill="FFFFFF"/>
            <w:noWrap/>
            <w:vAlign w:val="center"/>
            <w:hideMark/>
          </w:tcPr>
          <w:p w14:paraId="2069CC2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5C8CA6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5308D48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14CD874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2BCC430E"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6353EC2"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0418DA" w14:paraId="34F87955"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716EF3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Социјална помоћ и трансфери</w:t>
            </w:r>
          </w:p>
        </w:tc>
        <w:tc>
          <w:tcPr>
            <w:tcW w:w="1028" w:type="dxa"/>
            <w:tcBorders>
              <w:top w:val="nil"/>
            </w:tcBorders>
            <w:shd w:val="clear" w:color="auto" w:fill="auto"/>
            <w:noWrap/>
            <w:vAlign w:val="center"/>
            <w:hideMark/>
          </w:tcPr>
          <w:p w14:paraId="45E5270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894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auto" w:fill="auto"/>
            <w:noWrap/>
            <w:vAlign w:val="center"/>
            <w:hideMark/>
          </w:tcPr>
          <w:p w14:paraId="0316AA4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42" w:type="dxa"/>
            <w:tcBorders>
              <w:top w:val="nil"/>
            </w:tcBorders>
            <w:shd w:val="clear" w:color="auto" w:fill="auto"/>
            <w:noWrap/>
            <w:vAlign w:val="center"/>
            <w:hideMark/>
          </w:tcPr>
          <w:p w14:paraId="178F603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07" w:type="dxa"/>
            <w:tcBorders>
              <w:top w:val="nil"/>
            </w:tcBorders>
            <w:shd w:val="clear" w:color="auto" w:fill="auto"/>
            <w:noWrap/>
            <w:vAlign w:val="center"/>
            <w:hideMark/>
          </w:tcPr>
          <w:p w14:paraId="726B634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auto" w:fill="auto"/>
            <w:noWrap/>
            <w:vAlign w:val="center"/>
            <w:hideMark/>
          </w:tcPr>
          <w:p w14:paraId="1CCC228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22" w:type="dxa"/>
            <w:tcBorders>
              <w:top w:val="nil"/>
            </w:tcBorders>
            <w:shd w:val="clear" w:color="auto" w:fill="auto"/>
            <w:noWrap/>
            <w:vAlign w:val="center"/>
            <w:hideMark/>
          </w:tcPr>
          <w:p w14:paraId="5E54CA5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auto" w:fill="auto"/>
            <w:noWrap/>
            <w:vAlign w:val="center"/>
            <w:hideMark/>
          </w:tcPr>
          <w:p w14:paraId="75E341C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719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auto" w:fill="auto"/>
            <w:noWrap/>
            <w:vAlign w:val="center"/>
            <w:hideMark/>
          </w:tcPr>
          <w:p w14:paraId="2A5F1E6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nil"/>
            </w:tcBorders>
            <w:shd w:val="clear" w:color="auto" w:fill="auto"/>
            <w:noWrap/>
            <w:vAlign w:val="center"/>
            <w:hideMark/>
          </w:tcPr>
          <w:p w14:paraId="1E1EF8D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auto" w:fill="auto"/>
            <w:noWrap/>
            <w:vAlign w:val="center"/>
            <w:hideMark/>
          </w:tcPr>
          <w:p w14:paraId="253C2CC4"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nil"/>
            </w:tcBorders>
            <w:shd w:val="clear" w:color="auto" w:fill="auto"/>
            <w:noWrap/>
            <w:vAlign w:val="center"/>
            <w:hideMark/>
          </w:tcPr>
          <w:p w14:paraId="108E0F95"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r>
      <w:tr w:rsidR="00586723" w:rsidRPr="008A59FA" w14:paraId="61407775"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B53802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oд чега пензије</w:t>
            </w:r>
          </w:p>
        </w:tc>
        <w:tc>
          <w:tcPr>
            <w:tcW w:w="1028" w:type="dxa"/>
            <w:tcBorders>
              <w:top w:val="nil"/>
            </w:tcBorders>
            <w:shd w:val="clear" w:color="000000" w:fill="FFFFFF"/>
            <w:noWrap/>
            <w:vAlign w:val="center"/>
            <w:hideMark/>
          </w:tcPr>
          <w:p w14:paraId="0D69376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tcPr>
          <w:p w14:paraId="1880652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tcPr>
          <w:p w14:paraId="10B676F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42FED91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5DB2EC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49D956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C7A655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6E8EA64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tcPr>
          <w:p w14:paraId="718DCC4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67E3B65B"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25D7C229"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37E4E6C4"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133B82C"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Остали текући расходи</w:t>
            </w:r>
          </w:p>
        </w:tc>
        <w:tc>
          <w:tcPr>
            <w:tcW w:w="1028" w:type="dxa"/>
            <w:tcBorders>
              <w:top w:val="nil"/>
            </w:tcBorders>
            <w:shd w:val="clear" w:color="000000" w:fill="FFFFFF"/>
            <w:noWrap/>
            <w:vAlign w:val="center"/>
            <w:hideMark/>
          </w:tcPr>
          <w:p w14:paraId="382D1C5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8" w:type="dxa"/>
            <w:tcBorders>
              <w:top w:val="nil"/>
            </w:tcBorders>
            <w:shd w:val="clear" w:color="000000" w:fill="FFFFFF"/>
            <w:noWrap/>
            <w:vAlign w:val="center"/>
            <w:hideMark/>
          </w:tcPr>
          <w:p w14:paraId="35A523D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1B5C426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07" w:type="dxa"/>
            <w:tcBorders>
              <w:top w:val="nil"/>
            </w:tcBorders>
            <w:shd w:val="clear" w:color="000000" w:fill="FFFFFF"/>
            <w:noWrap/>
            <w:vAlign w:val="center"/>
            <w:hideMark/>
          </w:tcPr>
          <w:p w14:paraId="3D6B25D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76" w:type="dxa"/>
            <w:tcBorders>
              <w:top w:val="nil"/>
            </w:tcBorders>
            <w:shd w:val="clear" w:color="000000" w:fill="FFFFFF"/>
            <w:noWrap/>
            <w:vAlign w:val="center"/>
            <w:hideMark/>
          </w:tcPr>
          <w:p w14:paraId="5298194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22" w:type="dxa"/>
            <w:tcBorders>
              <w:top w:val="nil"/>
            </w:tcBorders>
            <w:shd w:val="clear" w:color="000000" w:fill="FFFFFF"/>
            <w:noWrap/>
            <w:vAlign w:val="center"/>
            <w:hideMark/>
          </w:tcPr>
          <w:p w14:paraId="300D8C2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12C6C78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6EE2511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7B4D327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5B962D70"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B5A07AB"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r>
      <w:tr w:rsidR="00586723" w:rsidRPr="008A59FA" w14:paraId="039F79A8"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6375B728"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Капитални расходи</w:t>
            </w:r>
          </w:p>
        </w:tc>
        <w:tc>
          <w:tcPr>
            <w:tcW w:w="1028" w:type="dxa"/>
            <w:tcBorders>
              <w:top w:val="nil"/>
            </w:tcBorders>
            <w:shd w:val="clear" w:color="000000" w:fill="FFFFFF"/>
            <w:noWrap/>
            <w:vAlign w:val="center"/>
            <w:hideMark/>
          </w:tcPr>
          <w:p w14:paraId="36005E1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447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8" w:type="dxa"/>
            <w:tcBorders>
              <w:top w:val="nil"/>
            </w:tcBorders>
            <w:shd w:val="clear" w:color="000000" w:fill="FFFFFF"/>
            <w:noWrap/>
            <w:vAlign w:val="center"/>
            <w:hideMark/>
          </w:tcPr>
          <w:p w14:paraId="472642B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366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21D94BD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07" w:type="dxa"/>
            <w:tcBorders>
              <w:top w:val="nil"/>
            </w:tcBorders>
            <w:shd w:val="clear" w:color="000000" w:fill="FFFFFF"/>
            <w:noWrap/>
            <w:vAlign w:val="center"/>
            <w:hideMark/>
          </w:tcPr>
          <w:p w14:paraId="283EE17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76" w:type="dxa"/>
            <w:tcBorders>
              <w:top w:val="nil"/>
            </w:tcBorders>
            <w:shd w:val="clear" w:color="000000" w:fill="FFFFFF"/>
            <w:noWrap/>
            <w:vAlign w:val="center"/>
            <w:hideMark/>
          </w:tcPr>
          <w:p w14:paraId="0F5BE60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22" w:type="dxa"/>
            <w:tcBorders>
              <w:top w:val="nil"/>
            </w:tcBorders>
            <w:shd w:val="clear" w:color="000000" w:fill="FFFFFF"/>
            <w:noWrap/>
            <w:vAlign w:val="center"/>
            <w:hideMark/>
          </w:tcPr>
          <w:p w14:paraId="5394479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7A8AB29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76" w:type="dxa"/>
            <w:tcBorders>
              <w:top w:val="nil"/>
            </w:tcBorders>
            <w:shd w:val="clear" w:color="000000" w:fill="FFFFFF"/>
            <w:noWrap/>
            <w:vAlign w:val="center"/>
            <w:hideMark/>
          </w:tcPr>
          <w:p w14:paraId="35F2ED3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4382B85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8E689EC"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0F45CB93" w14:textId="77777777" w:rsidR="00586723" w:rsidRPr="000418DA" w:rsidRDefault="00586723" w:rsidP="00282E6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r>
      <w:tr w:rsidR="00586723" w:rsidRPr="008A59FA" w14:paraId="793DA544"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180ADECD"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Нето буџетске позајмице</w:t>
            </w:r>
          </w:p>
        </w:tc>
        <w:tc>
          <w:tcPr>
            <w:tcW w:w="1028" w:type="dxa"/>
            <w:tcBorders>
              <w:top w:val="nil"/>
            </w:tcBorders>
            <w:shd w:val="clear" w:color="000000" w:fill="FFFFFF"/>
            <w:noWrap/>
            <w:vAlign w:val="center"/>
            <w:hideMark/>
          </w:tcPr>
          <w:p w14:paraId="74121DD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7610746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704DD05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743F1D8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45CC89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66882F2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18502D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36CBDE7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622FAB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6F9E745"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C2A2E42" w14:textId="77777777" w:rsidR="00586723" w:rsidRPr="000418DA" w:rsidRDefault="00586723" w:rsidP="00282E6F">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3BD0CEF7"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4CFA1551"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Активиране гаранције</w:t>
            </w:r>
          </w:p>
        </w:tc>
        <w:tc>
          <w:tcPr>
            <w:tcW w:w="1028" w:type="dxa"/>
            <w:tcBorders>
              <w:top w:val="nil"/>
            </w:tcBorders>
            <w:shd w:val="clear" w:color="000000" w:fill="FFFFFF"/>
            <w:noWrap/>
            <w:vAlign w:val="center"/>
            <w:hideMark/>
          </w:tcPr>
          <w:p w14:paraId="3110A8C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28" w:type="dxa"/>
            <w:tcBorders>
              <w:top w:val="nil"/>
            </w:tcBorders>
            <w:shd w:val="clear" w:color="000000" w:fill="FFFFFF"/>
            <w:noWrap/>
            <w:vAlign w:val="center"/>
            <w:hideMark/>
          </w:tcPr>
          <w:p w14:paraId="6726D64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9</w:t>
            </w:r>
          </w:p>
        </w:tc>
        <w:tc>
          <w:tcPr>
            <w:tcW w:w="1042" w:type="dxa"/>
            <w:tcBorders>
              <w:top w:val="nil"/>
            </w:tcBorders>
            <w:shd w:val="clear" w:color="000000" w:fill="FFFFFF"/>
            <w:noWrap/>
            <w:vAlign w:val="center"/>
            <w:hideMark/>
          </w:tcPr>
          <w:p w14:paraId="57F6ECF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36ED4F5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908A7D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6C1D00D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FB6D28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3B6B64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37C38C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F9A385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A6FBDC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6EA2F7AE"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DBDBDB" w:themeFill="accent3" w:themeFillTint="66"/>
            <w:noWrap/>
            <w:vAlign w:val="center"/>
            <w:hideMark/>
          </w:tcPr>
          <w:p w14:paraId="54A0B8BD"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Фискални резултат искљ. трансфере</w:t>
            </w:r>
          </w:p>
        </w:tc>
        <w:tc>
          <w:tcPr>
            <w:tcW w:w="1028" w:type="dxa"/>
            <w:tcBorders>
              <w:top w:val="nil"/>
            </w:tcBorders>
            <w:shd w:val="clear" w:color="auto" w:fill="DBDBDB" w:themeFill="accent3" w:themeFillTint="66"/>
            <w:noWrap/>
            <w:vAlign w:val="center"/>
            <w:hideMark/>
          </w:tcPr>
          <w:p w14:paraId="34DC10C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-188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auto" w:fill="DBDBDB" w:themeFill="accent3" w:themeFillTint="66"/>
            <w:noWrap/>
            <w:vAlign w:val="center"/>
            <w:hideMark/>
          </w:tcPr>
          <w:p w14:paraId="797CDEF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140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2</w:t>
            </w:r>
          </w:p>
        </w:tc>
        <w:tc>
          <w:tcPr>
            <w:tcW w:w="1042" w:type="dxa"/>
            <w:tcBorders>
              <w:top w:val="nil"/>
            </w:tcBorders>
            <w:shd w:val="clear" w:color="auto" w:fill="DBDBDB" w:themeFill="accent3" w:themeFillTint="66"/>
            <w:noWrap/>
            <w:vAlign w:val="center"/>
            <w:hideMark/>
          </w:tcPr>
          <w:p w14:paraId="46826B7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07" w:type="dxa"/>
            <w:tcBorders>
              <w:top w:val="nil"/>
            </w:tcBorders>
            <w:shd w:val="clear" w:color="auto" w:fill="DBDBDB" w:themeFill="accent3" w:themeFillTint="66"/>
            <w:noWrap/>
            <w:vAlign w:val="center"/>
            <w:hideMark/>
          </w:tcPr>
          <w:p w14:paraId="1460B36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auto" w:fill="DBDBDB" w:themeFill="accent3" w:themeFillTint="66"/>
            <w:noWrap/>
            <w:vAlign w:val="center"/>
            <w:hideMark/>
          </w:tcPr>
          <w:p w14:paraId="5CD0539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2" w:type="dxa"/>
            <w:tcBorders>
              <w:top w:val="nil"/>
            </w:tcBorders>
            <w:shd w:val="clear" w:color="auto" w:fill="DBDBDB" w:themeFill="accent3" w:themeFillTint="66"/>
            <w:noWrap/>
            <w:vAlign w:val="center"/>
            <w:hideMark/>
          </w:tcPr>
          <w:p w14:paraId="3F23660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auto" w:fill="DBDBDB" w:themeFill="accent3" w:themeFillTint="66"/>
            <w:noWrap/>
            <w:vAlign w:val="center"/>
            <w:hideMark/>
          </w:tcPr>
          <w:p w14:paraId="4C0EE24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-208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auto" w:fill="DBDBDB" w:themeFill="accent3" w:themeFillTint="66"/>
            <w:noWrap/>
            <w:vAlign w:val="center"/>
            <w:hideMark/>
          </w:tcPr>
          <w:p w14:paraId="720BAAA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auto" w:fill="DBDBDB" w:themeFill="accent3" w:themeFillTint="66"/>
            <w:noWrap/>
            <w:vAlign w:val="center"/>
            <w:hideMark/>
          </w:tcPr>
          <w:p w14:paraId="449F12A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auto" w:fill="DBDBDB" w:themeFill="accent3" w:themeFillTint="66"/>
            <w:noWrap/>
            <w:vAlign w:val="center"/>
            <w:hideMark/>
          </w:tcPr>
          <w:p w14:paraId="259C454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auto" w:fill="DBDBDB" w:themeFill="accent3" w:themeFillTint="66"/>
            <w:noWrap/>
            <w:vAlign w:val="center"/>
            <w:hideMark/>
          </w:tcPr>
          <w:p w14:paraId="771B554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r>
      <w:tr w:rsidR="00586723" w:rsidRPr="008A59FA" w14:paraId="630E58F8"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D04B04A"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Трансфери од других нивоа власти</w:t>
            </w:r>
          </w:p>
        </w:tc>
        <w:tc>
          <w:tcPr>
            <w:tcW w:w="1028" w:type="dxa"/>
            <w:tcBorders>
              <w:top w:val="nil"/>
            </w:tcBorders>
            <w:shd w:val="clear" w:color="000000" w:fill="FFFFFF"/>
            <w:noWrap/>
            <w:vAlign w:val="center"/>
            <w:hideMark/>
          </w:tcPr>
          <w:p w14:paraId="37EBFE3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420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738577F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42" w:type="dxa"/>
            <w:tcBorders>
              <w:top w:val="nil"/>
            </w:tcBorders>
            <w:shd w:val="clear" w:color="000000" w:fill="FFFFFF"/>
            <w:noWrap/>
            <w:vAlign w:val="center"/>
            <w:hideMark/>
          </w:tcPr>
          <w:p w14:paraId="62596BE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07" w:type="dxa"/>
            <w:tcBorders>
              <w:top w:val="nil"/>
            </w:tcBorders>
            <w:shd w:val="clear" w:color="000000" w:fill="FFFFFF"/>
            <w:noWrap/>
            <w:vAlign w:val="center"/>
            <w:hideMark/>
          </w:tcPr>
          <w:p w14:paraId="1B8E00F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31C8FC5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0684ACC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AE54A1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285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3957977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70598A0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3611801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586CDAA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r>
      <w:tr w:rsidR="00586723" w:rsidRPr="008A59FA" w14:paraId="4D95D307"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878036D"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Буџет Републике</w:t>
            </w:r>
          </w:p>
        </w:tc>
        <w:tc>
          <w:tcPr>
            <w:tcW w:w="1028" w:type="dxa"/>
            <w:tcBorders>
              <w:top w:val="nil"/>
            </w:tcBorders>
            <w:shd w:val="clear" w:color="000000" w:fill="FFFFFF"/>
            <w:noWrap/>
            <w:vAlign w:val="center"/>
            <w:hideMark/>
          </w:tcPr>
          <w:p w14:paraId="6F28449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342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28" w:type="dxa"/>
            <w:tcBorders>
              <w:top w:val="nil"/>
            </w:tcBorders>
            <w:shd w:val="clear" w:color="000000" w:fill="FFFFFF"/>
            <w:noWrap/>
            <w:vAlign w:val="center"/>
            <w:hideMark/>
          </w:tcPr>
          <w:p w14:paraId="76DB2B9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42" w:type="dxa"/>
            <w:tcBorders>
              <w:top w:val="nil"/>
            </w:tcBorders>
            <w:shd w:val="clear" w:color="000000" w:fill="FFFFFF"/>
            <w:noWrap/>
            <w:vAlign w:val="center"/>
            <w:hideMark/>
          </w:tcPr>
          <w:p w14:paraId="5124339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96</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07" w:type="dxa"/>
            <w:tcBorders>
              <w:top w:val="nil"/>
            </w:tcBorders>
            <w:shd w:val="clear" w:color="000000" w:fill="FFFFFF"/>
            <w:noWrap/>
            <w:vAlign w:val="center"/>
            <w:hideMark/>
          </w:tcPr>
          <w:p w14:paraId="74DD26A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632121A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09159C2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1D134CE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208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0879BBC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nil"/>
            </w:tcBorders>
            <w:shd w:val="clear" w:color="000000" w:fill="FFFFFF"/>
            <w:noWrap/>
            <w:vAlign w:val="center"/>
            <w:hideMark/>
          </w:tcPr>
          <w:p w14:paraId="412622F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6F18AE8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20ED605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r>
      <w:tr w:rsidR="00586723" w:rsidRPr="008A59FA" w14:paraId="5DB27F97"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7CDA331"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Градови и општине</w:t>
            </w:r>
          </w:p>
        </w:tc>
        <w:tc>
          <w:tcPr>
            <w:tcW w:w="1028" w:type="dxa"/>
            <w:tcBorders>
              <w:top w:val="nil"/>
            </w:tcBorders>
            <w:shd w:val="clear" w:color="000000" w:fill="FFFFFF"/>
            <w:noWrap/>
            <w:vAlign w:val="center"/>
            <w:hideMark/>
          </w:tcPr>
          <w:p w14:paraId="76FA34A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77C2470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732AB98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491BFA2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158BE7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548F2D8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3D24F2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633BDC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A05162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02F7DE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8FD04E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31265B12"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3D5B260"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AП Војводина</w:t>
            </w:r>
          </w:p>
        </w:tc>
        <w:tc>
          <w:tcPr>
            <w:tcW w:w="1028" w:type="dxa"/>
            <w:tcBorders>
              <w:top w:val="nil"/>
            </w:tcBorders>
            <w:shd w:val="clear" w:color="000000" w:fill="FFFFFF"/>
            <w:noWrap/>
            <w:vAlign w:val="center"/>
            <w:hideMark/>
          </w:tcPr>
          <w:p w14:paraId="5828E3A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33B1F17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4C88D80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38D4DCD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929CCF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33A9394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E0679C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597AE19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A2C77E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6FFC46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D1EC98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1395E828"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7809443"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ПИО</w:t>
            </w:r>
          </w:p>
        </w:tc>
        <w:tc>
          <w:tcPr>
            <w:tcW w:w="1028" w:type="dxa"/>
            <w:tcBorders>
              <w:top w:val="nil"/>
            </w:tcBorders>
            <w:shd w:val="clear" w:color="000000" w:fill="FFFFFF"/>
            <w:noWrap/>
            <w:vAlign w:val="center"/>
            <w:hideMark/>
          </w:tcPr>
          <w:p w14:paraId="0AC4963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32C2DD6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78B5493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5DC743D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08235B2"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5E52B60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61EAFA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02460DA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485E9E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tcPr>
          <w:p w14:paraId="306A110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01C953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r>
      <w:tr w:rsidR="00586723" w:rsidRPr="008A59FA" w14:paraId="2446ADDE"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8F7F369"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РФЗО</w:t>
            </w:r>
          </w:p>
        </w:tc>
        <w:tc>
          <w:tcPr>
            <w:tcW w:w="1028" w:type="dxa"/>
            <w:tcBorders>
              <w:top w:val="nil"/>
            </w:tcBorders>
            <w:shd w:val="clear" w:color="000000" w:fill="FFFFFF"/>
            <w:noWrap/>
            <w:vAlign w:val="center"/>
            <w:hideMark/>
          </w:tcPr>
          <w:p w14:paraId="5B41FBC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0D64EC3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73C6DB8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2EE103A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955819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3058937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11DCC0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7F2981F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tcPr>
          <w:p w14:paraId="766C7F0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3B5231B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B4940C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7A505962"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4688F17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НСЗ</w:t>
            </w:r>
          </w:p>
        </w:tc>
        <w:tc>
          <w:tcPr>
            <w:tcW w:w="1028" w:type="dxa"/>
            <w:tcBorders>
              <w:top w:val="nil"/>
            </w:tcBorders>
            <w:shd w:val="clear" w:color="000000" w:fill="FFFFFF"/>
            <w:noWrap/>
            <w:vAlign w:val="center"/>
            <w:hideMark/>
          </w:tcPr>
          <w:p w14:paraId="0EA5526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77580FC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0861A8D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2596593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3E9F73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11BDB71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62603D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6B6D123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52607EA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tcPr>
          <w:p w14:paraId="5AE8A3C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29DF65C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53BF86E8"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781F97D"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СОВО</w:t>
            </w:r>
          </w:p>
        </w:tc>
        <w:tc>
          <w:tcPr>
            <w:tcW w:w="1028" w:type="dxa"/>
            <w:tcBorders>
              <w:top w:val="nil"/>
            </w:tcBorders>
            <w:shd w:val="clear" w:color="000000" w:fill="FFFFFF"/>
            <w:noWrap/>
            <w:vAlign w:val="center"/>
            <w:hideMark/>
          </w:tcPr>
          <w:p w14:paraId="504D180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389FF33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6B41D4E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57907E0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D40891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FD9404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C83D1B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08111ED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13D9E5C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2950761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0ECFC4D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7CB817B6"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75A75675"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Остали нивои</w:t>
            </w:r>
          </w:p>
        </w:tc>
        <w:tc>
          <w:tcPr>
            <w:tcW w:w="1028" w:type="dxa"/>
            <w:tcBorders>
              <w:top w:val="nil"/>
            </w:tcBorders>
            <w:shd w:val="clear" w:color="000000" w:fill="FFFFFF"/>
            <w:noWrap/>
            <w:vAlign w:val="center"/>
            <w:hideMark/>
          </w:tcPr>
          <w:p w14:paraId="2FACC11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1178492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42" w:type="dxa"/>
            <w:tcBorders>
              <w:top w:val="nil"/>
            </w:tcBorders>
            <w:shd w:val="clear" w:color="000000" w:fill="FFFFFF"/>
            <w:noWrap/>
            <w:vAlign w:val="center"/>
            <w:hideMark/>
          </w:tcPr>
          <w:p w14:paraId="4E9A2C3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0B9E05E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85642C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304D3C9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E1A345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6E56AC0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0E12216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6898EB6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4D8B869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115463DD"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D72A9C9"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Трансфери другим нивоима власти</w:t>
            </w:r>
          </w:p>
        </w:tc>
        <w:tc>
          <w:tcPr>
            <w:tcW w:w="1028" w:type="dxa"/>
            <w:tcBorders>
              <w:top w:val="nil"/>
            </w:tcBorders>
            <w:shd w:val="clear" w:color="000000" w:fill="FFFFFF"/>
            <w:noWrap/>
            <w:vAlign w:val="center"/>
            <w:hideMark/>
          </w:tcPr>
          <w:p w14:paraId="72E869D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420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59317DE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335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42" w:type="dxa"/>
            <w:tcBorders>
              <w:top w:val="nil"/>
            </w:tcBorders>
            <w:shd w:val="clear" w:color="000000" w:fill="FFFFFF"/>
            <w:noWrap/>
            <w:vAlign w:val="center"/>
            <w:hideMark/>
          </w:tcPr>
          <w:p w14:paraId="5AB7D94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07" w:type="dxa"/>
            <w:tcBorders>
              <w:top w:val="nil"/>
            </w:tcBorders>
            <w:shd w:val="clear" w:color="000000" w:fill="FFFFFF"/>
            <w:noWrap/>
            <w:vAlign w:val="center"/>
            <w:hideMark/>
          </w:tcPr>
          <w:p w14:paraId="5A16D11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tcPr>
          <w:p w14:paraId="385FE22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tcPr>
          <w:p w14:paraId="5172DB1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E4CBA2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76" w:type="dxa"/>
            <w:tcBorders>
              <w:top w:val="nil"/>
            </w:tcBorders>
            <w:shd w:val="clear" w:color="000000" w:fill="FFFFFF"/>
            <w:noWrap/>
            <w:vAlign w:val="center"/>
            <w:hideMark/>
          </w:tcPr>
          <w:p w14:paraId="208F5DF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37148BB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2A41EF0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tcPr>
          <w:p w14:paraId="3E7B0AA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76DDA6EC"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6D87DBCA"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Буџет Републике</w:t>
            </w:r>
          </w:p>
        </w:tc>
        <w:tc>
          <w:tcPr>
            <w:tcW w:w="1028" w:type="dxa"/>
            <w:tcBorders>
              <w:top w:val="nil"/>
            </w:tcBorders>
            <w:shd w:val="clear" w:color="000000" w:fill="FFFFFF"/>
            <w:noWrap/>
            <w:vAlign w:val="center"/>
            <w:hideMark/>
          </w:tcPr>
          <w:p w14:paraId="1007D1A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8" w:type="dxa"/>
            <w:tcBorders>
              <w:top w:val="nil"/>
            </w:tcBorders>
            <w:shd w:val="clear" w:color="000000" w:fill="FFFFFF"/>
            <w:noWrap/>
            <w:vAlign w:val="center"/>
            <w:hideMark/>
          </w:tcPr>
          <w:p w14:paraId="1703353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711D12E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07" w:type="dxa"/>
            <w:tcBorders>
              <w:top w:val="nil"/>
            </w:tcBorders>
            <w:shd w:val="clear" w:color="000000" w:fill="FFFFFF"/>
            <w:noWrap/>
            <w:vAlign w:val="center"/>
            <w:hideMark/>
          </w:tcPr>
          <w:p w14:paraId="036B5AA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hideMark/>
          </w:tcPr>
          <w:p w14:paraId="488067D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11C9A6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15BCEC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7A17DFE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0F5E77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4BE1AA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C11184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383B9809"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05995FC"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Градови и општине</w:t>
            </w:r>
          </w:p>
        </w:tc>
        <w:tc>
          <w:tcPr>
            <w:tcW w:w="1028" w:type="dxa"/>
            <w:tcBorders>
              <w:top w:val="nil"/>
            </w:tcBorders>
            <w:shd w:val="clear" w:color="000000" w:fill="FFFFFF"/>
            <w:noWrap/>
            <w:vAlign w:val="center"/>
            <w:hideMark/>
          </w:tcPr>
          <w:p w14:paraId="77DBADE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41AB4A1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57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hideMark/>
          </w:tcPr>
          <w:p w14:paraId="63461FC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143F1EA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488512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C9D0BA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FD49CA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1A8B434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BA00D9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637740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86A7C9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54B7DE87"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6144548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 xml:space="preserve"> AП Војводина</w:t>
            </w:r>
          </w:p>
        </w:tc>
        <w:tc>
          <w:tcPr>
            <w:tcW w:w="1028" w:type="dxa"/>
            <w:tcBorders>
              <w:top w:val="nil"/>
            </w:tcBorders>
            <w:shd w:val="clear" w:color="000000" w:fill="FFFFFF"/>
            <w:noWrap/>
            <w:vAlign w:val="center"/>
            <w:hideMark/>
          </w:tcPr>
          <w:p w14:paraId="156CA9C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04B9D0C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42" w:type="dxa"/>
            <w:tcBorders>
              <w:top w:val="nil"/>
            </w:tcBorders>
            <w:shd w:val="clear" w:color="000000" w:fill="FFFFFF"/>
            <w:noWrap/>
            <w:vAlign w:val="center"/>
            <w:hideMark/>
          </w:tcPr>
          <w:p w14:paraId="678AE61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56AACA7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127031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0AE4F7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A2C48D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4FF38FE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4DE3E1B6"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A56F2B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4A90F2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0AE970AB"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CE0CF30"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ПИО</w:t>
            </w:r>
          </w:p>
        </w:tc>
        <w:tc>
          <w:tcPr>
            <w:tcW w:w="1028" w:type="dxa"/>
            <w:tcBorders>
              <w:top w:val="nil"/>
            </w:tcBorders>
            <w:shd w:val="clear" w:color="000000" w:fill="FFFFFF"/>
            <w:noWrap/>
            <w:vAlign w:val="center"/>
            <w:hideMark/>
          </w:tcPr>
          <w:p w14:paraId="47793EB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11683AB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129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3</w:t>
            </w:r>
          </w:p>
        </w:tc>
        <w:tc>
          <w:tcPr>
            <w:tcW w:w="1042" w:type="dxa"/>
            <w:tcBorders>
              <w:top w:val="nil"/>
            </w:tcBorders>
            <w:shd w:val="clear" w:color="000000" w:fill="FFFFFF"/>
            <w:noWrap/>
            <w:vAlign w:val="center"/>
            <w:hideMark/>
          </w:tcPr>
          <w:p w14:paraId="66A058F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3081CC3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E83C3E0"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1FFE522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AA34E1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76" w:type="dxa"/>
            <w:tcBorders>
              <w:top w:val="nil"/>
            </w:tcBorders>
            <w:shd w:val="clear" w:color="000000" w:fill="FFFFFF"/>
            <w:noWrap/>
            <w:vAlign w:val="center"/>
          </w:tcPr>
          <w:p w14:paraId="65F83FC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FB33A0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76" w:type="dxa"/>
            <w:tcBorders>
              <w:top w:val="nil"/>
            </w:tcBorders>
            <w:shd w:val="clear" w:color="000000" w:fill="FFFFFF"/>
            <w:noWrap/>
            <w:vAlign w:val="center"/>
            <w:hideMark/>
          </w:tcPr>
          <w:p w14:paraId="19C56FF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tcPr>
          <w:p w14:paraId="466424E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3D70E40E"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893F80F"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РФЗО</w:t>
            </w:r>
          </w:p>
        </w:tc>
        <w:tc>
          <w:tcPr>
            <w:tcW w:w="1028" w:type="dxa"/>
            <w:tcBorders>
              <w:top w:val="nil"/>
            </w:tcBorders>
            <w:shd w:val="clear" w:color="000000" w:fill="FFFFFF"/>
            <w:noWrap/>
            <w:vAlign w:val="center"/>
            <w:hideMark/>
          </w:tcPr>
          <w:p w14:paraId="1FA02A2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28" w:type="dxa"/>
            <w:tcBorders>
              <w:top w:val="nil"/>
            </w:tcBorders>
            <w:shd w:val="clear" w:color="000000" w:fill="FFFFFF"/>
            <w:noWrap/>
            <w:vAlign w:val="center"/>
            <w:hideMark/>
          </w:tcPr>
          <w:p w14:paraId="5E7EA1D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7</w:t>
            </w:r>
          </w:p>
        </w:tc>
        <w:tc>
          <w:tcPr>
            <w:tcW w:w="1042" w:type="dxa"/>
            <w:tcBorders>
              <w:top w:val="nil"/>
            </w:tcBorders>
            <w:shd w:val="clear" w:color="000000" w:fill="FFFFFF"/>
            <w:noWrap/>
            <w:vAlign w:val="center"/>
            <w:hideMark/>
          </w:tcPr>
          <w:p w14:paraId="3B13965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797C3EC8"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E81660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35351A67"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142A9C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578E2C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65</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tcPr>
          <w:p w14:paraId="09A0ED2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DB774A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tcPr>
          <w:p w14:paraId="0202B89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18AFB786"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EE9CD73"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НСЗ</w:t>
            </w:r>
          </w:p>
        </w:tc>
        <w:tc>
          <w:tcPr>
            <w:tcW w:w="1028" w:type="dxa"/>
            <w:tcBorders>
              <w:top w:val="nil"/>
            </w:tcBorders>
            <w:shd w:val="clear" w:color="000000" w:fill="FFFFFF"/>
            <w:noWrap/>
            <w:vAlign w:val="center"/>
            <w:hideMark/>
          </w:tcPr>
          <w:p w14:paraId="5A7B6F8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4C722AB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42" w:type="dxa"/>
            <w:tcBorders>
              <w:top w:val="nil"/>
            </w:tcBorders>
            <w:shd w:val="clear" w:color="000000" w:fill="FFFFFF"/>
            <w:noWrap/>
            <w:vAlign w:val="center"/>
            <w:hideMark/>
          </w:tcPr>
          <w:p w14:paraId="52DE844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3D86708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9982D8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0E188F1C"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5F36D593"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55AC4F4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4E6A3FB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D1A4E8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5437A17"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2F32E168"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28204A20"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Фонд СОВО</w:t>
            </w:r>
          </w:p>
        </w:tc>
        <w:tc>
          <w:tcPr>
            <w:tcW w:w="1028" w:type="dxa"/>
            <w:tcBorders>
              <w:top w:val="nil"/>
            </w:tcBorders>
            <w:shd w:val="clear" w:color="000000" w:fill="FFFFFF"/>
            <w:noWrap/>
            <w:vAlign w:val="center"/>
            <w:hideMark/>
          </w:tcPr>
          <w:p w14:paraId="79C87B2C"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8" w:type="dxa"/>
            <w:tcBorders>
              <w:top w:val="nil"/>
            </w:tcBorders>
            <w:shd w:val="clear" w:color="000000" w:fill="FFFFFF"/>
            <w:noWrap/>
            <w:vAlign w:val="center"/>
            <w:hideMark/>
          </w:tcPr>
          <w:p w14:paraId="1B2A471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42" w:type="dxa"/>
            <w:tcBorders>
              <w:top w:val="nil"/>
            </w:tcBorders>
            <w:shd w:val="clear" w:color="000000" w:fill="FFFFFF"/>
            <w:noWrap/>
            <w:vAlign w:val="center"/>
            <w:hideMark/>
          </w:tcPr>
          <w:p w14:paraId="3FF6EE6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7F243769"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B6EA31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4E7485F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67456824"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6CB92B7B"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tcPr>
          <w:p w14:paraId="16C5F7EF"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43C5552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046198E3"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p>
        </w:tc>
      </w:tr>
      <w:tr w:rsidR="00586723" w:rsidRPr="008A59FA" w14:paraId="0F4A8ED2"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4DFE1B50"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Остали нивои</w:t>
            </w:r>
          </w:p>
        </w:tc>
        <w:tc>
          <w:tcPr>
            <w:tcW w:w="1028" w:type="dxa"/>
            <w:tcBorders>
              <w:top w:val="nil"/>
            </w:tcBorders>
            <w:shd w:val="clear" w:color="000000" w:fill="FFFFFF"/>
            <w:noWrap/>
            <w:vAlign w:val="center"/>
            <w:hideMark/>
          </w:tcPr>
          <w:p w14:paraId="286A9F4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28" w:type="dxa"/>
            <w:tcBorders>
              <w:top w:val="nil"/>
            </w:tcBorders>
            <w:shd w:val="clear" w:color="000000" w:fill="FFFFFF"/>
            <w:noWrap/>
            <w:vAlign w:val="center"/>
            <w:hideMark/>
          </w:tcPr>
          <w:p w14:paraId="1D6E6BF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42" w:type="dxa"/>
            <w:tcBorders>
              <w:top w:val="nil"/>
            </w:tcBorders>
            <w:shd w:val="clear" w:color="000000" w:fill="FFFFFF"/>
            <w:noWrap/>
            <w:vAlign w:val="center"/>
            <w:hideMark/>
          </w:tcPr>
          <w:p w14:paraId="3030F3D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07" w:type="dxa"/>
            <w:tcBorders>
              <w:top w:val="nil"/>
            </w:tcBorders>
            <w:shd w:val="clear" w:color="000000" w:fill="FFFFFF"/>
            <w:noWrap/>
            <w:vAlign w:val="center"/>
            <w:hideMark/>
          </w:tcPr>
          <w:p w14:paraId="61085F4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93BA8D2"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20C8301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3AE9DE3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tcPr>
          <w:p w14:paraId="38FEA11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1B78047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665134A1"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tcPr>
          <w:p w14:paraId="545D030B"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1DB0050B"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3A55CF41"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Нето трансфери другим нивоима власти</w:t>
            </w:r>
          </w:p>
        </w:tc>
        <w:tc>
          <w:tcPr>
            <w:tcW w:w="1028" w:type="dxa"/>
            <w:tcBorders>
              <w:top w:val="nil"/>
            </w:tcBorders>
            <w:shd w:val="clear" w:color="000000" w:fill="FFFFFF"/>
            <w:noWrap/>
            <w:vAlign w:val="center"/>
            <w:hideMark/>
          </w:tcPr>
          <w:p w14:paraId="08FCB69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hideMark/>
          </w:tcPr>
          <w:p w14:paraId="61F5D81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-327</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42" w:type="dxa"/>
            <w:tcBorders>
              <w:top w:val="nil"/>
            </w:tcBorders>
            <w:shd w:val="clear" w:color="000000" w:fill="FFFFFF"/>
            <w:noWrap/>
            <w:vAlign w:val="center"/>
            <w:hideMark/>
          </w:tcPr>
          <w:p w14:paraId="2F6F88E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88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07" w:type="dxa"/>
            <w:tcBorders>
              <w:top w:val="nil"/>
            </w:tcBorders>
            <w:shd w:val="clear" w:color="000000" w:fill="FFFFFF"/>
            <w:noWrap/>
            <w:vAlign w:val="center"/>
            <w:hideMark/>
          </w:tcPr>
          <w:p w14:paraId="64E4CA21"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49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4</w:t>
            </w:r>
          </w:p>
        </w:tc>
        <w:tc>
          <w:tcPr>
            <w:tcW w:w="1076" w:type="dxa"/>
            <w:tcBorders>
              <w:top w:val="nil"/>
            </w:tcBorders>
            <w:shd w:val="clear" w:color="000000" w:fill="FFFFFF"/>
            <w:noWrap/>
            <w:vAlign w:val="center"/>
            <w:hideMark/>
          </w:tcPr>
          <w:p w14:paraId="382B529E"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39</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c>
          <w:tcPr>
            <w:tcW w:w="1022" w:type="dxa"/>
            <w:tcBorders>
              <w:top w:val="nil"/>
            </w:tcBorders>
            <w:shd w:val="clear" w:color="000000" w:fill="FFFFFF"/>
            <w:noWrap/>
            <w:vAlign w:val="center"/>
            <w:hideMark/>
          </w:tcPr>
          <w:p w14:paraId="710D5030"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26CA24A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208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5</w:t>
            </w:r>
          </w:p>
        </w:tc>
        <w:tc>
          <w:tcPr>
            <w:tcW w:w="1076" w:type="dxa"/>
            <w:tcBorders>
              <w:top w:val="nil"/>
            </w:tcBorders>
            <w:shd w:val="clear" w:color="000000" w:fill="FFFFFF"/>
            <w:noWrap/>
            <w:vAlign w:val="center"/>
            <w:hideMark/>
          </w:tcPr>
          <w:p w14:paraId="33EC944D"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68</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8</w:t>
            </w:r>
          </w:p>
        </w:tc>
        <w:tc>
          <w:tcPr>
            <w:tcW w:w="1076" w:type="dxa"/>
            <w:tcBorders>
              <w:top w:val="nil"/>
            </w:tcBorders>
            <w:shd w:val="clear" w:color="000000" w:fill="FFFFFF"/>
            <w:noWrap/>
            <w:vAlign w:val="center"/>
            <w:hideMark/>
          </w:tcPr>
          <w:p w14:paraId="160216F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134</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6</w:t>
            </w:r>
          </w:p>
        </w:tc>
        <w:tc>
          <w:tcPr>
            <w:tcW w:w="1076" w:type="dxa"/>
            <w:tcBorders>
              <w:top w:val="nil"/>
            </w:tcBorders>
            <w:shd w:val="clear" w:color="000000" w:fill="FFFFFF"/>
            <w:noWrap/>
            <w:vAlign w:val="center"/>
            <w:hideMark/>
          </w:tcPr>
          <w:p w14:paraId="69376555"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2</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0D374DCA" w14:textId="77777777" w:rsidR="00586723" w:rsidRPr="000418DA"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3</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1</w:t>
            </w:r>
          </w:p>
        </w:tc>
      </w:tr>
      <w:tr w:rsidR="00586723" w:rsidRPr="008A59FA" w14:paraId="0507D17B" w14:textId="77777777" w:rsidTr="00282E6F">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2875" w:type="dxa"/>
            <w:shd w:val="clear" w:color="auto" w:fill="auto"/>
            <w:noWrap/>
            <w:vAlign w:val="center"/>
            <w:hideMark/>
          </w:tcPr>
          <w:p w14:paraId="04BE357E" w14:textId="77777777" w:rsidR="00586723" w:rsidRPr="00282E6F" w:rsidRDefault="00586723" w:rsidP="00282E6F">
            <w:pPr>
              <w:tabs>
                <w:tab w:val="center" w:pos="4680"/>
                <w:tab w:val="right" w:pos="9360"/>
              </w:tabs>
              <w:jc w:val="left"/>
              <w:rPr>
                <w:rFonts w:ascii="Calibri" w:hAnsi="Calibri" w:cs="Calibri"/>
                <w:b w:val="0"/>
                <w:color w:val="002060"/>
                <w:sz w:val="14"/>
                <w:szCs w:val="14"/>
                <w:lang w:val="sr-Cyrl-RS"/>
              </w:rPr>
            </w:pPr>
            <w:r w:rsidRPr="00282E6F">
              <w:rPr>
                <w:rFonts w:ascii="Calibri" w:hAnsi="Calibri" w:cs="Calibri"/>
                <w:b w:val="0"/>
                <w:color w:val="002060"/>
                <w:sz w:val="14"/>
                <w:szCs w:val="14"/>
                <w:lang w:val="sr-Cyrl-RS"/>
              </w:rPr>
              <w:t>Нераспоређени фискални простор</w:t>
            </w:r>
          </w:p>
        </w:tc>
        <w:tc>
          <w:tcPr>
            <w:tcW w:w="1028" w:type="dxa"/>
            <w:tcBorders>
              <w:top w:val="nil"/>
            </w:tcBorders>
            <w:shd w:val="clear" w:color="000000" w:fill="FFFFFF"/>
            <w:noWrap/>
            <w:vAlign w:val="center"/>
            <w:hideMark/>
          </w:tcPr>
          <w:p w14:paraId="1016C29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28" w:type="dxa"/>
            <w:tcBorders>
              <w:top w:val="nil"/>
            </w:tcBorders>
            <w:shd w:val="clear" w:color="000000" w:fill="FFFFFF"/>
            <w:noWrap/>
            <w:vAlign w:val="center"/>
          </w:tcPr>
          <w:p w14:paraId="543508CE"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42" w:type="dxa"/>
            <w:tcBorders>
              <w:top w:val="nil"/>
            </w:tcBorders>
            <w:shd w:val="clear" w:color="000000" w:fill="FFFFFF"/>
            <w:noWrap/>
            <w:vAlign w:val="center"/>
          </w:tcPr>
          <w:p w14:paraId="119FA5C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07" w:type="dxa"/>
            <w:tcBorders>
              <w:top w:val="nil"/>
            </w:tcBorders>
            <w:shd w:val="clear" w:color="000000" w:fill="FFFFFF"/>
            <w:noWrap/>
            <w:vAlign w:val="center"/>
            <w:hideMark/>
          </w:tcPr>
          <w:p w14:paraId="34A755BA"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2908E46"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22" w:type="dxa"/>
            <w:tcBorders>
              <w:top w:val="nil"/>
            </w:tcBorders>
            <w:shd w:val="clear" w:color="000000" w:fill="FFFFFF"/>
            <w:noWrap/>
            <w:vAlign w:val="center"/>
            <w:hideMark/>
          </w:tcPr>
          <w:p w14:paraId="4EAED4C4"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24254C08"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r w:rsidRPr="000418DA">
              <w:rPr>
                <w:rFonts w:ascii="Calibri" w:hAnsi="Calibri" w:cs="Calibri"/>
                <w:color w:val="002060"/>
                <w:sz w:val="14"/>
                <w:szCs w:val="14"/>
                <w:lang w:val="sr-Cyrl-RS"/>
              </w:rPr>
              <w:t>0</w:t>
            </w:r>
            <w:r w:rsidR="00282E6F">
              <w:rPr>
                <w:rFonts w:ascii="Calibri" w:hAnsi="Calibri" w:cs="Calibri"/>
                <w:color w:val="002060"/>
                <w:sz w:val="14"/>
                <w:szCs w:val="14"/>
                <w:lang w:val="sr-Cyrl-RS"/>
              </w:rPr>
              <w:t>,</w:t>
            </w:r>
            <w:r w:rsidRPr="000418DA">
              <w:rPr>
                <w:rFonts w:ascii="Calibri" w:hAnsi="Calibri" w:cs="Calibri"/>
                <w:color w:val="002060"/>
                <w:sz w:val="14"/>
                <w:szCs w:val="14"/>
                <w:lang w:val="sr-Cyrl-RS"/>
              </w:rPr>
              <w:t>0</w:t>
            </w:r>
          </w:p>
        </w:tc>
        <w:tc>
          <w:tcPr>
            <w:tcW w:w="1076" w:type="dxa"/>
            <w:tcBorders>
              <w:top w:val="nil"/>
            </w:tcBorders>
            <w:shd w:val="clear" w:color="000000" w:fill="FFFFFF"/>
            <w:noWrap/>
            <w:vAlign w:val="center"/>
            <w:hideMark/>
          </w:tcPr>
          <w:p w14:paraId="45E286CD"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1E5A53A5"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0A47AD5F"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c>
          <w:tcPr>
            <w:tcW w:w="1076" w:type="dxa"/>
            <w:tcBorders>
              <w:top w:val="nil"/>
            </w:tcBorders>
            <w:shd w:val="clear" w:color="000000" w:fill="FFFFFF"/>
            <w:noWrap/>
            <w:vAlign w:val="center"/>
            <w:hideMark/>
          </w:tcPr>
          <w:p w14:paraId="7AD2D379" w14:textId="77777777" w:rsidR="00586723" w:rsidRPr="000418DA" w:rsidRDefault="00586723" w:rsidP="00282E6F">
            <w:pPr>
              <w:tabs>
                <w:tab w:val="center" w:pos="4680"/>
                <w:tab w:val="right" w:pos="9360"/>
              </w:tabs>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2060"/>
                <w:sz w:val="14"/>
                <w:szCs w:val="14"/>
                <w:lang w:val="sr-Cyrl-RS"/>
              </w:rPr>
            </w:pPr>
          </w:p>
        </w:tc>
      </w:tr>
      <w:tr w:rsidR="00586723" w:rsidRPr="008A59FA" w14:paraId="32DB4284" w14:textId="77777777" w:rsidTr="00282E6F">
        <w:trPr>
          <w:trHeight w:val="175"/>
        </w:trPr>
        <w:tc>
          <w:tcPr>
            <w:cnfStyle w:val="001000000000" w:firstRow="0" w:lastRow="0" w:firstColumn="1" w:lastColumn="0" w:oddVBand="0" w:evenVBand="0" w:oddHBand="0" w:evenHBand="0" w:firstRowFirstColumn="0" w:firstRowLastColumn="0" w:lastRowFirstColumn="0" w:lastRowLastColumn="0"/>
            <w:tcW w:w="2875" w:type="dxa"/>
            <w:tcBorders>
              <w:bottom w:val="single" w:sz="4" w:space="0" w:color="auto"/>
            </w:tcBorders>
            <w:shd w:val="clear" w:color="auto" w:fill="DBDBDB" w:themeFill="accent3" w:themeFillTint="66"/>
            <w:noWrap/>
            <w:vAlign w:val="center"/>
            <w:hideMark/>
          </w:tcPr>
          <w:p w14:paraId="17FC0D5D" w14:textId="77777777" w:rsidR="00586723" w:rsidRPr="00A44517" w:rsidRDefault="00586723" w:rsidP="00282E6F">
            <w:pPr>
              <w:tabs>
                <w:tab w:val="center" w:pos="4680"/>
                <w:tab w:val="right" w:pos="9360"/>
              </w:tabs>
              <w:jc w:val="left"/>
              <w:rPr>
                <w:rFonts w:ascii="Calibri" w:hAnsi="Calibri" w:cs="Calibri"/>
                <w:color w:val="002060"/>
                <w:sz w:val="14"/>
                <w:szCs w:val="14"/>
                <w:lang w:val="sr-Cyrl-RS"/>
              </w:rPr>
            </w:pPr>
            <w:r w:rsidRPr="00A44517">
              <w:rPr>
                <w:rFonts w:ascii="Calibri" w:hAnsi="Calibri" w:cs="Calibri"/>
                <w:color w:val="002060"/>
                <w:sz w:val="14"/>
                <w:szCs w:val="14"/>
                <w:lang w:val="sr-Cyrl-RS"/>
              </w:rPr>
              <w:t>Фискални резултат</w:t>
            </w:r>
          </w:p>
        </w:tc>
        <w:tc>
          <w:tcPr>
            <w:tcW w:w="1028" w:type="dxa"/>
            <w:tcBorders>
              <w:top w:val="nil"/>
              <w:bottom w:val="single" w:sz="4" w:space="0" w:color="auto"/>
            </w:tcBorders>
            <w:shd w:val="clear" w:color="auto" w:fill="DBDBDB" w:themeFill="accent3" w:themeFillTint="66"/>
            <w:noWrap/>
            <w:vAlign w:val="center"/>
            <w:hideMark/>
          </w:tcPr>
          <w:p w14:paraId="3B996CAC"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-188</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1</w:t>
            </w:r>
          </w:p>
        </w:tc>
        <w:tc>
          <w:tcPr>
            <w:tcW w:w="1028" w:type="dxa"/>
            <w:tcBorders>
              <w:top w:val="nil"/>
              <w:bottom w:val="single" w:sz="4" w:space="0" w:color="auto"/>
            </w:tcBorders>
            <w:shd w:val="clear" w:color="auto" w:fill="DBDBDB" w:themeFill="accent3" w:themeFillTint="66"/>
            <w:noWrap/>
            <w:vAlign w:val="center"/>
            <w:hideMark/>
          </w:tcPr>
          <w:p w14:paraId="07EACBB1"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-187</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3</w:t>
            </w:r>
          </w:p>
        </w:tc>
        <w:tc>
          <w:tcPr>
            <w:tcW w:w="1042" w:type="dxa"/>
            <w:tcBorders>
              <w:top w:val="nil"/>
              <w:bottom w:val="single" w:sz="4" w:space="0" w:color="auto"/>
            </w:tcBorders>
            <w:shd w:val="clear" w:color="auto" w:fill="DBDBDB" w:themeFill="accent3" w:themeFillTint="66"/>
            <w:noWrap/>
            <w:vAlign w:val="center"/>
            <w:hideMark/>
          </w:tcPr>
          <w:p w14:paraId="55950A89"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1</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4</w:t>
            </w:r>
          </w:p>
        </w:tc>
        <w:tc>
          <w:tcPr>
            <w:tcW w:w="1007" w:type="dxa"/>
            <w:tcBorders>
              <w:top w:val="nil"/>
              <w:bottom w:val="single" w:sz="4" w:space="0" w:color="auto"/>
            </w:tcBorders>
            <w:shd w:val="clear" w:color="auto" w:fill="DBDBDB" w:themeFill="accent3" w:themeFillTint="66"/>
            <w:noWrap/>
            <w:vAlign w:val="center"/>
            <w:hideMark/>
          </w:tcPr>
          <w:p w14:paraId="51C1FD50"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1</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c>
          <w:tcPr>
            <w:tcW w:w="1076" w:type="dxa"/>
            <w:tcBorders>
              <w:top w:val="nil"/>
              <w:bottom w:val="single" w:sz="4" w:space="0" w:color="auto"/>
            </w:tcBorders>
            <w:shd w:val="clear" w:color="auto" w:fill="DBDBDB" w:themeFill="accent3" w:themeFillTint="66"/>
            <w:noWrap/>
            <w:vAlign w:val="center"/>
            <w:hideMark/>
          </w:tcPr>
          <w:p w14:paraId="1A1FD436"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4</w:t>
            </w:r>
          </w:p>
        </w:tc>
        <w:tc>
          <w:tcPr>
            <w:tcW w:w="1022" w:type="dxa"/>
            <w:tcBorders>
              <w:top w:val="nil"/>
              <w:bottom w:val="single" w:sz="4" w:space="0" w:color="auto"/>
            </w:tcBorders>
            <w:shd w:val="clear" w:color="auto" w:fill="DBDBDB" w:themeFill="accent3" w:themeFillTint="66"/>
            <w:noWrap/>
            <w:vAlign w:val="center"/>
            <w:hideMark/>
          </w:tcPr>
          <w:p w14:paraId="521CCF8B"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-2</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2</w:t>
            </w:r>
          </w:p>
        </w:tc>
        <w:tc>
          <w:tcPr>
            <w:tcW w:w="1076" w:type="dxa"/>
            <w:tcBorders>
              <w:top w:val="nil"/>
              <w:bottom w:val="single" w:sz="4" w:space="0" w:color="auto"/>
            </w:tcBorders>
            <w:shd w:val="clear" w:color="auto" w:fill="DBDBDB" w:themeFill="accent3" w:themeFillTint="66"/>
            <w:noWrap/>
            <w:vAlign w:val="center"/>
            <w:hideMark/>
          </w:tcPr>
          <w:p w14:paraId="3652DC9E"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c>
          <w:tcPr>
            <w:tcW w:w="1076" w:type="dxa"/>
            <w:tcBorders>
              <w:top w:val="nil"/>
              <w:bottom w:val="single" w:sz="4" w:space="0" w:color="auto"/>
            </w:tcBorders>
            <w:shd w:val="clear" w:color="auto" w:fill="DBDBDB" w:themeFill="accent3" w:themeFillTint="66"/>
            <w:noWrap/>
            <w:vAlign w:val="center"/>
            <w:hideMark/>
          </w:tcPr>
          <w:p w14:paraId="23E65A10"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c>
          <w:tcPr>
            <w:tcW w:w="1076" w:type="dxa"/>
            <w:tcBorders>
              <w:top w:val="nil"/>
              <w:bottom w:val="single" w:sz="4" w:space="0" w:color="auto"/>
            </w:tcBorders>
            <w:shd w:val="clear" w:color="auto" w:fill="DBDBDB" w:themeFill="accent3" w:themeFillTint="66"/>
            <w:noWrap/>
            <w:vAlign w:val="center"/>
            <w:hideMark/>
          </w:tcPr>
          <w:p w14:paraId="5719E849"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c>
          <w:tcPr>
            <w:tcW w:w="1076" w:type="dxa"/>
            <w:tcBorders>
              <w:top w:val="nil"/>
              <w:bottom w:val="single" w:sz="4" w:space="0" w:color="auto"/>
            </w:tcBorders>
            <w:shd w:val="clear" w:color="auto" w:fill="DBDBDB" w:themeFill="accent3" w:themeFillTint="66"/>
            <w:noWrap/>
            <w:vAlign w:val="center"/>
            <w:hideMark/>
          </w:tcPr>
          <w:p w14:paraId="17F11582"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c>
          <w:tcPr>
            <w:tcW w:w="1076" w:type="dxa"/>
            <w:tcBorders>
              <w:top w:val="nil"/>
              <w:bottom w:val="single" w:sz="4" w:space="0" w:color="auto"/>
            </w:tcBorders>
            <w:shd w:val="clear" w:color="auto" w:fill="DBDBDB" w:themeFill="accent3" w:themeFillTint="66"/>
            <w:noWrap/>
            <w:vAlign w:val="center"/>
            <w:hideMark/>
          </w:tcPr>
          <w:p w14:paraId="16D2DFAA" w14:textId="77777777" w:rsidR="00586723" w:rsidRPr="00A44517" w:rsidRDefault="00586723" w:rsidP="00282E6F">
            <w:pPr>
              <w:tabs>
                <w:tab w:val="center" w:pos="4680"/>
                <w:tab w:val="right" w:pos="9360"/>
              </w:tabs>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002060"/>
                <w:sz w:val="14"/>
                <w:szCs w:val="14"/>
                <w:lang w:val="sr-Cyrl-RS"/>
              </w:rPr>
            </w:pPr>
            <w:r w:rsidRPr="00A44517">
              <w:rPr>
                <w:rFonts w:ascii="Calibri" w:hAnsi="Calibri" w:cs="Calibri"/>
                <w:b/>
                <w:color w:val="002060"/>
                <w:sz w:val="14"/>
                <w:szCs w:val="14"/>
                <w:lang w:val="sr-Cyrl-RS"/>
              </w:rPr>
              <w:t>0</w:t>
            </w:r>
            <w:r w:rsidR="00282E6F" w:rsidRPr="00A44517">
              <w:rPr>
                <w:rFonts w:ascii="Calibri" w:hAnsi="Calibri" w:cs="Calibri"/>
                <w:b/>
                <w:color w:val="002060"/>
                <w:sz w:val="14"/>
                <w:szCs w:val="14"/>
                <w:lang w:val="sr-Cyrl-RS"/>
              </w:rPr>
              <w:t>,</w:t>
            </w:r>
            <w:r w:rsidRPr="00A44517">
              <w:rPr>
                <w:rFonts w:ascii="Calibri" w:hAnsi="Calibri" w:cs="Calibri"/>
                <w:b/>
                <w:color w:val="002060"/>
                <w:sz w:val="14"/>
                <w:szCs w:val="14"/>
                <w:lang w:val="sr-Cyrl-RS"/>
              </w:rPr>
              <w:t>0</w:t>
            </w:r>
          </w:p>
        </w:tc>
      </w:tr>
    </w:tbl>
    <w:p w14:paraId="20939FEA" w14:textId="77777777" w:rsidR="00586723" w:rsidRPr="008A59FA" w:rsidRDefault="00586723" w:rsidP="00586723">
      <w:pPr>
        <w:tabs>
          <w:tab w:val="center" w:pos="4680"/>
          <w:tab w:val="right" w:pos="9360"/>
        </w:tabs>
        <w:spacing w:before="40" w:after="60" w:line="240" w:lineRule="auto"/>
        <w:ind w:right="340"/>
        <w:rPr>
          <w:rFonts w:cstheme="minorHAnsi"/>
          <w:sz w:val="16"/>
          <w:szCs w:val="16"/>
          <w:lang w:val="sr-Cyrl-RS"/>
        </w:rPr>
      </w:pPr>
      <w:r w:rsidRPr="008A59FA">
        <w:rPr>
          <w:rFonts w:cstheme="minorHAnsi"/>
          <w:sz w:val="16"/>
          <w:szCs w:val="16"/>
          <w:lang w:val="sr-Cyrl-RS"/>
        </w:rPr>
        <w:t>У табели је приказан оквирни износ прихода и расхода у 2022. години који је у већој мери заснован на статистичкој методологији рачуна јавних финансија него на рачуноводственој. Будући да током буџетског процеса може доћи до измена у висини и структури појединих категорија, ови износи нису законски обавезујући.</w:t>
      </w:r>
    </w:p>
    <w:p w14:paraId="5A6AA54E" w14:textId="77777777" w:rsidR="00586723" w:rsidRPr="002E2D44" w:rsidRDefault="00586723" w:rsidP="00282E6F">
      <w:pPr>
        <w:tabs>
          <w:tab w:val="center" w:pos="4680"/>
          <w:tab w:val="right" w:pos="9360"/>
        </w:tabs>
        <w:spacing w:before="40" w:after="60" w:line="240" w:lineRule="auto"/>
        <w:ind w:right="340"/>
        <w:rPr>
          <w:rFonts w:cstheme="minorHAnsi"/>
          <w:sz w:val="16"/>
          <w:szCs w:val="16"/>
          <w:lang w:val="sr-Cyrl-RS"/>
        </w:rPr>
      </w:pPr>
      <w:r w:rsidRPr="008A59FA">
        <w:rPr>
          <w:rFonts w:cstheme="minorHAnsi"/>
          <w:sz w:val="16"/>
          <w:szCs w:val="16"/>
          <w:lang w:val="sr-Cyrl-RS"/>
        </w:rPr>
        <w:t>* Буџет је приказан без дела сопствених прихода индиректних буџетских корисника и из њих финансираних расхода, који нису обухваћени информационим системом извршења буџета.</w:t>
      </w:r>
    </w:p>
    <w:sectPr w:rsidR="00586723" w:rsidRPr="002E2D44" w:rsidSect="002E2D44">
      <w:pgSz w:w="15840" w:h="12240" w:orient="landscape" w:code="1"/>
      <w:pgMar w:top="680" w:right="567" w:bottom="680" w:left="567" w:header="510" w:footer="39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92291B" w14:textId="77777777" w:rsidR="006B15CF" w:rsidRDefault="006B15CF" w:rsidP="00BF7F6A">
      <w:pPr>
        <w:spacing w:after="0" w:line="240" w:lineRule="auto"/>
      </w:pPr>
      <w:r>
        <w:separator/>
      </w:r>
    </w:p>
  </w:endnote>
  <w:endnote w:type="continuationSeparator" w:id="0">
    <w:p w14:paraId="155F7EB7" w14:textId="77777777" w:rsidR="006B15CF" w:rsidRDefault="006B15CF" w:rsidP="00BF7F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1CB8D" w14:textId="77777777" w:rsidR="00710E8E" w:rsidRDefault="00710E8E">
    <w:pPr>
      <w:pStyle w:val="Footer"/>
    </w:pPr>
  </w:p>
  <w:p w14:paraId="244AC78D" w14:textId="77777777" w:rsidR="00710E8E" w:rsidRDefault="00710E8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52690886"/>
      <w:docPartObj>
        <w:docPartGallery w:val="Page Numbers (Bottom of Page)"/>
        <w:docPartUnique/>
      </w:docPartObj>
    </w:sdtPr>
    <w:sdtEndPr>
      <w:rPr>
        <w:noProof/>
      </w:rPr>
    </w:sdtEndPr>
    <w:sdtContent>
      <w:p w14:paraId="352DEE41" w14:textId="77777777" w:rsidR="00710E8E" w:rsidRPr="001B7E15" w:rsidRDefault="00710E8E" w:rsidP="00C130D2">
        <w:pPr>
          <w:pStyle w:val="Footer"/>
        </w:pPr>
        <w:r w:rsidRPr="001B7E15">
          <w:fldChar w:fldCharType="begin"/>
        </w:r>
        <w:r w:rsidRPr="001B7E15">
          <w:instrText xml:space="preserve"> PAGE   \* MERGEFORMAT </w:instrText>
        </w:r>
        <w:r w:rsidRPr="001B7E15">
          <w:fldChar w:fldCharType="separate"/>
        </w:r>
        <w:r w:rsidR="002B7CC3">
          <w:rPr>
            <w:noProof/>
          </w:rPr>
          <w:t>20</w:t>
        </w:r>
        <w:r w:rsidRPr="001B7E15">
          <w:rPr>
            <w:noProof/>
          </w:rPr>
          <w:fldChar w:fldCharType="end"/>
        </w:r>
      </w:p>
    </w:sdtContent>
  </w:sdt>
  <w:p w14:paraId="3E19FA45" w14:textId="77777777" w:rsidR="00710E8E" w:rsidRPr="001B7E15" w:rsidRDefault="00710E8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56997669"/>
      <w:docPartObj>
        <w:docPartGallery w:val="Page Numbers (Bottom of Page)"/>
        <w:docPartUnique/>
      </w:docPartObj>
    </w:sdtPr>
    <w:sdtEndPr>
      <w:rPr>
        <w:noProof/>
      </w:rPr>
    </w:sdtEndPr>
    <w:sdtContent>
      <w:p w14:paraId="3FD0712F" w14:textId="77777777" w:rsidR="00710E8E" w:rsidRDefault="00710E8E" w:rsidP="00D20C27">
        <w:pPr>
          <w:pStyle w:val="Footer"/>
          <w:jc w:val="right"/>
        </w:pPr>
        <w:r>
          <w:fldChar w:fldCharType="begin"/>
        </w:r>
        <w:r>
          <w:instrText xml:space="preserve"> PAGE   \* MERGEFORMAT </w:instrText>
        </w:r>
        <w:r>
          <w:fldChar w:fldCharType="separate"/>
        </w:r>
        <w:r>
          <w:rPr>
            <w:noProof/>
          </w:rPr>
          <w:t>4</w:t>
        </w:r>
        <w:r>
          <w:rPr>
            <w:noProof/>
          </w:rPr>
          <w:fldChar w:fldCharType="end"/>
        </w:r>
      </w:p>
    </w:sdtContent>
  </w:sdt>
  <w:p w14:paraId="3A92E759" w14:textId="77777777" w:rsidR="00710E8E" w:rsidRDefault="00710E8E">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08347370"/>
      <w:docPartObj>
        <w:docPartGallery w:val="Page Numbers (Bottom of Page)"/>
        <w:docPartUnique/>
      </w:docPartObj>
    </w:sdtPr>
    <w:sdtEndPr>
      <w:rPr>
        <w:noProof/>
      </w:rPr>
    </w:sdtEndPr>
    <w:sdtContent>
      <w:p w14:paraId="229BED05" w14:textId="77777777" w:rsidR="00710E8E" w:rsidRDefault="00710E8E">
        <w:pPr>
          <w:pStyle w:val="Footer"/>
        </w:pPr>
        <w:r>
          <w:fldChar w:fldCharType="begin"/>
        </w:r>
        <w:r>
          <w:instrText xml:space="preserve"> PAGE   \* MERGEFORMAT </w:instrText>
        </w:r>
        <w:r>
          <w:fldChar w:fldCharType="separate"/>
        </w:r>
        <w:r w:rsidR="002B7CC3">
          <w:rPr>
            <w:noProof/>
          </w:rPr>
          <w:t>26</w:t>
        </w:r>
        <w:r>
          <w:rPr>
            <w:noProof/>
          </w:rPr>
          <w:fldChar w:fldCharType="end"/>
        </w:r>
      </w:p>
    </w:sdtContent>
  </w:sdt>
  <w:p w14:paraId="52E09894" w14:textId="77777777" w:rsidR="00710E8E" w:rsidRDefault="00710E8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66391138"/>
      <w:docPartObj>
        <w:docPartGallery w:val="Page Numbers (Bottom of Page)"/>
        <w:docPartUnique/>
      </w:docPartObj>
    </w:sdtPr>
    <w:sdtEndPr>
      <w:rPr>
        <w:noProof/>
      </w:rPr>
    </w:sdtEndPr>
    <w:sdtContent>
      <w:p w14:paraId="7A387E6F" w14:textId="77777777" w:rsidR="00710E8E" w:rsidRDefault="00710E8E" w:rsidP="00D20C27">
        <w:pPr>
          <w:pStyle w:val="Footer"/>
          <w:jc w:val="right"/>
        </w:pPr>
        <w:r>
          <w:fldChar w:fldCharType="begin"/>
        </w:r>
        <w:r>
          <w:instrText xml:space="preserve"> PAGE   \* MERGEFORMAT </w:instrText>
        </w:r>
        <w:r>
          <w:fldChar w:fldCharType="separate"/>
        </w:r>
        <w:r>
          <w:rPr>
            <w:noProof/>
          </w:rPr>
          <w:t>28</w:t>
        </w:r>
        <w:r>
          <w:rPr>
            <w:noProof/>
          </w:rPr>
          <w:fldChar w:fldCharType="end"/>
        </w:r>
      </w:p>
    </w:sdtContent>
  </w:sdt>
  <w:p w14:paraId="64575B43" w14:textId="77777777" w:rsidR="00710E8E" w:rsidRDefault="00710E8E">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5439455"/>
      <w:docPartObj>
        <w:docPartGallery w:val="Page Numbers (Bottom of Page)"/>
        <w:docPartUnique/>
      </w:docPartObj>
    </w:sdtPr>
    <w:sdtEndPr>
      <w:rPr>
        <w:noProof/>
      </w:rPr>
    </w:sdtEndPr>
    <w:sdtContent>
      <w:p w14:paraId="07B0D2F8" w14:textId="77777777" w:rsidR="00710E8E" w:rsidRDefault="00710E8E">
        <w:pPr>
          <w:pStyle w:val="Footer"/>
        </w:pPr>
        <w:r>
          <w:fldChar w:fldCharType="begin"/>
        </w:r>
        <w:r>
          <w:instrText xml:space="preserve"> PAGE   \* MERGEFORMAT </w:instrText>
        </w:r>
        <w:r>
          <w:fldChar w:fldCharType="separate"/>
        </w:r>
        <w:r w:rsidR="002B7CC3">
          <w:rPr>
            <w:noProof/>
          </w:rPr>
          <w:t>27</w:t>
        </w:r>
        <w:r>
          <w:rPr>
            <w:noProof/>
          </w:rPr>
          <w:fldChar w:fldCharType="end"/>
        </w:r>
      </w:p>
    </w:sdtContent>
  </w:sdt>
  <w:p w14:paraId="259A1E21" w14:textId="77777777" w:rsidR="00710E8E" w:rsidRDefault="00710E8E">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7720561"/>
      <w:docPartObj>
        <w:docPartGallery w:val="Page Numbers (Bottom of Page)"/>
        <w:docPartUnique/>
      </w:docPartObj>
    </w:sdtPr>
    <w:sdtEndPr>
      <w:rPr>
        <w:noProof/>
      </w:rPr>
    </w:sdtEndPr>
    <w:sdtContent>
      <w:p w14:paraId="192188EF" w14:textId="77777777" w:rsidR="00710E8E" w:rsidRPr="001B7E15" w:rsidRDefault="00710E8E" w:rsidP="00D20C27">
        <w:pPr>
          <w:pStyle w:val="Footer"/>
          <w:jc w:val="right"/>
        </w:pPr>
        <w:r w:rsidRPr="001B7E15">
          <w:fldChar w:fldCharType="begin"/>
        </w:r>
        <w:r w:rsidRPr="001B7E15">
          <w:instrText xml:space="preserve"> PAGE   \* MERGEFORMAT </w:instrText>
        </w:r>
        <w:r w:rsidRPr="001B7E15">
          <w:fldChar w:fldCharType="separate"/>
        </w:r>
        <w:r>
          <w:rPr>
            <w:noProof/>
          </w:rPr>
          <w:t>28</w:t>
        </w:r>
        <w:r w:rsidRPr="001B7E15">
          <w:rPr>
            <w:noProof/>
          </w:rPr>
          <w:fldChar w:fldCharType="end"/>
        </w:r>
      </w:p>
    </w:sdtContent>
  </w:sdt>
  <w:p w14:paraId="368EFC56" w14:textId="77777777" w:rsidR="00710E8E" w:rsidRPr="001B7E15" w:rsidRDefault="00710E8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66468655"/>
      <w:docPartObj>
        <w:docPartGallery w:val="Page Numbers (Bottom of Page)"/>
        <w:docPartUnique/>
      </w:docPartObj>
    </w:sdtPr>
    <w:sdtEndPr/>
    <w:sdtContent>
      <w:sdt>
        <w:sdtPr>
          <w:id w:val="671601084"/>
          <w:docPartObj>
            <w:docPartGallery w:val="Page Numbers (Bottom of Page)"/>
            <w:docPartUnique/>
          </w:docPartObj>
        </w:sdtPr>
        <w:sdtEndPr/>
        <w:sdtContent>
          <w:p w14:paraId="2DD072EF" w14:textId="77777777" w:rsidR="00710E8E" w:rsidRPr="001476C8" w:rsidRDefault="00710E8E" w:rsidP="007F1E4F">
            <w:pPr>
              <w:pStyle w:val="Footer"/>
              <w:jc w:val="left"/>
            </w:pPr>
            <w:r w:rsidRPr="001476C8">
              <w:fldChar w:fldCharType="begin"/>
            </w:r>
            <w:r w:rsidRPr="001476C8">
              <w:instrText xml:space="preserve"> PAGE   \* MERGEFORMAT </w:instrText>
            </w:r>
            <w:r w:rsidRPr="001476C8">
              <w:fldChar w:fldCharType="separate"/>
            </w:r>
            <w:r w:rsidR="002B7CC3">
              <w:rPr>
                <w:noProof/>
              </w:rPr>
              <w:t>28</w:t>
            </w:r>
            <w:r w:rsidRPr="001476C8">
              <w:fldChar w:fldCharType="end"/>
            </w:r>
          </w:p>
        </w:sdtContent>
      </w:sdt>
    </w:sdtContent>
  </w:sdt>
  <w:p w14:paraId="30D60C7F" w14:textId="77777777" w:rsidR="00710E8E" w:rsidRPr="004F72C4" w:rsidRDefault="00710E8E" w:rsidP="004F72C4">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8862087"/>
      <w:docPartObj>
        <w:docPartGallery w:val="Page Numbers (Bottom of Page)"/>
        <w:docPartUnique/>
      </w:docPartObj>
    </w:sdtPr>
    <w:sdtEndPr>
      <w:rPr>
        <w:noProof/>
      </w:rPr>
    </w:sdtEndPr>
    <w:sdtContent>
      <w:p w14:paraId="2BA95B60"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2</w:t>
        </w:r>
        <w:r w:rsidRPr="001B7E15">
          <w:rPr>
            <w:noProof/>
          </w:rPr>
          <w:fldChar w:fldCharType="end"/>
        </w:r>
      </w:p>
    </w:sdtContent>
  </w:sdt>
  <w:p w14:paraId="1B234BDE" w14:textId="77777777" w:rsidR="00710E8E" w:rsidRPr="00231623" w:rsidRDefault="00710E8E" w:rsidP="00231623">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4654684"/>
      <w:docPartObj>
        <w:docPartGallery w:val="Page Numbers (Bottom of Page)"/>
        <w:docPartUnique/>
      </w:docPartObj>
    </w:sdtPr>
    <w:sdtEndPr>
      <w:rPr>
        <w:noProof/>
      </w:rPr>
    </w:sdtEndPr>
    <w:sdtContent>
      <w:p w14:paraId="2086EE57" w14:textId="77777777" w:rsidR="00710E8E" w:rsidRPr="001B7E15" w:rsidRDefault="00710E8E" w:rsidP="00C130D2">
        <w:pPr>
          <w:pStyle w:val="Footer"/>
        </w:pPr>
        <w:r w:rsidRPr="001B7E15">
          <w:fldChar w:fldCharType="begin"/>
        </w:r>
        <w:r w:rsidRPr="001B7E15">
          <w:instrText xml:space="preserve"> PAGE   \* MERGEFORMAT </w:instrText>
        </w:r>
        <w:r w:rsidRPr="001B7E15">
          <w:fldChar w:fldCharType="separate"/>
        </w:r>
        <w:r w:rsidR="002B7CC3">
          <w:rPr>
            <w:noProof/>
          </w:rPr>
          <w:t>29</w:t>
        </w:r>
        <w:r w:rsidRPr="001B7E15">
          <w:rPr>
            <w:noProof/>
          </w:rPr>
          <w:fldChar w:fldCharType="end"/>
        </w:r>
      </w:p>
    </w:sdtContent>
  </w:sdt>
  <w:p w14:paraId="73724E94" w14:textId="77777777" w:rsidR="00710E8E" w:rsidRPr="00725FF8" w:rsidRDefault="00710E8E" w:rsidP="00C130D2">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9655436"/>
      <w:docPartObj>
        <w:docPartGallery w:val="Page Numbers (Bottom of Page)"/>
        <w:docPartUnique/>
      </w:docPartObj>
    </w:sdtPr>
    <w:sdtEndPr>
      <w:rPr>
        <w:noProof/>
      </w:rPr>
    </w:sdtEndPr>
    <w:sdtContent>
      <w:p w14:paraId="0C6812E0"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0FA8C99C" w14:textId="77777777" w:rsidR="00710E8E" w:rsidRPr="00231623" w:rsidRDefault="00710E8E" w:rsidP="002316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6429346"/>
      <w:docPartObj>
        <w:docPartGallery w:val="Page Numbers (Bottom of Page)"/>
        <w:docPartUnique/>
      </w:docPartObj>
    </w:sdtPr>
    <w:sdtEndPr>
      <w:rPr>
        <w:noProof/>
      </w:rPr>
    </w:sdtEndPr>
    <w:sdtContent>
      <w:p w14:paraId="2B50E7C2" w14:textId="77777777" w:rsidR="00710E8E" w:rsidRDefault="00710E8E">
        <w:pPr>
          <w:pStyle w:val="Footer"/>
        </w:pPr>
        <w:r>
          <w:fldChar w:fldCharType="begin"/>
        </w:r>
        <w:r>
          <w:instrText xml:space="preserve"> PAGE   \* MERGEFORMAT </w:instrText>
        </w:r>
        <w:r>
          <w:fldChar w:fldCharType="separate"/>
        </w:r>
        <w:r w:rsidR="002B7CC3">
          <w:rPr>
            <w:noProof/>
          </w:rPr>
          <w:t>3</w:t>
        </w:r>
        <w:r>
          <w:rPr>
            <w:noProof/>
          </w:rPr>
          <w:fldChar w:fldCharType="end"/>
        </w:r>
      </w:p>
    </w:sdtContent>
  </w:sdt>
  <w:p w14:paraId="59D7C269" w14:textId="77777777" w:rsidR="00710E8E" w:rsidRDefault="00710E8E">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00613188"/>
      <w:docPartObj>
        <w:docPartGallery w:val="Page Numbers (Bottom of Page)"/>
        <w:docPartUnique/>
      </w:docPartObj>
    </w:sdtPr>
    <w:sdtEndPr>
      <w:rPr>
        <w:noProof/>
      </w:rPr>
    </w:sdtEndPr>
    <w:sdtContent>
      <w:p w14:paraId="317AF3B1" w14:textId="77777777" w:rsidR="00710E8E" w:rsidRPr="001B7E15" w:rsidRDefault="00710E8E" w:rsidP="00C130D2">
        <w:pPr>
          <w:pStyle w:val="Footer"/>
        </w:pPr>
        <w:r w:rsidRPr="001B7E15">
          <w:fldChar w:fldCharType="begin"/>
        </w:r>
        <w:r w:rsidRPr="001B7E15">
          <w:instrText xml:space="preserve"> PAGE   \* MERGEFORMAT </w:instrText>
        </w:r>
        <w:r w:rsidRPr="001B7E15">
          <w:fldChar w:fldCharType="separate"/>
        </w:r>
        <w:r w:rsidR="002B7CC3">
          <w:rPr>
            <w:noProof/>
          </w:rPr>
          <w:t>38</w:t>
        </w:r>
        <w:r w:rsidRPr="001B7E15">
          <w:rPr>
            <w:noProof/>
          </w:rPr>
          <w:fldChar w:fldCharType="end"/>
        </w:r>
      </w:p>
    </w:sdtContent>
  </w:sdt>
  <w:p w14:paraId="54E3A7AA" w14:textId="77777777" w:rsidR="00710E8E" w:rsidRPr="00725FF8" w:rsidRDefault="00710E8E" w:rsidP="00C130D2">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6631356"/>
      <w:docPartObj>
        <w:docPartGallery w:val="Page Numbers (Bottom of Page)"/>
        <w:docPartUnique/>
      </w:docPartObj>
    </w:sdtPr>
    <w:sdtEndPr>
      <w:rPr>
        <w:noProof/>
      </w:rPr>
    </w:sdtEndPr>
    <w:sdtContent>
      <w:p w14:paraId="292CA7FC"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8</w:t>
        </w:r>
        <w:r w:rsidRPr="001B7E15">
          <w:rPr>
            <w:noProof/>
          </w:rPr>
          <w:fldChar w:fldCharType="end"/>
        </w:r>
      </w:p>
    </w:sdtContent>
  </w:sdt>
  <w:p w14:paraId="31353701" w14:textId="77777777" w:rsidR="00710E8E" w:rsidRPr="00231623" w:rsidRDefault="00710E8E" w:rsidP="00231623">
    <w:pPr>
      <w:pStyle w:val="Footer"/>
    </w:pPr>
  </w:p>
  <w:p w14:paraId="618BEDA3" w14:textId="77777777" w:rsidR="00710E8E" w:rsidRDefault="00710E8E"/>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5234439"/>
      <w:docPartObj>
        <w:docPartGallery w:val="Page Numbers (Bottom of Page)"/>
        <w:docPartUnique/>
      </w:docPartObj>
    </w:sdtPr>
    <w:sdtEndPr>
      <w:rPr>
        <w:noProof/>
      </w:rPr>
    </w:sdtEndPr>
    <w:sdtContent>
      <w:p w14:paraId="3D354E7E" w14:textId="77777777" w:rsidR="00710E8E" w:rsidRPr="001B7E15" w:rsidRDefault="00710E8E" w:rsidP="00C130D2">
        <w:pPr>
          <w:pStyle w:val="Footer"/>
        </w:pPr>
        <w:r w:rsidRPr="001B7E15">
          <w:fldChar w:fldCharType="begin"/>
        </w:r>
        <w:r w:rsidRPr="001B7E15">
          <w:instrText xml:space="preserve"> PAGE   \* MERGEFORMAT </w:instrText>
        </w:r>
        <w:r w:rsidRPr="001B7E15">
          <w:fldChar w:fldCharType="separate"/>
        </w:r>
        <w:r>
          <w:rPr>
            <w:noProof/>
          </w:rPr>
          <w:t>39</w:t>
        </w:r>
        <w:r w:rsidRPr="001B7E15">
          <w:rPr>
            <w:noProof/>
          </w:rPr>
          <w:fldChar w:fldCharType="end"/>
        </w:r>
      </w:p>
    </w:sdtContent>
  </w:sdt>
  <w:p w14:paraId="41110EEA" w14:textId="77777777" w:rsidR="00710E8E" w:rsidRPr="00725FF8" w:rsidRDefault="00710E8E" w:rsidP="00C130D2">
    <w:pPr>
      <w:pStyle w:val="Footer"/>
    </w:pPr>
  </w:p>
  <w:p w14:paraId="46760A5D" w14:textId="77777777" w:rsidR="00710E8E" w:rsidRDefault="00710E8E"/>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4798950"/>
      <w:docPartObj>
        <w:docPartGallery w:val="Page Numbers (Bottom of Page)"/>
        <w:docPartUnique/>
      </w:docPartObj>
    </w:sdtPr>
    <w:sdtEndPr>
      <w:rPr>
        <w:noProof/>
      </w:rPr>
    </w:sdtEndPr>
    <w:sdtContent>
      <w:p w14:paraId="0BE848BD"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10</w:t>
        </w:r>
        <w:r w:rsidRPr="001B7E15">
          <w:rPr>
            <w:noProof/>
          </w:rPr>
          <w:fldChar w:fldCharType="end"/>
        </w:r>
      </w:p>
    </w:sdtContent>
  </w:sdt>
  <w:p w14:paraId="693B2A2A" w14:textId="77777777" w:rsidR="00710E8E" w:rsidRPr="00231623" w:rsidRDefault="00710E8E" w:rsidP="00C130D2">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94502654"/>
      <w:docPartObj>
        <w:docPartGallery w:val="Page Numbers (Bottom of Page)"/>
        <w:docPartUnique/>
      </w:docPartObj>
    </w:sdtPr>
    <w:sdtEndPr>
      <w:rPr>
        <w:noProof/>
      </w:rPr>
    </w:sdtEndPr>
    <w:sdtContent>
      <w:p w14:paraId="6CE4B126"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Pr>
            <w:noProof/>
          </w:rPr>
          <w:t>13</w:t>
        </w:r>
        <w:r w:rsidRPr="001B7E15">
          <w:rPr>
            <w:noProof/>
          </w:rPr>
          <w:fldChar w:fldCharType="end"/>
        </w:r>
      </w:p>
    </w:sdtContent>
  </w:sdt>
  <w:p w14:paraId="1C6CDF8A" w14:textId="77777777" w:rsidR="00710E8E" w:rsidRPr="00956C60" w:rsidRDefault="00710E8E" w:rsidP="00956C60">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32577956"/>
      <w:docPartObj>
        <w:docPartGallery w:val="Page Numbers (Bottom of Page)"/>
        <w:docPartUnique/>
      </w:docPartObj>
    </w:sdtPr>
    <w:sdtEndPr>
      <w:rPr>
        <w:noProof/>
      </w:rPr>
    </w:sdtEndPr>
    <w:sdtContent>
      <w:p w14:paraId="47DF5F2B"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50</w:t>
        </w:r>
        <w:r w:rsidRPr="001B7E15">
          <w:rPr>
            <w:noProof/>
          </w:rPr>
          <w:fldChar w:fldCharType="end"/>
        </w:r>
      </w:p>
    </w:sdtContent>
  </w:sdt>
  <w:p w14:paraId="5F52DC2C" w14:textId="77777777" w:rsidR="00710E8E" w:rsidRPr="00231623" w:rsidRDefault="00710E8E" w:rsidP="00C130D2">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07547625"/>
      <w:docPartObj>
        <w:docPartGallery w:val="Page Numbers (Bottom of Page)"/>
        <w:docPartUnique/>
      </w:docPartObj>
    </w:sdtPr>
    <w:sdtEndPr>
      <w:rPr>
        <w:noProof/>
      </w:rPr>
    </w:sdtEndPr>
    <w:sdtContent>
      <w:p w14:paraId="7CA57783"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40</w:t>
        </w:r>
        <w:r w:rsidRPr="001B7E15">
          <w:rPr>
            <w:noProof/>
          </w:rPr>
          <w:fldChar w:fldCharType="end"/>
        </w:r>
      </w:p>
    </w:sdtContent>
  </w:sdt>
  <w:p w14:paraId="72E6C902" w14:textId="77777777" w:rsidR="00710E8E" w:rsidRPr="00956C60" w:rsidRDefault="00710E8E" w:rsidP="00956C60">
    <w:pPr>
      <w:pStyle w:val="Footer"/>
    </w:pP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17582342"/>
      <w:docPartObj>
        <w:docPartGallery w:val="Page Numbers (Bottom of Page)"/>
        <w:docPartUnique/>
      </w:docPartObj>
    </w:sdtPr>
    <w:sdtEndPr>
      <w:rPr>
        <w:noProof/>
      </w:rPr>
    </w:sdtEndPr>
    <w:sdtContent>
      <w:p w14:paraId="44B35907"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2F6B2D4C" w14:textId="77777777" w:rsidR="00710E8E" w:rsidRPr="00231623" w:rsidRDefault="00710E8E" w:rsidP="00C130D2">
    <w:pPr>
      <w:pStyle w:val="Footer"/>
    </w:pP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6519983"/>
      <w:docPartObj>
        <w:docPartGallery w:val="Page Numbers (Bottom of Page)"/>
        <w:docPartUnique/>
      </w:docPartObj>
    </w:sdtPr>
    <w:sdtEndPr>
      <w:rPr>
        <w:noProof/>
      </w:rPr>
    </w:sdtEndPr>
    <w:sdtContent>
      <w:p w14:paraId="7845C35F"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45</w:t>
        </w:r>
        <w:r w:rsidRPr="001B7E15">
          <w:rPr>
            <w:noProof/>
          </w:rPr>
          <w:fldChar w:fldCharType="end"/>
        </w:r>
      </w:p>
    </w:sdtContent>
  </w:sdt>
  <w:p w14:paraId="27650E65" w14:textId="77777777" w:rsidR="00710E8E" w:rsidRPr="00956C60" w:rsidRDefault="00710E8E" w:rsidP="00956C60">
    <w:pPr>
      <w:pStyle w:val="Footer"/>
    </w:pP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5015620"/>
      <w:docPartObj>
        <w:docPartGallery w:val="Page Numbers (Bottom of Page)"/>
        <w:docPartUnique/>
      </w:docPartObj>
    </w:sdtPr>
    <w:sdtEndPr>
      <w:rPr>
        <w:noProof/>
      </w:rPr>
    </w:sdtEndPr>
    <w:sdtContent>
      <w:p w14:paraId="35FBDEFF"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4</w:t>
        </w:r>
        <w:r w:rsidRPr="001B7E15">
          <w:rPr>
            <w:noProof/>
          </w:rPr>
          <w:fldChar w:fldCharType="end"/>
        </w:r>
      </w:p>
    </w:sdtContent>
  </w:sdt>
  <w:p w14:paraId="1AA6BA4D" w14:textId="77777777" w:rsidR="00710E8E" w:rsidRPr="00231623" w:rsidRDefault="00710E8E" w:rsidP="00C130D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6688203"/>
      <w:docPartObj>
        <w:docPartGallery w:val="Page Numbers (Bottom of Page)"/>
        <w:docPartUnique/>
      </w:docPartObj>
    </w:sdtPr>
    <w:sdtEndPr>
      <w:rPr>
        <w:noProof/>
      </w:rPr>
    </w:sdtEndPr>
    <w:sdtContent>
      <w:p w14:paraId="16507411" w14:textId="77777777" w:rsidR="00710E8E" w:rsidRDefault="00710E8E">
        <w:pPr>
          <w:pStyle w:val="Footer"/>
          <w:jc w:val="right"/>
        </w:pPr>
        <w:r>
          <w:fldChar w:fldCharType="begin"/>
        </w:r>
        <w:r>
          <w:instrText xml:space="preserve"> PAGE   \* MERGEFORMAT </w:instrText>
        </w:r>
        <w:r>
          <w:fldChar w:fldCharType="separate"/>
        </w:r>
        <w:r>
          <w:rPr>
            <w:noProof/>
          </w:rPr>
          <w:t>6</w:t>
        </w:r>
        <w:r>
          <w:rPr>
            <w:noProof/>
          </w:rPr>
          <w:fldChar w:fldCharType="end"/>
        </w:r>
      </w:p>
    </w:sdtContent>
  </w:sdt>
  <w:p w14:paraId="27816082" w14:textId="77777777" w:rsidR="00710E8E" w:rsidRDefault="00710E8E">
    <w:pPr>
      <w:pStyle w:val="Footer"/>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7412886"/>
      <w:docPartObj>
        <w:docPartGallery w:val="Page Numbers (Bottom of Page)"/>
        <w:docPartUnique/>
      </w:docPartObj>
    </w:sdtPr>
    <w:sdtEndPr>
      <w:rPr>
        <w:noProof/>
      </w:rPr>
    </w:sdtEndPr>
    <w:sdtContent>
      <w:p w14:paraId="567EFD16"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58</w:t>
        </w:r>
        <w:r w:rsidRPr="001B7E15">
          <w:rPr>
            <w:noProof/>
          </w:rPr>
          <w:fldChar w:fldCharType="end"/>
        </w:r>
      </w:p>
    </w:sdtContent>
  </w:sdt>
  <w:p w14:paraId="60C01653" w14:textId="77777777" w:rsidR="00710E8E" w:rsidRPr="00956C60" w:rsidRDefault="00710E8E" w:rsidP="00956C60">
    <w:pPr>
      <w:pStyle w:val="Footer"/>
    </w:pP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60594641"/>
      <w:docPartObj>
        <w:docPartGallery w:val="Page Numbers (Bottom of Page)"/>
        <w:docPartUnique/>
      </w:docPartObj>
    </w:sdtPr>
    <w:sdtEndPr>
      <w:rPr>
        <w:noProof/>
      </w:rPr>
    </w:sdtEndPr>
    <w:sdtContent>
      <w:p w14:paraId="36B1123C"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58</w:t>
        </w:r>
        <w:r w:rsidRPr="001B7E15">
          <w:rPr>
            <w:noProof/>
          </w:rPr>
          <w:fldChar w:fldCharType="end"/>
        </w:r>
      </w:p>
    </w:sdtContent>
  </w:sdt>
  <w:p w14:paraId="42154709" w14:textId="77777777" w:rsidR="00710E8E" w:rsidRPr="00231623" w:rsidRDefault="00710E8E" w:rsidP="00C130D2">
    <w:pPr>
      <w:pStyle w:val="Footer"/>
    </w:pP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1081999"/>
      <w:docPartObj>
        <w:docPartGallery w:val="Page Numbers (Bottom of Page)"/>
        <w:docPartUnique/>
      </w:docPartObj>
    </w:sdtPr>
    <w:sdtEndPr>
      <w:rPr>
        <w:noProof/>
      </w:rPr>
    </w:sdtEndPr>
    <w:sdtContent>
      <w:p w14:paraId="1DABB5AC"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66</w:t>
        </w:r>
        <w:r w:rsidRPr="001B7E15">
          <w:rPr>
            <w:noProof/>
          </w:rPr>
          <w:fldChar w:fldCharType="end"/>
        </w:r>
      </w:p>
    </w:sdtContent>
  </w:sdt>
  <w:p w14:paraId="5F6543CD" w14:textId="77777777" w:rsidR="00710E8E" w:rsidRPr="00956C60" w:rsidRDefault="00710E8E" w:rsidP="00956C60">
    <w:pPr>
      <w:pStyle w:val="Footer"/>
    </w:pP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41031986"/>
      <w:docPartObj>
        <w:docPartGallery w:val="Page Numbers (Bottom of Page)"/>
        <w:docPartUnique/>
      </w:docPartObj>
    </w:sdtPr>
    <w:sdtEndPr>
      <w:rPr>
        <w:noProof/>
      </w:rPr>
    </w:sdtEndPr>
    <w:sdtContent>
      <w:p w14:paraId="52F00C67" w14:textId="77777777" w:rsidR="00710E8E" w:rsidRPr="001B7E15"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12</w:t>
        </w:r>
        <w:r w:rsidRPr="001B7E15">
          <w:rPr>
            <w:noProof/>
          </w:rPr>
          <w:fldChar w:fldCharType="end"/>
        </w:r>
      </w:p>
    </w:sdtContent>
  </w:sdt>
  <w:p w14:paraId="5E18A57B" w14:textId="77777777" w:rsidR="00710E8E" w:rsidRPr="00231623" w:rsidRDefault="00710E8E" w:rsidP="00C130D2">
    <w:pPr>
      <w:pStyle w:val="Footer"/>
    </w:pP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47707117"/>
      <w:docPartObj>
        <w:docPartGallery w:val="Page Numbers (Bottom of Page)"/>
        <w:docPartUnique/>
      </w:docPartObj>
    </w:sdtPr>
    <w:sdtEndPr>
      <w:rPr>
        <w:noProof/>
      </w:rPr>
    </w:sdtEndPr>
    <w:sdtContent>
      <w:p w14:paraId="4A41455E" w14:textId="77777777" w:rsidR="00710E8E"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72</w:t>
        </w:r>
        <w:r w:rsidRPr="001B7E15">
          <w:rPr>
            <w:noProof/>
          </w:rPr>
          <w:fldChar w:fldCharType="end"/>
        </w:r>
      </w:p>
    </w:sdtContent>
  </w:sdt>
  <w:p w14:paraId="450EF67F" w14:textId="77777777" w:rsidR="00710E8E" w:rsidRPr="00956C60" w:rsidRDefault="00710E8E" w:rsidP="00956C60">
    <w:pPr>
      <w:pStyle w:val="Footer"/>
    </w:pP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78420942"/>
      <w:docPartObj>
        <w:docPartGallery w:val="Page Numbers (Bottom of Page)"/>
        <w:docPartUnique/>
      </w:docPartObj>
    </w:sdtPr>
    <w:sdtEndPr>
      <w:rPr>
        <w:noProof/>
      </w:rPr>
    </w:sdtEndPr>
    <w:sdtContent>
      <w:sdt>
        <w:sdtPr>
          <w:id w:val="1514570145"/>
          <w:docPartObj>
            <w:docPartGallery w:val="Page Numbers (Bottom of Page)"/>
            <w:docPartUnique/>
          </w:docPartObj>
        </w:sdtPr>
        <w:sdtEndPr>
          <w:rPr>
            <w:noProof/>
          </w:rPr>
        </w:sdtEndPr>
        <w:sdtContent>
          <w:p w14:paraId="26131EF1" w14:textId="77777777" w:rsidR="00710E8E" w:rsidRPr="00F061F2"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4696CCFB" w14:textId="77777777" w:rsidR="00710E8E" w:rsidRDefault="00710E8E" w:rsidP="00542CA2">
    <w:pPr>
      <w:spacing w:after="0"/>
    </w:pPr>
  </w:p>
  <w:p w14:paraId="22429353" w14:textId="77777777" w:rsidR="00710E8E" w:rsidRDefault="00710E8E"/>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74495958"/>
      <w:docPartObj>
        <w:docPartGallery w:val="Page Numbers (Bottom of Page)"/>
        <w:docPartUnique/>
      </w:docPartObj>
    </w:sdtPr>
    <w:sdtEndPr>
      <w:rPr>
        <w:noProof/>
      </w:rPr>
    </w:sdtEndPr>
    <w:sdtContent>
      <w:sdt>
        <w:sdtPr>
          <w:id w:val="484817353"/>
          <w:docPartObj>
            <w:docPartGallery w:val="Page Numbers (Bottom of Page)"/>
            <w:docPartUnique/>
          </w:docPartObj>
        </w:sdtPr>
        <w:sdtEndPr>
          <w:rPr>
            <w:noProof/>
          </w:rPr>
        </w:sdtEndPr>
        <w:sdtContent>
          <w:p w14:paraId="6B391225" w14:textId="77777777" w:rsidR="00710E8E" w:rsidRPr="00F061F2"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89</w:t>
            </w:r>
            <w:r w:rsidRPr="001B7E15">
              <w:rPr>
                <w:noProof/>
              </w:rPr>
              <w:fldChar w:fldCharType="end"/>
            </w:r>
          </w:p>
        </w:sdtContent>
      </w:sdt>
    </w:sdtContent>
  </w:sdt>
  <w:p w14:paraId="077A0B9B" w14:textId="77777777" w:rsidR="00710E8E" w:rsidRDefault="00710E8E"/>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33422665"/>
      <w:docPartObj>
        <w:docPartGallery w:val="Page Numbers (Bottom of Page)"/>
        <w:docPartUnique/>
      </w:docPartObj>
    </w:sdtPr>
    <w:sdtEndPr>
      <w:rPr>
        <w:noProof/>
      </w:rPr>
    </w:sdtEndPr>
    <w:sdtContent>
      <w:sdt>
        <w:sdtPr>
          <w:id w:val="2124424384"/>
          <w:docPartObj>
            <w:docPartGallery w:val="Page Numbers (Bottom of Page)"/>
            <w:docPartUnique/>
          </w:docPartObj>
        </w:sdtPr>
        <w:sdtEndPr>
          <w:rPr>
            <w:noProof/>
          </w:rPr>
        </w:sdtEndPr>
        <w:sdtContent>
          <w:p w14:paraId="5421FF3E" w14:textId="77777777" w:rsidR="00710E8E" w:rsidRPr="00F061F2" w:rsidRDefault="00710E8E" w:rsidP="00C130D2">
            <w:pPr>
              <w:pStyle w:val="Footer"/>
              <w:jc w:val="right"/>
            </w:pPr>
            <w:r w:rsidRPr="001B7E15">
              <w:fldChar w:fldCharType="begin"/>
            </w:r>
            <w:r w:rsidRPr="001B7E15">
              <w:instrText xml:space="preserve"> PAGE   \* MERGEFORMAT </w:instrText>
            </w:r>
            <w:r w:rsidRPr="001B7E15">
              <w:fldChar w:fldCharType="separate"/>
            </w:r>
            <w:r>
              <w:rPr>
                <w:noProof/>
              </w:rPr>
              <w:t>88</w:t>
            </w:r>
            <w:r w:rsidRPr="001B7E15">
              <w:rPr>
                <w:noProof/>
              </w:rPr>
              <w:fldChar w:fldCharType="end"/>
            </w:r>
          </w:p>
        </w:sdtContent>
      </w:sdt>
    </w:sdtContent>
  </w:sdt>
  <w:p w14:paraId="3749C052" w14:textId="77777777" w:rsidR="00710E8E" w:rsidRDefault="00710E8E" w:rsidP="00542CA2">
    <w:pPr>
      <w:spacing w:after="0"/>
    </w:pP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1072008"/>
      <w:docPartObj>
        <w:docPartGallery w:val="Page Numbers (Bottom of Page)"/>
        <w:docPartUnique/>
      </w:docPartObj>
    </w:sdtPr>
    <w:sdtEndPr>
      <w:rPr>
        <w:noProof/>
      </w:rPr>
    </w:sdtEndPr>
    <w:sdtContent>
      <w:sdt>
        <w:sdtPr>
          <w:id w:val="-1240482936"/>
          <w:docPartObj>
            <w:docPartGallery w:val="Page Numbers (Bottom of Page)"/>
            <w:docPartUnique/>
          </w:docPartObj>
        </w:sdtPr>
        <w:sdtEndPr>
          <w:rPr>
            <w:noProof/>
          </w:rPr>
        </w:sdtEndPr>
        <w:sdtContent>
          <w:p w14:paraId="4879DC2C" w14:textId="77777777" w:rsidR="00710E8E" w:rsidRPr="00F061F2" w:rsidRDefault="00710E8E" w:rsidP="00C130D2">
            <w:pPr>
              <w:pStyle w:val="Footer"/>
              <w:rPr>
                <w:noProof/>
              </w:rPr>
            </w:pPr>
            <w:r w:rsidRPr="001B7E15">
              <w:fldChar w:fldCharType="begin"/>
            </w:r>
            <w:r w:rsidRPr="001B7E15">
              <w:instrText xml:space="preserve"> PAGE   \* MERGEFORMAT </w:instrText>
            </w:r>
            <w:r w:rsidRPr="001B7E15">
              <w:fldChar w:fldCharType="separate"/>
            </w:r>
            <w:r w:rsidR="002B7CC3">
              <w:rPr>
                <w:noProof/>
              </w:rPr>
              <w:t>90</w:t>
            </w:r>
            <w:r w:rsidRPr="001B7E15">
              <w:rPr>
                <w:noProof/>
              </w:rPr>
              <w:fldChar w:fldCharType="end"/>
            </w:r>
          </w:p>
        </w:sdtContent>
      </w:sdt>
    </w:sdtContent>
  </w:sdt>
  <w:p w14:paraId="0600555C" w14:textId="77777777" w:rsidR="00710E8E" w:rsidRDefault="00710E8E" w:rsidP="00542CA2">
    <w:pPr>
      <w:spacing w:after="0"/>
    </w:pP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90821"/>
      <w:docPartObj>
        <w:docPartGallery w:val="Page Numbers (Bottom of Page)"/>
        <w:docPartUnique/>
      </w:docPartObj>
    </w:sdtPr>
    <w:sdtEndPr>
      <w:rPr>
        <w:noProof/>
      </w:rPr>
    </w:sdtEndPr>
    <w:sdtContent>
      <w:p w14:paraId="1C8DE767" w14:textId="77777777" w:rsidR="00710E8E" w:rsidRDefault="00710E8E">
        <w:pPr>
          <w:pStyle w:val="Footer"/>
        </w:pPr>
        <w:r>
          <w:fldChar w:fldCharType="begin"/>
        </w:r>
        <w:r>
          <w:instrText xml:space="preserve"> PAGE   \* MERGEFORMAT </w:instrText>
        </w:r>
        <w:r>
          <w:fldChar w:fldCharType="separate"/>
        </w:r>
        <w:r w:rsidR="002B7CC3">
          <w:rPr>
            <w:noProof/>
          </w:rPr>
          <w:t>91</w:t>
        </w:r>
        <w:r>
          <w:rPr>
            <w:noProof/>
          </w:rPr>
          <w:fldChar w:fldCharType="end"/>
        </w:r>
      </w:p>
    </w:sdtContent>
  </w:sdt>
  <w:p w14:paraId="0AF320B4" w14:textId="77777777" w:rsidR="00710E8E" w:rsidRPr="00287EFB" w:rsidRDefault="00710E8E" w:rsidP="00C130D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63908428"/>
      <w:docPartObj>
        <w:docPartGallery w:val="Page Numbers (Bottom of Page)"/>
        <w:docPartUnique/>
      </w:docPartObj>
    </w:sdtPr>
    <w:sdtEndPr>
      <w:rPr>
        <w:noProof/>
      </w:rPr>
    </w:sdtEndPr>
    <w:sdtContent>
      <w:p w14:paraId="6609B696" w14:textId="77777777" w:rsidR="00710E8E" w:rsidRDefault="00710E8E" w:rsidP="00521A99">
        <w:pPr>
          <w:pStyle w:val="Footer"/>
          <w:jc w:val="left"/>
        </w:pPr>
        <w:r>
          <w:fldChar w:fldCharType="begin"/>
        </w:r>
        <w:r>
          <w:instrText xml:space="preserve"> PAGE   \* MERGEFORMAT </w:instrText>
        </w:r>
        <w:r>
          <w:fldChar w:fldCharType="separate"/>
        </w:r>
        <w:r w:rsidR="002B7CC3">
          <w:rPr>
            <w:noProof/>
          </w:rPr>
          <w:t>7</w:t>
        </w:r>
        <w:r>
          <w:rPr>
            <w:noProof/>
          </w:rPr>
          <w:fldChar w:fldCharType="end"/>
        </w:r>
      </w:p>
    </w:sdtContent>
  </w:sdt>
  <w:p w14:paraId="1DAE7D59" w14:textId="77777777" w:rsidR="00710E8E" w:rsidRDefault="00710E8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7068914"/>
      <w:docPartObj>
        <w:docPartGallery w:val="Page Numbers (Bottom of Page)"/>
        <w:docPartUnique/>
      </w:docPartObj>
    </w:sdtPr>
    <w:sdtEndPr>
      <w:rPr>
        <w:noProof/>
      </w:rPr>
    </w:sdtEndPr>
    <w:sdtContent>
      <w:p w14:paraId="00081514" w14:textId="77777777" w:rsidR="00710E8E" w:rsidRDefault="00710E8E">
        <w:pPr>
          <w:pStyle w:val="Footer"/>
          <w:jc w:val="right"/>
        </w:pPr>
        <w:r>
          <w:fldChar w:fldCharType="begin"/>
        </w:r>
        <w:r>
          <w:instrText xml:space="preserve"> PAGE   \* MERGEFORMAT </w:instrText>
        </w:r>
        <w:r>
          <w:fldChar w:fldCharType="separate"/>
        </w:r>
        <w:r>
          <w:rPr>
            <w:noProof/>
          </w:rPr>
          <w:t>14</w:t>
        </w:r>
        <w:r>
          <w:rPr>
            <w:noProof/>
          </w:rPr>
          <w:fldChar w:fldCharType="end"/>
        </w:r>
      </w:p>
    </w:sdtContent>
  </w:sdt>
  <w:p w14:paraId="511D5829" w14:textId="77777777" w:rsidR="00710E8E" w:rsidRDefault="00710E8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2866648"/>
      <w:docPartObj>
        <w:docPartGallery w:val="Page Numbers (Bottom of Page)"/>
        <w:docPartUnique/>
      </w:docPartObj>
    </w:sdtPr>
    <w:sdtEndPr>
      <w:rPr>
        <w:noProof/>
      </w:rPr>
    </w:sdtEndPr>
    <w:sdtContent>
      <w:p w14:paraId="47AB083D" w14:textId="77777777" w:rsidR="00710E8E" w:rsidRDefault="00710E8E" w:rsidP="00521A99">
        <w:pPr>
          <w:pStyle w:val="Footer"/>
          <w:jc w:val="left"/>
        </w:pPr>
        <w:r>
          <w:fldChar w:fldCharType="begin"/>
        </w:r>
        <w:r>
          <w:instrText xml:space="preserve"> PAGE   \* MERGEFORMAT </w:instrText>
        </w:r>
        <w:r>
          <w:fldChar w:fldCharType="separate"/>
        </w:r>
        <w:r w:rsidR="002B7CC3">
          <w:rPr>
            <w:noProof/>
          </w:rPr>
          <w:t>15</w:t>
        </w:r>
        <w:r>
          <w:rPr>
            <w:noProof/>
          </w:rPr>
          <w:fldChar w:fldCharType="end"/>
        </w:r>
      </w:p>
    </w:sdtContent>
  </w:sdt>
  <w:p w14:paraId="0767F2E4" w14:textId="77777777" w:rsidR="00710E8E" w:rsidRDefault="00710E8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33701673"/>
      <w:docPartObj>
        <w:docPartGallery w:val="Page Numbers (Bottom of Page)"/>
        <w:docPartUnique/>
      </w:docPartObj>
    </w:sdtPr>
    <w:sdtEndPr>
      <w:rPr>
        <w:noProof/>
      </w:rPr>
    </w:sdtEndPr>
    <w:sdtContent>
      <w:p w14:paraId="623EA438" w14:textId="77777777" w:rsidR="00710E8E" w:rsidRDefault="00710E8E" w:rsidP="00D20C27">
        <w:pPr>
          <w:pStyle w:val="Footer"/>
          <w:jc w:val="right"/>
        </w:pPr>
        <w:r>
          <w:fldChar w:fldCharType="begin"/>
        </w:r>
        <w:r>
          <w:instrText xml:space="preserve"> PAGE   \* MERGEFORMAT </w:instrText>
        </w:r>
        <w:r>
          <w:fldChar w:fldCharType="separate"/>
        </w:r>
        <w:r>
          <w:rPr>
            <w:noProof/>
          </w:rPr>
          <w:t>16</w:t>
        </w:r>
        <w:r>
          <w:rPr>
            <w:noProof/>
          </w:rPr>
          <w:fldChar w:fldCharType="end"/>
        </w:r>
      </w:p>
    </w:sdtContent>
  </w:sdt>
  <w:p w14:paraId="182EDFAC" w14:textId="77777777" w:rsidR="00710E8E" w:rsidRDefault="00710E8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5525830"/>
      <w:docPartObj>
        <w:docPartGallery w:val="Page Numbers (Bottom of Page)"/>
        <w:docPartUnique/>
      </w:docPartObj>
    </w:sdtPr>
    <w:sdtEndPr>
      <w:rPr>
        <w:noProof/>
      </w:rPr>
    </w:sdtEndPr>
    <w:sdtContent>
      <w:p w14:paraId="2957BB19" w14:textId="77777777" w:rsidR="00710E8E" w:rsidRDefault="00710E8E">
        <w:pPr>
          <w:pStyle w:val="Footer"/>
        </w:pPr>
        <w:r>
          <w:fldChar w:fldCharType="begin"/>
        </w:r>
        <w:r>
          <w:instrText xml:space="preserve"> PAGE   \* MERGEFORMAT </w:instrText>
        </w:r>
        <w:r>
          <w:fldChar w:fldCharType="separate"/>
        </w:r>
        <w:r>
          <w:rPr>
            <w:noProof/>
          </w:rPr>
          <w:t>16</w:t>
        </w:r>
        <w:r>
          <w:rPr>
            <w:noProof/>
          </w:rPr>
          <w:fldChar w:fldCharType="end"/>
        </w:r>
      </w:p>
    </w:sdtContent>
  </w:sdt>
  <w:p w14:paraId="25B17305" w14:textId="77777777" w:rsidR="00710E8E" w:rsidRDefault="00710E8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7993594"/>
      <w:docPartObj>
        <w:docPartGallery w:val="Page Numbers (Bottom of Page)"/>
        <w:docPartUnique/>
      </w:docPartObj>
    </w:sdtPr>
    <w:sdtEndPr>
      <w:rPr>
        <w:noProof/>
      </w:rPr>
    </w:sdtEndPr>
    <w:sdtContent>
      <w:p w14:paraId="097D2F98" w14:textId="77777777" w:rsidR="00710E8E" w:rsidRDefault="00710E8E">
        <w:pPr>
          <w:pStyle w:val="Footer"/>
          <w:jc w:val="right"/>
        </w:pPr>
        <w:r>
          <w:fldChar w:fldCharType="begin"/>
        </w:r>
        <w:r>
          <w:instrText xml:space="preserve"> PAGE   \* MERGEFORMAT </w:instrText>
        </w:r>
        <w:r>
          <w:fldChar w:fldCharType="separate"/>
        </w:r>
        <w:r>
          <w:rPr>
            <w:noProof/>
          </w:rPr>
          <w:t>20</w:t>
        </w:r>
        <w:r>
          <w:rPr>
            <w:noProof/>
          </w:rPr>
          <w:fldChar w:fldCharType="end"/>
        </w:r>
      </w:p>
    </w:sdtContent>
  </w:sdt>
  <w:p w14:paraId="2297A333" w14:textId="77777777" w:rsidR="00710E8E" w:rsidRDefault="00710E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97D36" w14:textId="77777777" w:rsidR="006B15CF" w:rsidRDefault="006B15CF" w:rsidP="00BF7F6A">
      <w:pPr>
        <w:spacing w:after="0" w:line="240" w:lineRule="auto"/>
      </w:pPr>
      <w:r>
        <w:separator/>
      </w:r>
    </w:p>
  </w:footnote>
  <w:footnote w:type="continuationSeparator" w:id="0">
    <w:p w14:paraId="28A30524" w14:textId="77777777" w:rsidR="006B15CF" w:rsidRDefault="006B15CF" w:rsidP="00BF7F6A">
      <w:pPr>
        <w:spacing w:after="0" w:line="240" w:lineRule="auto"/>
      </w:pPr>
      <w:r>
        <w:continuationSeparator/>
      </w:r>
    </w:p>
  </w:footnote>
  <w:footnote w:id="1">
    <w:p w14:paraId="5B590BF7" w14:textId="77777777" w:rsidR="00710E8E" w:rsidRPr="00FC2852" w:rsidRDefault="00710E8E">
      <w:pPr>
        <w:pStyle w:val="FootnoteText"/>
        <w:rPr>
          <w:sz w:val="16"/>
          <w:szCs w:val="16"/>
          <w:lang w:val="sr-Cyrl-RS"/>
        </w:rPr>
      </w:pPr>
      <w:r w:rsidRPr="00FC2852">
        <w:rPr>
          <w:rStyle w:val="FootnoteReference"/>
          <w:sz w:val="16"/>
          <w:szCs w:val="16"/>
        </w:rPr>
        <w:footnoteRef/>
      </w:r>
      <w:r w:rsidRPr="00FC2852">
        <w:rPr>
          <w:sz w:val="16"/>
          <w:szCs w:val="16"/>
        </w:rPr>
        <w:t xml:space="preserve"> </w:t>
      </w:r>
      <w:r w:rsidRPr="00FC2852">
        <w:rPr>
          <w:spacing w:val="-2"/>
          <w:sz w:val="16"/>
          <w:szCs w:val="16"/>
          <w:lang w:val="sr-Cyrl-RS"/>
        </w:rPr>
        <w:t xml:space="preserve">За детаљна методолошка објашњења видети </w:t>
      </w:r>
      <w:hyperlink r:id="rId1" w:history="1">
        <w:r w:rsidRPr="00FC2852">
          <w:rPr>
            <w:rStyle w:val="Hyperlink"/>
            <w:spacing w:val="-2"/>
            <w:sz w:val="16"/>
            <w:szCs w:val="16"/>
            <w:lang w:val="sr-Cyrl-RS"/>
          </w:rPr>
          <w:t>https://www.mfin.gov.rs//upload/media/ZzkTpV_601696edb3a9a.pdf</w:t>
        </w:r>
      </w:hyperlink>
    </w:p>
  </w:footnote>
  <w:footnote w:id="2">
    <w:p w14:paraId="022CF347" w14:textId="77777777" w:rsidR="00710E8E" w:rsidRPr="00455EB5" w:rsidRDefault="00710E8E" w:rsidP="00132FA9">
      <w:pPr>
        <w:pStyle w:val="FootnoteText"/>
        <w:rPr>
          <w:rFonts w:cstheme="minorHAnsi"/>
          <w:spacing w:val="-2"/>
          <w:sz w:val="16"/>
          <w:szCs w:val="16"/>
          <w:lang w:val="sr-Cyrl-RS"/>
        </w:rPr>
      </w:pPr>
      <w:r w:rsidRPr="00455EB5">
        <w:rPr>
          <w:rStyle w:val="FootnoteReference"/>
          <w:rFonts w:cstheme="minorHAnsi"/>
          <w:spacing w:val="-2"/>
          <w:sz w:val="16"/>
          <w:szCs w:val="16"/>
          <w:lang w:val="sr-Cyrl-RS"/>
        </w:rPr>
        <w:footnoteRef/>
      </w:r>
      <w:r w:rsidRPr="00455EB5">
        <w:rPr>
          <w:rFonts w:cstheme="minorHAnsi"/>
          <w:spacing w:val="-2"/>
          <w:sz w:val="16"/>
          <w:szCs w:val="16"/>
          <w:lang w:val="sr-Cyrl-RS"/>
        </w:rPr>
        <w:t xml:space="preserve"> Детаљнији приказ структурних реформи по приоритетним областима је саставни део Програма економских реформи у периоду 20</w:t>
      </w:r>
      <w:r>
        <w:rPr>
          <w:rFonts w:cstheme="minorHAnsi"/>
          <w:spacing w:val="-2"/>
          <w:sz w:val="16"/>
          <w:szCs w:val="16"/>
          <w:lang w:val="sr-Cyrl-RS"/>
        </w:rPr>
        <w:t>21</w:t>
      </w:r>
      <w:r w:rsidRPr="00455EB5">
        <w:rPr>
          <w:rFonts w:cstheme="minorHAnsi"/>
          <w:spacing w:val="-2"/>
          <w:sz w:val="16"/>
          <w:szCs w:val="16"/>
          <w:lang w:val="sr-Cyrl-RS"/>
        </w:rPr>
        <w:t>–202</w:t>
      </w:r>
      <w:r>
        <w:rPr>
          <w:rFonts w:cstheme="minorHAnsi"/>
          <w:spacing w:val="-2"/>
          <w:sz w:val="16"/>
          <w:szCs w:val="16"/>
          <w:lang w:val="sr-Cyrl-RS"/>
        </w:rPr>
        <w:t>3</w:t>
      </w:r>
      <w:r w:rsidRPr="00455EB5">
        <w:rPr>
          <w:rFonts w:cstheme="minorHAnsi"/>
          <w:spacing w:val="-2"/>
          <w:sz w:val="16"/>
          <w:szCs w:val="16"/>
          <w:lang w:val="sr-Cyrl-RS"/>
        </w:rPr>
        <w:t>.</w:t>
      </w:r>
    </w:p>
  </w:footnote>
  <w:footnote w:id="3">
    <w:p w14:paraId="117D9787" w14:textId="77777777" w:rsidR="00710E8E" w:rsidRPr="00C336AD" w:rsidRDefault="00710E8E" w:rsidP="00C130D2">
      <w:pPr>
        <w:pStyle w:val="FootnoteText"/>
        <w:rPr>
          <w:rFonts w:cstheme="minorHAnsi"/>
          <w:sz w:val="16"/>
          <w:szCs w:val="16"/>
          <w:lang w:val="sr-Cyrl-RS"/>
        </w:rPr>
      </w:pPr>
      <w:r w:rsidRPr="00C336AD">
        <w:rPr>
          <w:rStyle w:val="FootnoteReference"/>
          <w:rFonts w:cstheme="minorHAnsi"/>
          <w:sz w:val="16"/>
          <w:szCs w:val="16"/>
          <w:lang w:val="sr-Cyrl-RS"/>
        </w:rPr>
        <w:footnoteRef/>
      </w:r>
      <w:r>
        <w:rPr>
          <w:rFonts w:cstheme="minorHAnsi"/>
          <w:sz w:val="16"/>
          <w:szCs w:val="16"/>
          <w:lang w:val="sr-Cyrl-RS"/>
        </w:rPr>
        <w:t xml:space="preserve"> Фискална стратегија за 20</w:t>
      </w:r>
      <w:r>
        <w:rPr>
          <w:rFonts w:cstheme="minorHAnsi"/>
          <w:sz w:val="16"/>
          <w:szCs w:val="16"/>
        </w:rPr>
        <w:t>21</w:t>
      </w:r>
      <w:r>
        <w:rPr>
          <w:rFonts w:cstheme="minorHAnsi"/>
          <w:sz w:val="16"/>
          <w:szCs w:val="16"/>
          <w:lang w:val="sr-Cyrl-RS"/>
        </w:rPr>
        <w:t>. годину са пројекцијама за 2022. и 202</w:t>
      </w:r>
      <w:r>
        <w:rPr>
          <w:rFonts w:cstheme="minorHAnsi"/>
          <w:sz w:val="16"/>
          <w:szCs w:val="16"/>
        </w:rPr>
        <w:t>3</w:t>
      </w:r>
      <w:r w:rsidRPr="00C336AD">
        <w:rPr>
          <w:rFonts w:cstheme="minorHAnsi"/>
          <w:sz w:val="16"/>
          <w:szCs w:val="16"/>
          <w:lang w:val="sr-Cyrl-RS"/>
        </w:rPr>
        <w:t>. годину.</w:t>
      </w:r>
    </w:p>
  </w:footnote>
  <w:footnote w:id="4">
    <w:p w14:paraId="1A2ADA62" w14:textId="77777777" w:rsidR="00710E8E" w:rsidRPr="001A06AE" w:rsidRDefault="00710E8E" w:rsidP="00C130D2">
      <w:pPr>
        <w:pStyle w:val="FootnoteText"/>
        <w:rPr>
          <w:sz w:val="16"/>
          <w:lang w:val="sr-Cyrl-RS"/>
        </w:rPr>
      </w:pPr>
      <w:r w:rsidRPr="00326508">
        <w:rPr>
          <w:rStyle w:val="FootnoteReference"/>
          <w:sz w:val="16"/>
        </w:rPr>
        <w:footnoteRef/>
      </w:r>
      <w:r w:rsidRPr="00326508">
        <w:rPr>
          <w:sz w:val="16"/>
        </w:rPr>
        <w:t xml:space="preserve"> </w:t>
      </w:r>
      <w:r w:rsidRPr="00326508">
        <w:rPr>
          <w:sz w:val="16"/>
          <w:lang w:val="sr-Cyrl-RS"/>
        </w:rPr>
        <w:t>Износи су прерачунати на основу реви</w:t>
      </w:r>
      <w:r>
        <w:rPr>
          <w:sz w:val="16"/>
          <w:lang w:val="sr-Cyrl-RS"/>
        </w:rPr>
        <w:t>зије података серије БДП</w:t>
      </w:r>
      <w:r w:rsidRPr="00326508">
        <w:rPr>
          <w:sz w:val="16"/>
          <w:lang w:val="sr-Cyrl-RS"/>
        </w:rPr>
        <w:t>.</w:t>
      </w:r>
    </w:p>
  </w:footnote>
  <w:footnote w:id="5">
    <w:p w14:paraId="79089EE4" w14:textId="77777777" w:rsidR="00710E8E" w:rsidRPr="00C336AD" w:rsidRDefault="00710E8E" w:rsidP="008265F0">
      <w:pPr>
        <w:pStyle w:val="FootnoteText"/>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Закон о јавном дугу </w:t>
      </w:r>
      <w:r>
        <w:rPr>
          <w:rFonts w:cstheme="minorHAnsi"/>
          <w:sz w:val="16"/>
          <w:szCs w:val="16"/>
          <w:lang w:val="sr-Cyrl-RS"/>
        </w:rPr>
        <w:t xml:space="preserve">„Службени </w:t>
      </w:r>
      <w:r w:rsidRPr="00C336AD">
        <w:rPr>
          <w:rFonts w:cstheme="minorHAnsi"/>
          <w:sz w:val="16"/>
          <w:szCs w:val="16"/>
          <w:lang w:val="sr-Cyrl-RS"/>
        </w:rPr>
        <w:t>гласник РС</w:t>
      </w:r>
      <w:r w:rsidRPr="00C6085C">
        <w:rPr>
          <w:rFonts w:cstheme="minorHAnsi"/>
          <w:sz w:val="16"/>
          <w:szCs w:val="16"/>
          <w:lang w:val="sr-Cyrl-RS"/>
        </w:rPr>
        <w:t>”</w:t>
      </w:r>
      <w:r w:rsidRPr="00C336AD">
        <w:rPr>
          <w:rFonts w:cstheme="minorHAnsi"/>
          <w:sz w:val="16"/>
          <w:szCs w:val="16"/>
          <w:lang w:val="sr-Cyrl-RS"/>
        </w:rPr>
        <w:t>, бр.</w:t>
      </w:r>
      <w:r>
        <w:rPr>
          <w:rFonts w:cstheme="minorHAnsi"/>
          <w:sz w:val="16"/>
          <w:szCs w:val="16"/>
          <w:lang w:val="sr-Cyrl-RS"/>
        </w:rPr>
        <w:t xml:space="preserve"> </w:t>
      </w:r>
      <w:r w:rsidRPr="00C336AD">
        <w:rPr>
          <w:rFonts w:cstheme="minorHAnsi"/>
          <w:sz w:val="16"/>
          <w:szCs w:val="16"/>
          <w:lang w:val="sr-Cyrl-RS"/>
        </w:rPr>
        <w:t>61/05, 107/09, 78/11</w:t>
      </w:r>
      <w:r>
        <w:rPr>
          <w:rFonts w:cstheme="minorHAnsi"/>
          <w:sz w:val="16"/>
          <w:szCs w:val="16"/>
          <w:lang w:val="sr-Cyrl-RS"/>
        </w:rPr>
        <w:t>,</w:t>
      </w:r>
      <w:r w:rsidRPr="00C336AD">
        <w:rPr>
          <w:rFonts w:cstheme="minorHAnsi"/>
          <w:sz w:val="16"/>
          <w:szCs w:val="16"/>
          <w:lang w:val="sr-Cyrl-RS"/>
        </w:rPr>
        <w:t xml:space="preserve"> 68/15</w:t>
      </w:r>
      <w:r>
        <w:rPr>
          <w:rFonts w:cstheme="minorHAnsi"/>
          <w:sz w:val="16"/>
          <w:szCs w:val="16"/>
          <w:lang w:val="sr-Cyrl-RS"/>
        </w:rPr>
        <w:t>, 95/18, 91/19 и 149/20.</w:t>
      </w:r>
    </w:p>
  </w:footnote>
  <w:footnote w:id="6">
    <w:p w14:paraId="5AC480FF" w14:textId="77777777" w:rsidR="00710E8E" w:rsidRPr="00C336AD" w:rsidRDefault="00710E8E" w:rsidP="002C06AB">
      <w:pPr>
        <w:pStyle w:val="FootnoteText"/>
        <w:rPr>
          <w:rFonts w:cstheme="minorHAnsi"/>
          <w:sz w:val="16"/>
          <w:szCs w:val="16"/>
          <w:lang w:val="sr-Cyrl-RS"/>
        </w:rPr>
      </w:pPr>
      <w:r w:rsidRPr="00DD2774">
        <w:rPr>
          <w:rStyle w:val="FootnoteReference"/>
          <w:rFonts w:cstheme="minorHAnsi"/>
          <w:sz w:val="16"/>
          <w:szCs w:val="16"/>
          <w:lang w:val="sr-Cyrl-RS"/>
        </w:rPr>
        <w:footnoteRef/>
      </w:r>
      <w:r w:rsidRPr="00DD2774">
        <w:rPr>
          <w:rFonts w:cstheme="minorHAnsi"/>
          <w:sz w:val="16"/>
          <w:szCs w:val="16"/>
          <w:lang w:val="sr-Cyrl-RS"/>
        </w:rPr>
        <w:t xml:space="preserve"> Дефиниција дуга, према критеријумима из Мастрихта, између осталог, различито третира издате гаранције, у односу на дефиницију јавног дуга према домаћем законодавству. У јавни дуг (дуг опште државе) улазе, према критеријумима из Мастрихта, само активиране гаранције. Домаће законодавство, по овом питању има конзервативнији приступ, и све издате гаранције укључује у јавни дуг.</w:t>
      </w:r>
    </w:p>
  </w:footnote>
  <w:footnote w:id="7">
    <w:p w14:paraId="3F958D54" w14:textId="77777777" w:rsidR="00710E8E" w:rsidRPr="004564BD" w:rsidRDefault="00710E8E" w:rsidP="008265F0">
      <w:pPr>
        <w:pStyle w:val="FootnoteText"/>
        <w:spacing w:after="40"/>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w:t>
      </w:r>
      <w:r w:rsidRPr="004564BD">
        <w:rPr>
          <w:rFonts w:cstheme="minorHAnsi"/>
          <w:sz w:val="16"/>
          <w:szCs w:val="16"/>
          <w:lang w:val="sr-Cyrl-RS"/>
        </w:rPr>
        <w:t>Отплата по основу гаранција из републичког буџета је у расходе укључена по готовинској основи. Међународни стандарди, који се заснивају на обрачунској основи, у расходе укључују цео износ преосталог дуга, у моменту активирања гаранције, док се сама отплата дуга по том основу третира као финансијска трансакција.</w:t>
      </w:r>
    </w:p>
  </w:footnote>
  <w:footnote w:id="8">
    <w:p w14:paraId="675BAF6C" w14:textId="77777777" w:rsidR="00710E8E" w:rsidRPr="00C336AD" w:rsidRDefault="00710E8E" w:rsidP="008265F0">
      <w:pPr>
        <w:pStyle w:val="FootnoteText"/>
        <w:rPr>
          <w:rFonts w:cstheme="minorHAnsi"/>
          <w:sz w:val="16"/>
          <w:szCs w:val="16"/>
          <w:lang w:val="sr-Cyrl-RS"/>
        </w:rPr>
      </w:pPr>
      <w:r w:rsidRPr="004564BD">
        <w:rPr>
          <w:rStyle w:val="FootnoteReference"/>
          <w:rFonts w:cstheme="minorHAnsi"/>
          <w:sz w:val="16"/>
          <w:szCs w:val="16"/>
          <w:lang w:val="sr-Cyrl-RS"/>
        </w:rPr>
        <w:footnoteRef/>
      </w:r>
      <w:r w:rsidRPr="004564BD">
        <w:rPr>
          <w:rFonts w:cstheme="minorHAnsi"/>
          <w:sz w:val="16"/>
          <w:szCs w:val="16"/>
          <w:lang w:val="sr-Cyrl-RS"/>
        </w:rPr>
        <w:t xml:space="preserve"> Део расхода по основу отплате по гаранцијама за ЈП „Путеви Србије</w:t>
      </w:r>
      <w:r w:rsidRPr="00C6085C">
        <w:rPr>
          <w:rFonts w:cstheme="minorHAnsi"/>
          <w:sz w:val="16"/>
          <w:szCs w:val="16"/>
          <w:lang w:val="sr-Cyrl-RS"/>
        </w:rPr>
        <w:t>”</w:t>
      </w:r>
      <w:r w:rsidRPr="004564BD">
        <w:rPr>
          <w:rFonts w:cstheme="minorHAnsi"/>
          <w:sz w:val="16"/>
          <w:szCs w:val="16"/>
          <w:lang w:val="sr-Cyrl-RS"/>
        </w:rPr>
        <w:t xml:space="preserve"> не укључује се у расходе буџета, јер је ово предузеће део сектора опште државе, те су расходи који су финансирани гарантованим кредитима били део расхода опште државе у моменту трошења средстава, док се сама отплата третира као финансијска трансакција („испод црте</w:t>
      </w:r>
      <w:r w:rsidRPr="00C6085C">
        <w:rPr>
          <w:rFonts w:cstheme="minorHAnsi"/>
          <w:sz w:val="16"/>
          <w:szCs w:val="16"/>
          <w:lang w:val="sr-Cyrl-RS"/>
        </w:rPr>
        <w:t>”</w:t>
      </w:r>
      <w:r w:rsidRPr="004564BD">
        <w:rPr>
          <w:rFonts w:cstheme="minorHAnsi"/>
          <w:sz w:val="16"/>
          <w:szCs w:val="16"/>
          <w:lang w:val="sr-Cyrl-RS"/>
        </w:rPr>
        <w:t>).</w:t>
      </w:r>
    </w:p>
  </w:footnote>
  <w:footnote w:id="9">
    <w:p w14:paraId="4365AF41" w14:textId="77777777" w:rsidR="00710E8E" w:rsidRPr="00391B73" w:rsidRDefault="00710E8E">
      <w:pPr>
        <w:pStyle w:val="FootnoteText"/>
        <w:rPr>
          <w:sz w:val="16"/>
          <w:szCs w:val="16"/>
          <w:lang w:val="sr-Cyrl-RS"/>
        </w:rPr>
      </w:pPr>
      <w:r w:rsidRPr="00391B73">
        <w:rPr>
          <w:rStyle w:val="FootnoteReference"/>
          <w:sz w:val="16"/>
          <w:szCs w:val="16"/>
          <w:lang w:val="sr-Cyrl-RS"/>
        </w:rPr>
        <w:footnoteRef/>
      </w:r>
      <w:r w:rsidRPr="00391B73">
        <w:rPr>
          <w:sz w:val="16"/>
          <w:szCs w:val="16"/>
          <w:lang w:val="sr-Cyrl-RS"/>
        </w:rPr>
        <w:t xml:space="preserve"> Податак садржи резултат предузећа „ЕПС Дистрибуција” д.о.о. Београд. ЈП ЕПС и Република Србија закључили су Уговор о преносу удела у Оператора дистрибутивног система „ЕПС Дистрибуција” д.о.о. Београд са ЈП ЕПС на Републику Србију на основу којег је Агенција за привредне рег</w:t>
      </w:r>
      <w:r>
        <w:rPr>
          <w:sz w:val="16"/>
          <w:szCs w:val="16"/>
          <w:lang w:val="sr-Cyrl-RS"/>
        </w:rPr>
        <w:t>ис</w:t>
      </w:r>
      <w:r w:rsidRPr="00391B73">
        <w:rPr>
          <w:sz w:val="16"/>
          <w:szCs w:val="16"/>
          <w:lang w:val="sr-Cyrl-RS"/>
        </w:rPr>
        <w:t>тре 31.12.2020. године регистровала Републику Србије као власника 100% капитала „ЕПС Дистрибуција” д.о.о. Београд.</w:t>
      </w:r>
    </w:p>
  </w:footnote>
  <w:footnote w:id="10">
    <w:p w14:paraId="2F013578" w14:textId="77777777" w:rsidR="00710E8E" w:rsidRPr="00C336AD" w:rsidRDefault="00710E8E" w:rsidP="008265F0">
      <w:pPr>
        <w:pStyle w:val="FootnoteText"/>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Народна скупштина усвојила је измене и допуне Закона о НБС и Закона о банкама, као и нови Закон </w:t>
      </w:r>
      <w:r>
        <w:rPr>
          <w:rFonts w:cstheme="minorHAnsi"/>
          <w:sz w:val="16"/>
          <w:szCs w:val="16"/>
          <w:lang w:val="sr-Cyrl-RS"/>
        </w:rPr>
        <w:t>о АОД</w:t>
      </w:r>
      <w:r w:rsidRPr="00C336AD">
        <w:rPr>
          <w:rFonts w:cstheme="minorHAnsi"/>
          <w:sz w:val="16"/>
          <w:szCs w:val="16"/>
          <w:lang w:val="sr-Cyrl-RS"/>
        </w:rPr>
        <w:t>, Закон о осигурању депозита, Закон о стечају и ликвидацији банака и друштава за осигурање. Са изменом сета финансијских закона, наметнуло се и усвајање допуне Закона о министарствима.</w:t>
      </w:r>
    </w:p>
  </w:footnote>
  <w:footnote w:id="11">
    <w:p w14:paraId="5C6D02CD" w14:textId="77777777" w:rsidR="00710E8E" w:rsidRPr="007A379E" w:rsidRDefault="00710E8E" w:rsidP="008265F0">
      <w:pPr>
        <w:pStyle w:val="FootnoteText"/>
        <w:rPr>
          <w:rFonts w:cstheme="minorHAnsi"/>
          <w:sz w:val="16"/>
          <w:szCs w:val="16"/>
          <w:lang w:val="sr-Cyrl-RS"/>
        </w:rPr>
      </w:pPr>
      <w:r w:rsidRPr="007A379E">
        <w:rPr>
          <w:rStyle w:val="FootnoteReference"/>
          <w:rFonts w:cstheme="minorHAnsi"/>
          <w:sz w:val="16"/>
          <w:szCs w:val="16"/>
          <w:lang w:val="sr-Cyrl-RS"/>
        </w:rPr>
        <w:footnoteRef/>
      </w:r>
      <w:r w:rsidRPr="007A379E">
        <w:rPr>
          <w:rFonts w:cstheme="minorHAnsi"/>
          <w:sz w:val="16"/>
          <w:szCs w:val="16"/>
          <w:lang w:val="sr-Cyrl-RS"/>
        </w:rPr>
        <w:t xml:space="preserve"> Заштићени депоненти су: физичка лица, предузетници, микро, мала и средња правна лица, након искључења предвиђеним Законом о осигурању депозита.</w:t>
      </w:r>
    </w:p>
  </w:footnote>
  <w:footnote w:id="12">
    <w:p w14:paraId="5D1153E1" w14:textId="77777777" w:rsidR="00710E8E" w:rsidRPr="00FC2852" w:rsidRDefault="00710E8E" w:rsidP="008265F0">
      <w:pPr>
        <w:spacing w:after="0"/>
        <w:rPr>
          <w:rFonts w:eastAsia="Times New Roman" w:cstheme="minorHAnsi"/>
          <w:bCs/>
          <w:sz w:val="16"/>
          <w:szCs w:val="16"/>
          <w:lang w:val="sr-Cyrl-CS"/>
        </w:rPr>
      </w:pPr>
      <w:r w:rsidRPr="00FC2852">
        <w:rPr>
          <w:rStyle w:val="FootnoteReference"/>
          <w:rFonts w:cstheme="minorHAnsi"/>
          <w:sz w:val="16"/>
          <w:szCs w:val="16"/>
        </w:rPr>
        <w:footnoteRef/>
      </w:r>
      <w:r w:rsidRPr="00FC2852">
        <w:rPr>
          <w:rFonts w:cstheme="minorHAnsi"/>
          <w:sz w:val="16"/>
          <w:szCs w:val="16"/>
        </w:rPr>
        <w:t xml:space="preserve"> </w:t>
      </w:r>
      <w:r w:rsidRPr="00FC2852">
        <w:rPr>
          <w:rFonts w:eastAsia="Times New Roman" w:cstheme="minorHAnsi"/>
          <w:bCs/>
          <w:sz w:val="16"/>
          <w:szCs w:val="16"/>
          <w:lang w:val="sr-Cyrl-CS"/>
        </w:rPr>
        <w:t>Детаљнији опис коришћене методологије и резултата могу се пронаћи у Фискалној стратегији за 2013. годину са пројекцијама за 2014. и 2015. годину или путем линка</w:t>
      </w:r>
      <w:r w:rsidRPr="00FC2852">
        <w:rPr>
          <w:rFonts w:cstheme="minorHAnsi"/>
          <w:sz w:val="16"/>
          <w:szCs w:val="16"/>
          <w:lang w:val="sr-Cyrl-CS"/>
        </w:rPr>
        <w:t xml:space="preserve"> </w:t>
      </w:r>
      <w:hyperlink r:id="rId2" w:history="1">
        <w:r w:rsidRPr="00FC2852">
          <w:rPr>
            <w:rStyle w:val="Hyperlink"/>
            <w:rFonts w:eastAsia="Times New Roman" w:cstheme="minorHAnsi"/>
            <w:bCs/>
            <w:color w:val="44546A" w:themeColor="text2"/>
            <w:sz w:val="16"/>
            <w:szCs w:val="16"/>
            <w:u w:val="none"/>
            <w:lang w:val="sr-Cyrl-CS"/>
          </w:rPr>
          <w:t>http://www.mfin.gov.rs/pages/article.php?id=8626</w:t>
        </w:r>
      </w:hyperlink>
    </w:p>
  </w:footnote>
  <w:footnote w:id="13">
    <w:p w14:paraId="7CCBBDAB" w14:textId="77777777" w:rsidR="00710E8E" w:rsidRPr="00C336AD" w:rsidRDefault="00710E8E" w:rsidP="008265F0">
      <w:pPr>
        <w:pStyle w:val="FootnoteText"/>
        <w:rPr>
          <w:rFonts w:cstheme="minorHAnsi"/>
          <w:sz w:val="16"/>
          <w:szCs w:val="16"/>
          <w:lang w:val="sr-Cyrl-RS"/>
        </w:rPr>
      </w:pPr>
      <w:r w:rsidRPr="00C336AD">
        <w:rPr>
          <w:rStyle w:val="FootnoteReference"/>
          <w:rFonts w:cstheme="minorHAnsi"/>
          <w:sz w:val="16"/>
          <w:szCs w:val="16"/>
          <w:lang w:val="sr-Cyrl-RS"/>
        </w:rPr>
        <w:footnoteRef/>
      </w:r>
      <w:r w:rsidRPr="00C336AD">
        <w:rPr>
          <w:rFonts w:cstheme="minorHAnsi"/>
          <w:sz w:val="16"/>
          <w:szCs w:val="16"/>
          <w:lang w:val="sr-Cyrl-RS"/>
        </w:rPr>
        <w:t xml:space="preserve"> Јавни дуг у овом документу не обухвата дуг по основу реституције у складу са дефиницијом дуга</w:t>
      </w:r>
      <w:r>
        <w:rPr>
          <w:rFonts w:cstheme="minorHAnsi"/>
          <w:sz w:val="16"/>
          <w:szCs w:val="16"/>
          <w:lang w:val="sr-Cyrl-RS"/>
        </w:rPr>
        <w:t xml:space="preserve"> из Закона о буџетском систему.</w:t>
      </w:r>
    </w:p>
  </w:footnote>
  <w:footnote w:id="14">
    <w:p w14:paraId="2F384EA5" w14:textId="77777777" w:rsidR="00710E8E" w:rsidRPr="00BC3554" w:rsidRDefault="00710E8E" w:rsidP="008265F0">
      <w:pPr>
        <w:pStyle w:val="FootnoteText"/>
        <w:rPr>
          <w:rStyle w:val="FootnoteReference"/>
          <w:rFonts w:cs="Times New Roman"/>
          <w:sz w:val="16"/>
          <w:szCs w:val="16"/>
          <w:vertAlign w:val="baseline"/>
        </w:rPr>
      </w:pPr>
      <w:r w:rsidRPr="00FC2852">
        <w:rPr>
          <w:rStyle w:val="FootnoteReference"/>
          <w:sz w:val="16"/>
          <w:szCs w:val="16"/>
          <w:lang w:val="sr-Cyrl-RS"/>
        </w:rPr>
        <w:footnoteRef/>
      </w:r>
      <w:r w:rsidRPr="00BC3554">
        <w:rPr>
          <w:rStyle w:val="FootnoteReference"/>
          <w:sz w:val="16"/>
          <w:szCs w:val="16"/>
          <w:vertAlign w:val="baseline"/>
          <w:lang w:val="sr-Cyrl-RS"/>
        </w:rPr>
        <w:t xml:space="preserve"> АТМ (</w:t>
      </w:r>
      <w:r w:rsidRPr="00BC3554">
        <w:rPr>
          <w:rStyle w:val="FootnoteReference"/>
          <w:i/>
          <w:sz w:val="16"/>
          <w:szCs w:val="16"/>
          <w:vertAlign w:val="baseline"/>
          <w:lang w:val="sr-Cyrl-RS"/>
        </w:rPr>
        <w:t>Average Time to Maturity</w:t>
      </w:r>
      <w:r w:rsidRPr="00BC3554">
        <w:rPr>
          <w:rStyle w:val="FootnoteReference"/>
          <w:sz w:val="16"/>
          <w:szCs w:val="16"/>
          <w:vertAlign w:val="baseline"/>
          <w:lang w:val="sr-Cyrl-RS"/>
        </w:rPr>
        <w:t>) – енглеска скраћеница за просечно време до доспећа.</w:t>
      </w:r>
    </w:p>
  </w:footnote>
  <w:footnote w:id="15">
    <w:p w14:paraId="1E2DDDCB" w14:textId="77777777" w:rsidR="00710E8E" w:rsidRPr="00BC3554" w:rsidRDefault="00710E8E" w:rsidP="008265F0">
      <w:pPr>
        <w:pStyle w:val="FootnoteText"/>
      </w:pPr>
      <w:r w:rsidRPr="00FC2852">
        <w:rPr>
          <w:rStyle w:val="FootnoteReference"/>
          <w:sz w:val="16"/>
          <w:szCs w:val="16"/>
          <w:lang w:val="sr-Cyrl-RS"/>
        </w:rPr>
        <w:footnoteRef/>
      </w:r>
      <w:r w:rsidRPr="00BC3554">
        <w:rPr>
          <w:rStyle w:val="FootnoteReference"/>
          <w:sz w:val="16"/>
          <w:szCs w:val="16"/>
          <w:vertAlign w:val="baseline"/>
          <w:lang w:val="sr-Cyrl-RS"/>
        </w:rPr>
        <w:t xml:space="preserve"> АТR (</w:t>
      </w:r>
      <w:r w:rsidRPr="00BC3554">
        <w:rPr>
          <w:rStyle w:val="FootnoteReference"/>
          <w:i/>
          <w:sz w:val="16"/>
          <w:szCs w:val="16"/>
          <w:vertAlign w:val="baseline"/>
          <w:lang w:val="sr-Cyrl-RS"/>
        </w:rPr>
        <w:t>Average Time to Refixing</w:t>
      </w:r>
      <w:r w:rsidRPr="00BC3554">
        <w:rPr>
          <w:rStyle w:val="FootnoteReference"/>
          <w:sz w:val="16"/>
          <w:szCs w:val="16"/>
          <w:vertAlign w:val="baseline"/>
          <w:lang w:val="sr-Cyrl-RS"/>
        </w:rPr>
        <w:t>) – енглеска скраћеница за просечно време до промене каматних стопа.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500FA" w14:textId="77777777" w:rsidR="00710E8E" w:rsidRPr="00E84ECD" w:rsidRDefault="00710E8E" w:rsidP="00E84EC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6E8D4"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24DEF252" w14:textId="77777777" w:rsidR="00710E8E" w:rsidRDefault="00710E8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1C718" w14:textId="77777777" w:rsidR="00710E8E" w:rsidRPr="000C433F" w:rsidRDefault="00710E8E"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35FFC4E7" w14:textId="77777777" w:rsidR="00710E8E" w:rsidRDefault="00710E8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A4A48"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56E097E7" w14:textId="77777777" w:rsidR="00710E8E" w:rsidRDefault="00710E8E">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8E0F5" w14:textId="77777777" w:rsidR="00710E8E" w:rsidRPr="001B7E15" w:rsidRDefault="00710E8E" w:rsidP="00BD7EB6">
    <w:pPr>
      <w:pStyle w:val="Header"/>
      <w:jc w:val="center"/>
      <w:rPr>
        <w:lang w:val="sr-Cyrl-RS"/>
      </w:rPr>
    </w:pPr>
    <w:r w:rsidRPr="004044DC">
      <w:rPr>
        <w:lang w:val="sr-Cyrl-RS"/>
      </w:rPr>
      <w:t xml:space="preserve">Ревидирана фискална </w:t>
    </w:r>
    <w:r>
      <w:rPr>
        <w:lang w:val="sr-Cyrl-RS"/>
      </w:rPr>
      <w:t>стратегија за 2020. годину са пројекцијама за 2021. и 2022</w:t>
    </w:r>
    <w:r w:rsidRPr="001B7E15">
      <w:rPr>
        <w:lang w:val="sr-Cyrl-RS"/>
      </w:rPr>
      <w:t>. годину</w:t>
    </w:r>
  </w:p>
  <w:p w14:paraId="6AAAF20A" w14:textId="77777777" w:rsidR="00710E8E" w:rsidRDefault="00710E8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73246"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23204CD2" w14:textId="77777777" w:rsidR="00710E8E" w:rsidRDefault="00710E8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B7196" w14:textId="77777777" w:rsidR="00710E8E" w:rsidRPr="00F061F2" w:rsidRDefault="00710E8E" w:rsidP="00C130D2">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2E015C03" w14:textId="77777777" w:rsidR="00710E8E" w:rsidRPr="004F72C4" w:rsidRDefault="00710E8E" w:rsidP="004F72C4">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1F74F"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20097D4D" w14:textId="77777777" w:rsidR="00710E8E" w:rsidRDefault="00710E8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375E9B" w14:textId="77777777" w:rsidR="00710E8E" w:rsidRPr="00F061F2" w:rsidRDefault="00710E8E" w:rsidP="005D42AC">
    <w:pPr>
      <w:pStyle w:val="Header"/>
      <w:jc w:val="center"/>
    </w:pPr>
    <w:r>
      <w:rPr>
        <w:lang w:val="sr-Cyrl-RS"/>
      </w:rPr>
      <w:t>Фискална стратегија за 202</w:t>
    </w:r>
    <w:r>
      <w:t>1</w:t>
    </w:r>
    <w:r>
      <w:rPr>
        <w:lang w:val="sr-Cyrl-RS"/>
      </w:rPr>
      <w:t>. годину са пројекцијама за 202</w:t>
    </w:r>
    <w:r>
      <w:t>2</w:t>
    </w:r>
    <w:r>
      <w:rPr>
        <w:lang w:val="sr-Cyrl-RS"/>
      </w:rPr>
      <w:t>. и 202</w:t>
    </w:r>
    <w:r>
      <w:t>3</w:t>
    </w:r>
    <w:r w:rsidRPr="00F061F2">
      <w:rPr>
        <w:lang w:val="sr-Cyrl-RS"/>
      </w:rPr>
      <w:t>. годину</w:t>
    </w:r>
  </w:p>
  <w:p w14:paraId="393561C9" w14:textId="77777777" w:rsidR="00710E8E" w:rsidRPr="004F72C4" w:rsidRDefault="00710E8E" w:rsidP="004F72C4">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C1415F"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62F5D0B9" w14:textId="77777777" w:rsidR="00710E8E" w:rsidRDefault="00710E8E">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22D58C" w14:textId="77777777" w:rsidR="00710E8E" w:rsidRPr="00F061F2" w:rsidRDefault="00710E8E" w:rsidP="00C130D2">
    <w:pPr>
      <w:pStyle w:val="Header"/>
      <w:jc w:val="center"/>
    </w:pPr>
    <w:r w:rsidRPr="00724C89">
      <w:rPr>
        <w:lang w:val="sr-Cyrl-RS"/>
      </w:rPr>
      <w:t xml:space="preserve">Ревидирана фискална </w:t>
    </w:r>
    <w:r>
      <w:rPr>
        <w:lang w:val="sr-Cyrl-RS"/>
      </w:rPr>
      <w:t>стратегија за 2020. годину са пројекцијама за 2021. и 2022</w:t>
    </w:r>
    <w:r w:rsidRPr="00F061F2">
      <w:rPr>
        <w:lang w:val="sr-Cyrl-RS"/>
      </w:rPr>
      <w:t>. годину</w:t>
    </w:r>
  </w:p>
  <w:p w14:paraId="3F6745BC" w14:textId="77777777" w:rsidR="00710E8E" w:rsidRPr="004F72C4" w:rsidRDefault="00710E8E" w:rsidP="004F72C4">
    <w:pPr>
      <w:pStyle w:val="Header"/>
    </w:pPr>
  </w:p>
  <w:p w14:paraId="77EB0A05" w14:textId="77777777" w:rsidR="00710E8E" w:rsidRDefault="00710E8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81F6E1" w14:textId="77777777" w:rsidR="00710E8E" w:rsidRPr="00521A99" w:rsidRDefault="00710E8E"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92B91" w14:textId="77777777" w:rsidR="00710E8E" w:rsidRPr="000766DD" w:rsidRDefault="00710E8E" w:rsidP="000766DD">
    <w:pPr>
      <w:pStyle w:val="Header"/>
    </w:pPr>
  </w:p>
  <w:p w14:paraId="4C8913AB" w14:textId="77777777" w:rsidR="00710E8E" w:rsidRDefault="00710E8E"/>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F0F45E"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68DB9196" w14:textId="77777777" w:rsidR="00710E8E" w:rsidRDefault="00710E8E">
    <w:pPr>
      <w:pStyle w:val="Header"/>
    </w:pPr>
  </w:p>
  <w:p w14:paraId="4A6D26B8" w14:textId="77777777" w:rsidR="00710E8E" w:rsidRDefault="00710E8E"/>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1C10D" w14:textId="77777777" w:rsidR="00710E8E" w:rsidRPr="00F061F2" w:rsidRDefault="00710E8E" w:rsidP="00C130D2">
    <w:pPr>
      <w:pStyle w:val="Header"/>
      <w:jc w:val="center"/>
    </w:pPr>
    <w:r w:rsidRPr="00724C89">
      <w:rPr>
        <w:lang w:val="sr-Cyrl-RS"/>
      </w:rPr>
      <w:t xml:space="preserve">Ревидирана фискална </w:t>
    </w:r>
    <w:r>
      <w:rPr>
        <w:lang w:val="sr-Cyrl-RS"/>
      </w:rPr>
      <w:t>стратегија за 2020. годину са пројекцијама за 2021. и 2022</w:t>
    </w:r>
    <w:r w:rsidRPr="00F061F2">
      <w:rPr>
        <w:lang w:val="sr-Cyrl-RS"/>
      </w:rPr>
      <w:t>. годину</w:t>
    </w:r>
  </w:p>
  <w:p w14:paraId="7627FF70" w14:textId="77777777" w:rsidR="00710E8E" w:rsidRDefault="00710E8E">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5B0728" w14:textId="77777777" w:rsidR="00710E8E" w:rsidRPr="000766DD" w:rsidRDefault="00710E8E" w:rsidP="000766DD">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A8653E"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57409B5E" w14:textId="77777777" w:rsidR="00710E8E" w:rsidRDefault="00710E8E">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09FFC" w14:textId="77777777" w:rsidR="00710E8E" w:rsidRPr="00F061F2" w:rsidRDefault="00710E8E" w:rsidP="00C130D2">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F061F2">
      <w:rPr>
        <w:lang w:val="sr-Cyrl-RS"/>
      </w:rPr>
      <w:t>. годину</w:t>
    </w:r>
  </w:p>
  <w:p w14:paraId="71C65DB0" w14:textId="77777777" w:rsidR="00710E8E" w:rsidRDefault="00710E8E">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56DB0" w14:textId="77777777" w:rsidR="00710E8E" w:rsidRPr="00F40DC3" w:rsidRDefault="00710E8E" w:rsidP="00F40DC3">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47411"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7815B7CB" w14:textId="77777777" w:rsidR="00710E8E" w:rsidRDefault="00710E8E">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0C453"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7C3857ED" w14:textId="77777777" w:rsidR="00710E8E" w:rsidRDefault="00710E8E">
    <w:pPr>
      <w:pStyle w:val="Heade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FD02D"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44E24209" w14:textId="77777777" w:rsidR="00710E8E" w:rsidRDefault="00710E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EE08A" w14:textId="77777777" w:rsidR="00710E8E" w:rsidRPr="00521A99" w:rsidRDefault="00710E8E" w:rsidP="00521A99">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63ED6" w14:textId="77777777" w:rsidR="00710E8E" w:rsidRPr="009F6737" w:rsidRDefault="00710E8E" w:rsidP="009F6737">
    <w:pPr>
      <w:pStyle w:val="Heade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4AC43" w14:textId="77777777" w:rsidR="00710E8E" w:rsidRPr="003B6D80" w:rsidRDefault="00710E8E" w:rsidP="00E4657F">
    <w:pPr>
      <w:pStyle w:val="Header"/>
      <w:jc w:val="center"/>
    </w:pPr>
    <w:r w:rsidRPr="006C57DB">
      <w:rPr>
        <w:lang w:val="sr-Cyrl-RS"/>
      </w:rPr>
      <w:t xml:space="preserve">Фискална </w:t>
    </w:r>
    <w:r w:rsidRPr="00724C89">
      <w:t>стратегија за 2020. годину са пројекцијама за 2021. и 2022. годину</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BD541D" w14:textId="77777777" w:rsidR="00710E8E" w:rsidRPr="009F6737" w:rsidRDefault="00710E8E" w:rsidP="009F6737">
    <w:pPr>
      <w:pStyle w:val="Heade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520"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6F268A54" w14:textId="77777777" w:rsidR="00710E8E" w:rsidRDefault="00710E8E">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709C7" w14:textId="77777777" w:rsidR="00710E8E" w:rsidRDefault="00710E8E" w:rsidP="00815831">
    <w:pPr>
      <w:pStyle w:val="Header"/>
      <w:jc w:val="center"/>
    </w:pPr>
    <w:r w:rsidRPr="00724C89">
      <w:rPr>
        <w:lang w:val="sr-Cyrl-RS"/>
      </w:rPr>
      <w:t xml:space="preserve">Ревидирана фискална </w:t>
    </w:r>
    <w:r>
      <w:rPr>
        <w:lang w:val="sr-Cyrl-RS"/>
      </w:rPr>
      <w:t>стратегија за 20</w:t>
    </w:r>
    <w:r>
      <w:t>20</w:t>
    </w:r>
    <w:r>
      <w:rPr>
        <w:lang w:val="sr-Cyrl-RS"/>
      </w:rPr>
      <w:t>. годину са пројекцијама за 2021. и 2022</w:t>
    </w:r>
    <w:r w:rsidRPr="00F061F2">
      <w:rPr>
        <w:lang w:val="sr-Cyrl-RS"/>
      </w:rPr>
      <w:t>. годину</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833D4"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47090C27" w14:textId="77777777" w:rsidR="00710E8E" w:rsidRDefault="00710E8E">
    <w:pPr>
      <w:pStyle w:val="Heade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031FCB" w14:textId="77777777" w:rsidR="00710E8E" w:rsidRDefault="00710E8E"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p w14:paraId="6CE7678A" w14:textId="77777777" w:rsidR="00710E8E" w:rsidRDefault="00710E8E"/>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ECCEF1"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23CBFE8B" w14:textId="77777777" w:rsidR="00710E8E" w:rsidRDefault="00710E8E">
    <w:pPr>
      <w:pStyle w:val="Header"/>
    </w:pPr>
  </w:p>
  <w:p w14:paraId="63F0F23C" w14:textId="77777777" w:rsidR="00710E8E" w:rsidRDefault="00710E8E"/>
  <w:p w14:paraId="2D89DC89" w14:textId="77777777" w:rsidR="00710E8E" w:rsidRDefault="00710E8E"/>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E6B9B" w14:textId="77777777" w:rsidR="00710E8E" w:rsidRDefault="00710E8E" w:rsidP="005158F5">
    <w:pPr>
      <w:pStyle w:val="Header"/>
      <w:jc w:val="center"/>
    </w:pPr>
    <w:r w:rsidRPr="006C57DB">
      <w:rPr>
        <w:lang w:val="sr-Cyrl-RS"/>
      </w:rPr>
      <w:t xml:space="preserve">Фискална </w:t>
    </w:r>
    <w:r>
      <w:rPr>
        <w:lang w:val="sr-Cyrl-RS"/>
      </w:rPr>
      <w:t>стратегија за 2020. годину са пројекцијама за 2021. и 2022</w:t>
    </w:r>
    <w:r w:rsidRPr="00361C29">
      <w:rPr>
        <w:lang w:val="sr-Cyrl-RS"/>
      </w:rPr>
      <w:t>. годину</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B40E6"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01B581D0" w14:textId="77777777" w:rsidR="00710E8E" w:rsidRDefault="00710E8E">
    <w:pPr>
      <w:pStyle w:val="Header"/>
    </w:pPr>
  </w:p>
  <w:p w14:paraId="2B41BC44" w14:textId="77777777" w:rsidR="00710E8E" w:rsidRDefault="00710E8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B8456" w14:textId="77777777" w:rsidR="00710E8E" w:rsidRDefault="00710E8E" w:rsidP="000C433F">
    <w:pPr>
      <w:pStyle w:val="Header"/>
      <w:jc w:val="center"/>
      <w:rPr>
        <w:lang w:val="sr-Cyrl-RS"/>
      </w:rPr>
    </w:pPr>
  </w:p>
  <w:p w14:paraId="5150A4F1" w14:textId="77777777" w:rsidR="00710E8E" w:rsidRPr="00BF7F6A" w:rsidRDefault="00710E8E" w:rsidP="000C433F">
    <w:pPr>
      <w:pStyle w:val="Header"/>
      <w:jc w:val="center"/>
      <w:rPr>
        <w:lang w:val="sr-Cyrl-R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4812" w14:textId="77777777" w:rsidR="00710E8E" w:rsidRPr="000C433F" w:rsidRDefault="00710E8E" w:rsidP="00B14FC0">
    <w:pPr>
      <w:pStyle w:val="Header"/>
      <w:jc w:val="center"/>
      <w:rPr>
        <w:lang w:val="sr-Cyrl-RS"/>
      </w:rPr>
    </w:pPr>
    <w:r w:rsidRPr="006C57DB">
      <w:rPr>
        <w:lang w:val="sr-Cyrl-RS"/>
      </w:rPr>
      <w:t xml:space="preserve">Фискална </w:t>
    </w:r>
    <w:r w:rsidRPr="000C433F">
      <w:rPr>
        <w:lang w:val="sr-Cyrl-RS"/>
      </w:rPr>
      <w:t>стратегија за 2020. годину са пројекцијама за 2021. и 2022. годину</w:t>
    </w:r>
  </w:p>
  <w:p w14:paraId="702A9C79" w14:textId="77777777" w:rsidR="00710E8E" w:rsidRDefault="00710E8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28D6FC" w14:textId="77777777" w:rsidR="00710E8E" w:rsidRPr="00030DD0" w:rsidRDefault="00710E8E" w:rsidP="00CE72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819AD" w14:textId="77777777" w:rsidR="00710E8E" w:rsidRPr="00BF7F6A" w:rsidRDefault="00710E8E" w:rsidP="00BD7EB6">
    <w:pPr>
      <w:pStyle w:val="Header"/>
      <w:jc w:val="center"/>
      <w:rPr>
        <w:lang w:val="sr-Cyrl-RS"/>
      </w:rPr>
    </w:pPr>
    <w:r>
      <w:rPr>
        <w:lang w:val="sr-Cyrl-RS"/>
      </w:rPr>
      <w:t>Фискална стратегија за 2019. годину са пројекцијама за 2020. и 2021. годину</w:t>
    </w:r>
  </w:p>
  <w:p w14:paraId="442DDAA3" w14:textId="77777777" w:rsidR="00710E8E" w:rsidRDefault="00710E8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9DCF1" w14:textId="77777777" w:rsidR="00710E8E" w:rsidRPr="00177077" w:rsidRDefault="00710E8E" w:rsidP="00161001">
    <w:pPr>
      <w:pStyle w:val="Header"/>
      <w:jc w:val="center"/>
      <w:rPr>
        <w:lang w:val="sr-Cyrl-RS"/>
      </w:rPr>
    </w:pPr>
    <w:r>
      <w:rPr>
        <w:lang w:val="sr-Cyrl-RS"/>
      </w:rPr>
      <w:t>Фискална стратегија за 2020. годину са пројекцијама за 2021. и 2022. годину</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B97EF" w14:textId="77777777" w:rsidR="00710E8E" w:rsidRPr="00F40DC3" w:rsidRDefault="00710E8E" w:rsidP="00F40D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C328B3"/>
    <w:multiLevelType w:val="hybridMultilevel"/>
    <w:tmpl w:val="4B800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FB2519C"/>
    <w:multiLevelType w:val="hybridMultilevel"/>
    <w:tmpl w:val="14EC1DC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63264B"/>
    <w:multiLevelType w:val="hybridMultilevel"/>
    <w:tmpl w:val="8FF08668"/>
    <w:lvl w:ilvl="0" w:tplc="281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7E3294"/>
    <w:multiLevelType w:val="hybridMultilevel"/>
    <w:tmpl w:val="1354E3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5AE57C8"/>
    <w:multiLevelType w:val="hybridMultilevel"/>
    <w:tmpl w:val="97704FAE"/>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B575BE"/>
    <w:multiLevelType w:val="hybridMultilevel"/>
    <w:tmpl w:val="8514C64C"/>
    <w:lvl w:ilvl="0" w:tplc="281A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196F9C"/>
    <w:multiLevelType w:val="hybridMultilevel"/>
    <w:tmpl w:val="03588D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7" w15:restartNumberingAfterBreak="0">
    <w:nsid w:val="1A7C45D5"/>
    <w:multiLevelType w:val="hybridMultilevel"/>
    <w:tmpl w:val="9756494C"/>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8" w15:restartNumberingAfterBreak="0">
    <w:nsid w:val="1AA27DE4"/>
    <w:multiLevelType w:val="hybridMultilevel"/>
    <w:tmpl w:val="FA80B2E8"/>
    <w:lvl w:ilvl="0" w:tplc="71B0D9DA">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F077B37"/>
    <w:multiLevelType w:val="hybridMultilevel"/>
    <w:tmpl w:val="81503CA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BA37CC"/>
    <w:multiLevelType w:val="hybridMultilevel"/>
    <w:tmpl w:val="BA2A7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640D2D"/>
    <w:multiLevelType w:val="hybridMultilevel"/>
    <w:tmpl w:val="B7501ECE"/>
    <w:lvl w:ilvl="0" w:tplc="06960124">
      <w:start w:val="1"/>
      <w:numFmt w:val="decimal"/>
      <w:lvlText w:val="%1)"/>
      <w:lvlJc w:val="left"/>
      <w:pPr>
        <w:ind w:left="2160" w:hanging="360"/>
      </w:pPr>
      <w:rPr>
        <w:rFonts w:ascii="Cambria" w:eastAsia="Times New Roman" w:hAnsi="Cambria" w:cs="Tahoma" w:hint="default"/>
      </w:r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12" w15:restartNumberingAfterBreak="0">
    <w:nsid w:val="269A237E"/>
    <w:multiLevelType w:val="hybridMultilevel"/>
    <w:tmpl w:val="E87A5076"/>
    <w:lvl w:ilvl="0" w:tplc="EF2AD8AC">
      <w:start w:val="7"/>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7E3366"/>
    <w:multiLevelType w:val="hybridMultilevel"/>
    <w:tmpl w:val="443407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29E336EA"/>
    <w:multiLevelType w:val="hybridMultilevel"/>
    <w:tmpl w:val="F5A8EA88"/>
    <w:lvl w:ilvl="0" w:tplc="5252804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1B23A4"/>
    <w:multiLevelType w:val="hybridMultilevel"/>
    <w:tmpl w:val="0F4E72EE"/>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357B7631"/>
    <w:multiLevelType w:val="hybridMultilevel"/>
    <w:tmpl w:val="68EE0AFC"/>
    <w:lvl w:ilvl="0" w:tplc="A278813C">
      <w:numFmt w:val="bullet"/>
      <w:lvlText w:val=""/>
      <w:lvlJc w:val="left"/>
      <w:pPr>
        <w:ind w:left="720" w:hanging="360"/>
      </w:pPr>
      <w:rPr>
        <w:rFonts w:ascii="Symbol" w:eastAsiaTheme="minorHAnsi" w:hAnsi="Symbol" w:cstheme="minorHAnsi"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7" w15:restartNumberingAfterBreak="0">
    <w:nsid w:val="364818FA"/>
    <w:multiLevelType w:val="hybridMultilevel"/>
    <w:tmpl w:val="B3DEF552"/>
    <w:lvl w:ilvl="0" w:tplc="F05C964E">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5F6A1A"/>
    <w:multiLevelType w:val="hybridMultilevel"/>
    <w:tmpl w:val="6358C0B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F974621"/>
    <w:multiLevelType w:val="hybridMultilevel"/>
    <w:tmpl w:val="3D1E1176"/>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7CF4"/>
    <w:multiLevelType w:val="hybridMultilevel"/>
    <w:tmpl w:val="BBAC369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467C91"/>
    <w:multiLevelType w:val="hybridMultilevel"/>
    <w:tmpl w:val="9DAA1384"/>
    <w:lvl w:ilvl="0" w:tplc="1D3E2152">
      <w:start w:val="7"/>
      <w:numFmt w:val="bullet"/>
      <w:lvlText w:val=""/>
      <w:lvlJc w:val="left"/>
      <w:pPr>
        <w:ind w:left="720" w:hanging="360"/>
      </w:pPr>
      <w:rPr>
        <w:rFonts w:ascii="Symbol" w:eastAsia="Calibri" w:hAnsi="Symbol"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463FD0"/>
    <w:multiLevelType w:val="hybridMultilevel"/>
    <w:tmpl w:val="8F8C83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7107BC8"/>
    <w:multiLevelType w:val="hybridMultilevel"/>
    <w:tmpl w:val="0DBA091E"/>
    <w:lvl w:ilvl="0" w:tplc="0988F754">
      <w:start w:val="5"/>
      <w:numFmt w:val="bullet"/>
      <w:lvlText w:val="-"/>
      <w:lvlJc w:val="left"/>
      <w:pPr>
        <w:ind w:left="720" w:hanging="360"/>
      </w:pPr>
      <w:rPr>
        <w:rFonts w:ascii="Arial" w:eastAsia="Times New Roman" w:hAnsi="Arial" w:cs="Arial" w:hint="default"/>
        <w:b w:val="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9E10CE8"/>
    <w:multiLevelType w:val="hybridMultilevel"/>
    <w:tmpl w:val="2EA86312"/>
    <w:lvl w:ilvl="0" w:tplc="3C18CB6A">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6972A3"/>
    <w:multiLevelType w:val="hybridMultilevel"/>
    <w:tmpl w:val="3750566E"/>
    <w:lvl w:ilvl="0" w:tplc="04090005">
      <w:start w:val="1"/>
      <w:numFmt w:val="bullet"/>
      <w:lvlText w:val=""/>
      <w:lvlJc w:val="left"/>
      <w:pPr>
        <w:ind w:left="1077" w:hanging="360"/>
      </w:pPr>
      <w:rPr>
        <w:rFonts w:ascii="Wingdings" w:hAnsi="Wingdings" w:hint="default"/>
      </w:rPr>
    </w:lvl>
    <w:lvl w:ilvl="1" w:tplc="04090003">
      <w:start w:val="1"/>
      <w:numFmt w:val="bullet"/>
      <w:lvlText w:val="o"/>
      <w:lvlJc w:val="left"/>
      <w:pPr>
        <w:ind w:left="1797" w:hanging="360"/>
      </w:pPr>
      <w:rPr>
        <w:rFonts w:ascii="Courier New" w:hAnsi="Courier New" w:cs="Courier New" w:hint="default"/>
      </w:rPr>
    </w:lvl>
    <w:lvl w:ilvl="2" w:tplc="04090005">
      <w:start w:val="1"/>
      <w:numFmt w:val="bullet"/>
      <w:lvlText w:val=""/>
      <w:lvlJc w:val="left"/>
      <w:pPr>
        <w:ind w:left="2517" w:hanging="360"/>
      </w:pPr>
      <w:rPr>
        <w:rFonts w:ascii="Wingdings" w:hAnsi="Wingdings" w:hint="default"/>
      </w:rPr>
    </w:lvl>
    <w:lvl w:ilvl="3" w:tplc="04090001">
      <w:start w:val="1"/>
      <w:numFmt w:val="bullet"/>
      <w:lvlText w:val=""/>
      <w:lvlJc w:val="left"/>
      <w:pPr>
        <w:ind w:left="3237" w:hanging="360"/>
      </w:pPr>
      <w:rPr>
        <w:rFonts w:ascii="Symbol" w:hAnsi="Symbol" w:hint="default"/>
      </w:rPr>
    </w:lvl>
    <w:lvl w:ilvl="4" w:tplc="04090003">
      <w:start w:val="1"/>
      <w:numFmt w:val="bullet"/>
      <w:lvlText w:val="o"/>
      <w:lvlJc w:val="left"/>
      <w:pPr>
        <w:ind w:left="3957" w:hanging="360"/>
      </w:pPr>
      <w:rPr>
        <w:rFonts w:ascii="Courier New" w:hAnsi="Courier New" w:cs="Courier New" w:hint="default"/>
      </w:rPr>
    </w:lvl>
    <w:lvl w:ilvl="5" w:tplc="04090005">
      <w:start w:val="1"/>
      <w:numFmt w:val="bullet"/>
      <w:lvlText w:val=""/>
      <w:lvlJc w:val="left"/>
      <w:pPr>
        <w:ind w:left="4677" w:hanging="360"/>
      </w:pPr>
      <w:rPr>
        <w:rFonts w:ascii="Wingdings" w:hAnsi="Wingdings" w:hint="default"/>
      </w:rPr>
    </w:lvl>
    <w:lvl w:ilvl="6" w:tplc="04090001">
      <w:start w:val="1"/>
      <w:numFmt w:val="bullet"/>
      <w:lvlText w:val=""/>
      <w:lvlJc w:val="left"/>
      <w:pPr>
        <w:ind w:left="5397" w:hanging="360"/>
      </w:pPr>
      <w:rPr>
        <w:rFonts w:ascii="Symbol" w:hAnsi="Symbol" w:hint="default"/>
      </w:rPr>
    </w:lvl>
    <w:lvl w:ilvl="7" w:tplc="04090003">
      <w:start w:val="1"/>
      <w:numFmt w:val="bullet"/>
      <w:lvlText w:val="o"/>
      <w:lvlJc w:val="left"/>
      <w:pPr>
        <w:ind w:left="6117" w:hanging="360"/>
      </w:pPr>
      <w:rPr>
        <w:rFonts w:ascii="Courier New" w:hAnsi="Courier New" w:cs="Courier New" w:hint="default"/>
      </w:rPr>
    </w:lvl>
    <w:lvl w:ilvl="8" w:tplc="04090005">
      <w:start w:val="1"/>
      <w:numFmt w:val="bullet"/>
      <w:lvlText w:val=""/>
      <w:lvlJc w:val="left"/>
      <w:pPr>
        <w:ind w:left="6837" w:hanging="360"/>
      </w:pPr>
      <w:rPr>
        <w:rFonts w:ascii="Wingdings" w:hAnsi="Wingdings" w:hint="default"/>
      </w:rPr>
    </w:lvl>
  </w:abstractNum>
  <w:abstractNum w:abstractNumId="26" w15:restartNumberingAfterBreak="0">
    <w:nsid w:val="4E321928"/>
    <w:multiLevelType w:val="hybridMultilevel"/>
    <w:tmpl w:val="7D3273FE"/>
    <w:lvl w:ilvl="0" w:tplc="04090005">
      <w:start w:val="1"/>
      <w:numFmt w:val="bullet"/>
      <w:lvlText w:val=""/>
      <w:lvlJc w:val="left"/>
      <w:pPr>
        <w:ind w:left="1797" w:hanging="360"/>
      </w:pPr>
      <w:rPr>
        <w:rFonts w:ascii="Wingdings" w:hAnsi="Wingdings" w:hint="default"/>
      </w:rPr>
    </w:lvl>
    <w:lvl w:ilvl="1" w:tplc="04090003">
      <w:start w:val="1"/>
      <w:numFmt w:val="bullet"/>
      <w:lvlText w:val="o"/>
      <w:lvlJc w:val="left"/>
      <w:pPr>
        <w:ind w:left="2517" w:hanging="360"/>
      </w:pPr>
      <w:rPr>
        <w:rFonts w:ascii="Courier New" w:hAnsi="Courier New" w:cs="Courier New" w:hint="default"/>
      </w:rPr>
    </w:lvl>
    <w:lvl w:ilvl="2" w:tplc="04090005">
      <w:start w:val="1"/>
      <w:numFmt w:val="bullet"/>
      <w:lvlText w:val=""/>
      <w:lvlJc w:val="left"/>
      <w:pPr>
        <w:ind w:left="3237" w:hanging="360"/>
      </w:pPr>
      <w:rPr>
        <w:rFonts w:ascii="Wingdings" w:hAnsi="Wingdings" w:hint="default"/>
      </w:rPr>
    </w:lvl>
    <w:lvl w:ilvl="3" w:tplc="04090001">
      <w:start w:val="1"/>
      <w:numFmt w:val="bullet"/>
      <w:lvlText w:val=""/>
      <w:lvlJc w:val="left"/>
      <w:pPr>
        <w:ind w:left="3957" w:hanging="360"/>
      </w:pPr>
      <w:rPr>
        <w:rFonts w:ascii="Symbol" w:hAnsi="Symbol" w:hint="default"/>
      </w:rPr>
    </w:lvl>
    <w:lvl w:ilvl="4" w:tplc="04090003">
      <w:start w:val="1"/>
      <w:numFmt w:val="bullet"/>
      <w:lvlText w:val="o"/>
      <w:lvlJc w:val="left"/>
      <w:pPr>
        <w:ind w:left="4677" w:hanging="360"/>
      </w:pPr>
      <w:rPr>
        <w:rFonts w:ascii="Courier New" w:hAnsi="Courier New" w:cs="Courier New" w:hint="default"/>
      </w:rPr>
    </w:lvl>
    <w:lvl w:ilvl="5" w:tplc="04090005">
      <w:start w:val="1"/>
      <w:numFmt w:val="bullet"/>
      <w:lvlText w:val=""/>
      <w:lvlJc w:val="left"/>
      <w:pPr>
        <w:ind w:left="5397" w:hanging="360"/>
      </w:pPr>
      <w:rPr>
        <w:rFonts w:ascii="Wingdings" w:hAnsi="Wingdings" w:hint="default"/>
      </w:rPr>
    </w:lvl>
    <w:lvl w:ilvl="6" w:tplc="04090001">
      <w:start w:val="1"/>
      <w:numFmt w:val="bullet"/>
      <w:lvlText w:val=""/>
      <w:lvlJc w:val="left"/>
      <w:pPr>
        <w:ind w:left="6117" w:hanging="360"/>
      </w:pPr>
      <w:rPr>
        <w:rFonts w:ascii="Symbol" w:hAnsi="Symbol" w:hint="default"/>
      </w:rPr>
    </w:lvl>
    <w:lvl w:ilvl="7" w:tplc="04090003">
      <w:start w:val="1"/>
      <w:numFmt w:val="bullet"/>
      <w:lvlText w:val="o"/>
      <w:lvlJc w:val="left"/>
      <w:pPr>
        <w:ind w:left="6837" w:hanging="360"/>
      </w:pPr>
      <w:rPr>
        <w:rFonts w:ascii="Courier New" w:hAnsi="Courier New" w:cs="Courier New" w:hint="default"/>
      </w:rPr>
    </w:lvl>
    <w:lvl w:ilvl="8" w:tplc="04090005">
      <w:start w:val="1"/>
      <w:numFmt w:val="bullet"/>
      <w:lvlText w:val=""/>
      <w:lvlJc w:val="left"/>
      <w:pPr>
        <w:ind w:left="7557" w:hanging="360"/>
      </w:pPr>
      <w:rPr>
        <w:rFonts w:ascii="Wingdings" w:hAnsi="Wingdings" w:hint="default"/>
      </w:rPr>
    </w:lvl>
  </w:abstractNum>
  <w:abstractNum w:abstractNumId="27" w15:restartNumberingAfterBreak="0">
    <w:nsid w:val="510620D3"/>
    <w:multiLevelType w:val="hybridMultilevel"/>
    <w:tmpl w:val="0D62EB3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296732"/>
    <w:multiLevelType w:val="hybridMultilevel"/>
    <w:tmpl w:val="50008634"/>
    <w:lvl w:ilvl="0" w:tplc="08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592C15"/>
    <w:multiLevelType w:val="hybridMultilevel"/>
    <w:tmpl w:val="CC3CD6FE"/>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C003055"/>
    <w:multiLevelType w:val="hybridMultilevel"/>
    <w:tmpl w:val="DB8ACF72"/>
    <w:lvl w:ilvl="0" w:tplc="04090005">
      <w:start w:val="1"/>
      <w:numFmt w:val="bullet"/>
      <w:lvlText w:val=""/>
      <w:lvlJc w:val="left"/>
      <w:pPr>
        <w:ind w:left="720" w:hanging="360"/>
      </w:pPr>
      <w:rPr>
        <w:rFonts w:ascii="Wingdings" w:hAnsi="Wingdings" w:hint="default"/>
      </w:rPr>
    </w:lvl>
    <w:lvl w:ilvl="1" w:tplc="CE94C130">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717A3C"/>
    <w:multiLevelType w:val="hybridMultilevel"/>
    <w:tmpl w:val="4498CBF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88702A"/>
    <w:multiLevelType w:val="hybridMultilevel"/>
    <w:tmpl w:val="A712D11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61597092"/>
    <w:multiLevelType w:val="hybridMultilevel"/>
    <w:tmpl w:val="DD583D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5939ED"/>
    <w:multiLevelType w:val="hybridMultilevel"/>
    <w:tmpl w:val="F9640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D5C5B"/>
    <w:multiLevelType w:val="hybridMultilevel"/>
    <w:tmpl w:val="A216C01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A2577D"/>
    <w:multiLevelType w:val="hybridMultilevel"/>
    <w:tmpl w:val="4886B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A75434"/>
    <w:multiLevelType w:val="hybridMultilevel"/>
    <w:tmpl w:val="1F682A80"/>
    <w:lvl w:ilvl="0" w:tplc="1DFCD06E">
      <w:start w:val="1"/>
      <w:numFmt w:val="bullet"/>
      <w:lvlText w:val=""/>
      <w:lvlJc w:val="left"/>
      <w:pPr>
        <w:ind w:left="720" w:hanging="360"/>
      </w:pPr>
      <w:rPr>
        <w:rFonts w:ascii="Wingdings" w:hAnsi="Wingdings" w:hint="default"/>
        <w:color w:val="44546A"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D6519D"/>
    <w:multiLevelType w:val="hybridMultilevel"/>
    <w:tmpl w:val="885EE6C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CE846ED"/>
    <w:multiLevelType w:val="hybridMultilevel"/>
    <w:tmpl w:val="7B084E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F667808"/>
    <w:multiLevelType w:val="hybridMultilevel"/>
    <w:tmpl w:val="38E0640C"/>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430566"/>
    <w:multiLevelType w:val="hybridMultilevel"/>
    <w:tmpl w:val="8BBC2DA0"/>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44B4078"/>
    <w:multiLevelType w:val="hybridMultilevel"/>
    <w:tmpl w:val="E1122C1A"/>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4B74E8F"/>
    <w:multiLevelType w:val="hybridMultilevel"/>
    <w:tmpl w:val="335221A4"/>
    <w:lvl w:ilvl="0" w:tplc="04090005">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8869C2"/>
    <w:multiLevelType w:val="hybridMultilevel"/>
    <w:tmpl w:val="F64093A4"/>
    <w:lvl w:ilvl="0" w:tplc="04090005">
      <w:start w:val="1"/>
      <w:numFmt w:val="bullet"/>
      <w:lvlText w:val=""/>
      <w:lvlJc w:val="left"/>
      <w:pPr>
        <w:ind w:left="720" w:hanging="360"/>
      </w:pPr>
      <w:rPr>
        <w:rFonts w:ascii="Wingdings" w:hAnsi="Wingdings" w:hint="default"/>
      </w:rPr>
    </w:lvl>
    <w:lvl w:ilvl="1" w:tplc="8828E634">
      <w:start w:val="6"/>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965A39"/>
    <w:multiLevelType w:val="hybridMultilevel"/>
    <w:tmpl w:val="2056D5E8"/>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46" w15:restartNumberingAfterBreak="0">
    <w:nsid w:val="7A9879F0"/>
    <w:multiLevelType w:val="hybridMultilevel"/>
    <w:tmpl w:val="0E260B54"/>
    <w:lvl w:ilvl="0" w:tplc="4210E704">
      <w:start w:val="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6"/>
  </w:num>
  <w:num w:numId="3">
    <w:abstractNumId w:val="15"/>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4"/>
  </w:num>
  <w:num w:numId="7">
    <w:abstractNumId w:val="13"/>
  </w:num>
  <w:num w:numId="8">
    <w:abstractNumId w:val="11"/>
  </w:num>
  <w:num w:numId="9">
    <w:abstractNumId w:val="32"/>
  </w:num>
  <w:num w:numId="10">
    <w:abstractNumId w:val="25"/>
  </w:num>
  <w:num w:numId="11">
    <w:abstractNumId w:val="26"/>
  </w:num>
  <w:num w:numId="12">
    <w:abstractNumId w:val="16"/>
  </w:num>
  <w:num w:numId="13">
    <w:abstractNumId w:val="41"/>
  </w:num>
  <w:num w:numId="14">
    <w:abstractNumId w:val="8"/>
  </w:num>
  <w:num w:numId="15">
    <w:abstractNumId w:val="3"/>
  </w:num>
  <w:num w:numId="16">
    <w:abstractNumId w:val="17"/>
  </w:num>
  <w:num w:numId="17">
    <w:abstractNumId w:val="20"/>
  </w:num>
  <w:num w:numId="18">
    <w:abstractNumId w:val="44"/>
  </w:num>
  <w:num w:numId="19">
    <w:abstractNumId w:val="24"/>
  </w:num>
  <w:num w:numId="20">
    <w:abstractNumId w:val="27"/>
  </w:num>
  <w:num w:numId="21">
    <w:abstractNumId w:val="19"/>
  </w:num>
  <w:num w:numId="22">
    <w:abstractNumId w:val="30"/>
  </w:num>
  <w:num w:numId="23">
    <w:abstractNumId w:val="46"/>
  </w:num>
  <w:num w:numId="24">
    <w:abstractNumId w:val="38"/>
  </w:num>
  <w:num w:numId="25">
    <w:abstractNumId w:val="43"/>
  </w:num>
  <w:num w:numId="26">
    <w:abstractNumId w:val="9"/>
  </w:num>
  <w:num w:numId="27">
    <w:abstractNumId w:val="29"/>
  </w:num>
  <w:num w:numId="28">
    <w:abstractNumId w:val="1"/>
  </w:num>
  <w:num w:numId="29">
    <w:abstractNumId w:val="40"/>
  </w:num>
  <w:num w:numId="30">
    <w:abstractNumId w:val="33"/>
  </w:num>
  <w:num w:numId="31">
    <w:abstractNumId w:val="42"/>
  </w:num>
  <w:num w:numId="32">
    <w:abstractNumId w:val="18"/>
  </w:num>
  <w:num w:numId="33">
    <w:abstractNumId w:val="39"/>
  </w:num>
  <w:num w:numId="34">
    <w:abstractNumId w:val="21"/>
  </w:num>
  <w:num w:numId="35">
    <w:abstractNumId w:val="12"/>
  </w:num>
  <w:num w:numId="36">
    <w:abstractNumId w:val="2"/>
  </w:num>
  <w:num w:numId="37">
    <w:abstractNumId w:val="5"/>
  </w:num>
  <w:num w:numId="38">
    <w:abstractNumId w:val="22"/>
  </w:num>
  <w:num w:numId="39">
    <w:abstractNumId w:val="23"/>
  </w:num>
  <w:num w:numId="40">
    <w:abstractNumId w:val="34"/>
  </w:num>
  <w:num w:numId="41">
    <w:abstractNumId w:val="36"/>
  </w:num>
  <w:num w:numId="42">
    <w:abstractNumId w:val="28"/>
  </w:num>
  <w:num w:numId="43">
    <w:abstractNumId w:val="35"/>
  </w:num>
  <w:num w:numId="44">
    <w:abstractNumId w:val="31"/>
  </w:num>
  <w:num w:numId="45">
    <w:abstractNumId w:val="37"/>
  </w:num>
  <w:num w:numId="46">
    <w:abstractNumId w:val="4"/>
  </w:num>
  <w:num w:numId="47">
    <w:abstractNumId w:val="7"/>
  </w:num>
  <w:num w:numId="48">
    <w:abstractNumId w:val="45"/>
  </w:num>
  <w:num w:numId="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hideSpellingErrors/>
  <w:hideGrammaticalError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zMTS2sDAxNzYwM7RU0lEKTi0uzszPAykwrgUA81w0PiwAAAA="/>
  </w:docVars>
  <w:rsids>
    <w:rsidRoot w:val="00570694"/>
    <w:rsid w:val="00000738"/>
    <w:rsid w:val="0000208A"/>
    <w:rsid w:val="000024E4"/>
    <w:rsid w:val="00004AB8"/>
    <w:rsid w:val="00005A98"/>
    <w:rsid w:val="00005B4B"/>
    <w:rsid w:val="00007450"/>
    <w:rsid w:val="00007DCD"/>
    <w:rsid w:val="0001031F"/>
    <w:rsid w:val="0001068B"/>
    <w:rsid w:val="00010C73"/>
    <w:rsid w:val="00011F40"/>
    <w:rsid w:val="000137D6"/>
    <w:rsid w:val="0001436A"/>
    <w:rsid w:val="0001456F"/>
    <w:rsid w:val="000146BD"/>
    <w:rsid w:val="0001479F"/>
    <w:rsid w:val="0001518F"/>
    <w:rsid w:val="00016599"/>
    <w:rsid w:val="00017CE7"/>
    <w:rsid w:val="00017FEA"/>
    <w:rsid w:val="00020F32"/>
    <w:rsid w:val="0002394D"/>
    <w:rsid w:val="00023CAD"/>
    <w:rsid w:val="00024B73"/>
    <w:rsid w:val="00025B30"/>
    <w:rsid w:val="00025DEA"/>
    <w:rsid w:val="00026799"/>
    <w:rsid w:val="00030428"/>
    <w:rsid w:val="00030ED7"/>
    <w:rsid w:val="00031215"/>
    <w:rsid w:val="000312CC"/>
    <w:rsid w:val="0003151D"/>
    <w:rsid w:val="00032283"/>
    <w:rsid w:val="0003267D"/>
    <w:rsid w:val="00032ABE"/>
    <w:rsid w:val="0003395A"/>
    <w:rsid w:val="0003520F"/>
    <w:rsid w:val="00036174"/>
    <w:rsid w:val="000373BC"/>
    <w:rsid w:val="000378CD"/>
    <w:rsid w:val="00040A56"/>
    <w:rsid w:val="00040D82"/>
    <w:rsid w:val="00040FBC"/>
    <w:rsid w:val="0004265A"/>
    <w:rsid w:val="000431E7"/>
    <w:rsid w:val="00043D88"/>
    <w:rsid w:val="0004446C"/>
    <w:rsid w:val="0004447C"/>
    <w:rsid w:val="00044F53"/>
    <w:rsid w:val="00047F55"/>
    <w:rsid w:val="00050702"/>
    <w:rsid w:val="00050D40"/>
    <w:rsid w:val="00050E4C"/>
    <w:rsid w:val="00051446"/>
    <w:rsid w:val="00051E16"/>
    <w:rsid w:val="000520C7"/>
    <w:rsid w:val="0005265C"/>
    <w:rsid w:val="000526AB"/>
    <w:rsid w:val="00052880"/>
    <w:rsid w:val="00053791"/>
    <w:rsid w:val="00053E30"/>
    <w:rsid w:val="00053E87"/>
    <w:rsid w:val="00054089"/>
    <w:rsid w:val="000544FF"/>
    <w:rsid w:val="00054623"/>
    <w:rsid w:val="00054A7A"/>
    <w:rsid w:val="00055075"/>
    <w:rsid w:val="000554B1"/>
    <w:rsid w:val="00055FE2"/>
    <w:rsid w:val="00057424"/>
    <w:rsid w:val="000623F6"/>
    <w:rsid w:val="000628F2"/>
    <w:rsid w:val="00063E59"/>
    <w:rsid w:val="0006488B"/>
    <w:rsid w:val="000662DC"/>
    <w:rsid w:val="000676C7"/>
    <w:rsid w:val="00067B90"/>
    <w:rsid w:val="000718C2"/>
    <w:rsid w:val="000727B2"/>
    <w:rsid w:val="00073179"/>
    <w:rsid w:val="00073336"/>
    <w:rsid w:val="000766DD"/>
    <w:rsid w:val="000771A0"/>
    <w:rsid w:val="00077711"/>
    <w:rsid w:val="000814C2"/>
    <w:rsid w:val="00081C1E"/>
    <w:rsid w:val="00082497"/>
    <w:rsid w:val="00082B03"/>
    <w:rsid w:val="000836F4"/>
    <w:rsid w:val="00085D4A"/>
    <w:rsid w:val="00085ECE"/>
    <w:rsid w:val="00086B41"/>
    <w:rsid w:val="0008731A"/>
    <w:rsid w:val="00087CD9"/>
    <w:rsid w:val="000919A1"/>
    <w:rsid w:val="00092123"/>
    <w:rsid w:val="000931AB"/>
    <w:rsid w:val="00095B36"/>
    <w:rsid w:val="000964C9"/>
    <w:rsid w:val="000A00D2"/>
    <w:rsid w:val="000A357F"/>
    <w:rsid w:val="000A3BA4"/>
    <w:rsid w:val="000A3DA9"/>
    <w:rsid w:val="000A46FE"/>
    <w:rsid w:val="000A55CF"/>
    <w:rsid w:val="000A5C49"/>
    <w:rsid w:val="000A72D6"/>
    <w:rsid w:val="000A772F"/>
    <w:rsid w:val="000A7CCE"/>
    <w:rsid w:val="000B062E"/>
    <w:rsid w:val="000B24C5"/>
    <w:rsid w:val="000B282B"/>
    <w:rsid w:val="000B2BAB"/>
    <w:rsid w:val="000B43F5"/>
    <w:rsid w:val="000B44BA"/>
    <w:rsid w:val="000C08A1"/>
    <w:rsid w:val="000C255B"/>
    <w:rsid w:val="000C2568"/>
    <w:rsid w:val="000C433F"/>
    <w:rsid w:val="000C7D6F"/>
    <w:rsid w:val="000D0A45"/>
    <w:rsid w:val="000D1073"/>
    <w:rsid w:val="000D2FC6"/>
    <w:rsid w:val="000D35C5"/>
    <w:rsid w:val="000D3B88"/>
    <w:rsid w:val="000D408C"/>
    <w:rsid w:val="000D5A02"/>
    <w:rsid w:val="000D63DF"/>
    <w:rsid w:val="000D6FF5"/>
    <w:rsid w:val="000E05E0"/>
    <w:rsid w:val="000E1901"/>
    <w:rsid w:val="000E1A99"/>
    <w:rsid w:val="000E2AEF"/>
    <w:rsid w:val="000E343C"/>
    <w:rsid w:val="000E376B"/>
    <w:rsid w:val="000E4558"/>
    <w:rsid w:val="000E5961"/>
    <w:rsid w:val="000E608D"/>
    <w:rsid w:val="000E61F4"/>
    <w:rsid w:val="000E651E"/>
    <w:rsid w:val="000E72F0"/>
    <w:rsid w:val="000F1EB4"/>
    <w:rsid w:val="000F23C3"/>
    <w:rsid w:val="000F33F8"/>
    <w:rsid w:val="000F4BFA"/>
    <w:rsid w:val="000F4E58"/>
    <w:rsid w:val="000F4F17"/>
    <w:rsid w:val="000F58B5"/>
    <w:rsid w:val="000F6048"/>
    <w:rsid w:val="000F6E5A"/>
    <w:rsid w:val="00100B11"/>
    <w:rsid w:val="00101649"/>
    <w:rsid w:val="00103068"/>
    <w:rsid w:val="00105FA7"/>
    <w:rsid w:val="00107CFA"/>
    <w:rsid w:val="00107E08"/>
    <w:rsid w:val="00110235"/>
    <w:rsid w:val="00111810"/>
    <w:rsid w:val="00111833"/>
    <w:rsid w:val="00111DAF"/>
    <w:rsid w:val="0011303A"/>
    <w:rsid w:val="00113079"/>
    <w:rsid w:val="00114519"/>
    <w:rsid w:val="0011480F"/>
    <w:rsid w:val="0011606C"/>
    <w:rsid w:val="0011662D"/>
    <w:rsid w:val="00116920"/>
    <w:rsid w:val="00117192"/>
    <w:rsid w:val="00117933"/>
    <w:rsid w:val="00120CC3"/>
    <w:rsid w:val="00120DA0"/>
    <w:rsid w:val="00122265"/>
    <w:rsid w:val="0012307B"/>
    <w:rsid w:val="00123E26"/>
    <w:rsid w:val="001259A9"/>
    <w:rsid w:val="00125A87"/>
    <w:rsid w:val="001275CF"/>
    <w:rsid w:val="001315A6"/>
    <w:rsid w:val="00131C9F"/>
    <w:rsid w:val="00132FA9"/>
    <w:rsid w:val="00133AB2"/>
    <w:rsid w:val="00133CD9"/>
    <w:rsid w:val="00133D9B"/>
    <w:rsid w:val="001359FB"/>
    <w:rsid w:val="00135A8B"/>
    <w:rsid w:val="00135AAB"/>
    <w:rsid w:val="001367C0"/>
    <w:rsid w:val="00137CAB"/>
    <w:rsid w:val="00140F69"/>
    <w:rsid w:val="00141A18"/>
    <w:rsid w:val="00142BB2"/>
    <w:rsid w:val="0014307F"/>
    <w:rsid w:val="001441C8"/>
    <w:rsid w:val="00144472"/>
    <w:rsid w:val="00144545"/>
    <w:rsid w:val="00144917"/>
    <w:rsid w:val="00144C44"/>
    <w:rsid w:val="0014561B"/>
    <w:rsid w:val="00146101"/>
    <w:rsid w:val="00146506"/>
    <w:rsid w:val="001476C8"/>
    <w:rsid w:val="00147925"/>
    <w:rsid w:val="00147C55"/>
    <w:rsid w:val="0015014A"/>
    <w:rsid w:val="00150351"/>
    <w:rsid w:val="00150B26"/>
    <w:rsid w:val="00151DA1"/>
    <w:rsid w:val="001527EE"/>
    <w:rsid w:val="0015290B"/>
    <w:rsid w:val="00152FE9"/>
    <w:rsid w:val="0015484A"/>
    <w:rsid w:val="00155570"/>
    <w:rsid w:val="00155609"/>
    <w:rsid w:val="00156088"/>
    <w:rsid w:val="00156BFA"/>
    <w:rsid w:val="001604B9"/>
    <w:rsid w:val="00161001"/>
    <w:rsid w:val="00162A08"/>
    <w:rsid w:val="00163ABC"/>
    <w:rsid w:val="00164283"/>
    <w:rsid w:val="0016494D"/>
    <w:rsid w:val="001654B4"/>
    <w:rsid w:val="001658DB"/>
    <w:rsid w:val="0017035F"/>
    <w:rsid w:val="00170B9E"/>
    <w:rsid w:val="0017154C"/>
    <w:rsid w:val="00171E52"/>
    <w:rsid w:val="00172947"/>
    <w:rsid w:val="001733E9"/>
    <w:rsid w:val="00173CF3"/>
    <w:rsid w:val="001748A7"/>
    <w:rsid w:val="00175A72"/>
    <w:rsid w:val="001773CD"/>
    <w:rsid w:val="00180DF6"/>
    <w:rsid w:val="00180E21"/>
    <w:rsid w:val="00182173"/>
    <w:rsid w:val="001829CE"/>
    <w:rsid w:val="00182A86"/>
    <w:rsid w:val="00183A2A"/>
    <w:rsid w:val="00183C60"/>
    <w:rsid w:val="00184007"/>
    <w:rsid w:val="00187838"/>
    <w:rsid w:val="001901A5"/>
    <w:rsid w:val="001901FC"/>
    <w:rsid w:val="00190661"/>
    <w:rsid w:val="00191645"/>
    <w:rsid w:val="00191881"/>
    <w:rsid w:val="00192CD7"/>
    <w:rsid w:val="001940DA"/>
    <w:rsid w:val="00195054"/>
    <w:rsid w:val="00195D34"/>
    <w:rsid w:val="00195EED"/>
    <w:rsid w:val="0019659D"/>
    <w:rsid w:val="00196C27"/>
    <w:rsid w:val="00196FF3"/>
    <w:rsid w:val="00197D5B"/>
    <w:rsid w:val="001A0255"/>
    <w:rsid w:val="001A0449"/>
    <w:rsid w:val="001A06AE"/>
    <w:rsid w:val="001A108B"/>
    <w:rsid w:val="001A1F53"/>
    <w:rsid w:val="001A25EA"/>
    <w:rsid w:val="001A2C4E"/>
    <w:rsid w:val="001A342B"/>
    <w:rsid w:val="001A35AD"/>
    <w:rsid w:val="001A4391"/>
    <w:rsid w:val="001A7C3B"/>
    <w:rsid w:val="001B07FE"/>
    <w:rsid w:val="001B0D1E"/>
    <w:rsid w:val="001B0E94"/>
    <w:rsid w:val="001B200E"/>
    <w:rsid w:val="001B2B9F"/>
    <w:rsid w:val="001B3294"/>
    <w:rsid w:val="001B39B1"/>
    <w:rsid w:val="001B3F5A"/>
    <w:rsid w:val="001B4899"/>
    <w:rsid w:val="001B5231"/>
    <w:rsid w:val="001B7B6D"/>
    <w:rsid w:val="001C1D73"/>
    <w:rsid w:val="001C31E8"/>
    <w:rsid w:val="001C37C3"/>
    <w:rsid w:val="001C3EB8"/>
    <w:rsid w:val="001C5986"/>
    <w:rsid w:val="001C5C26"/>
    <w:rsid w:val="001C5E46"/>
    <w:rsid w:val="001C624A"/>
    <w:rsid w:val="001C6D5F"/>
    <w:rsid w:val="001C7486"/>
    <w:rsid w:val="001C7944"/>
    <w:rsid w:val="001D12AA"/>
    <w:rsid w:val="001D1BC3"/>
    <w:rsid w:val="001D254C"/>
    <w:rsid w:val="001D2764"/>
    <w:rsid w:val="001D27BA"/>
    <w:rsid w:val="001D3241"/>
    <w:rsid w:val="001D3262"/>
    <w:rsid w:val="001D3316"/>
    <w:rsid w:val="001D3A04"/>
    <w:rsid w:val="001D4D24"/>
    <w:rsid w:val="001D528E"/>
    <w:rsid w:val="001D52A6"/>
    <w:rsid w:val="001D5B59"/>
    <w:rsid w:val="001D6890"/>
    <w:rsid w:val="001D6BAB"/>
    <w:rsid w:val="001D6C6B"/>
    <w:rsid w:val="001E0313"/>
    <w:rsid w:val="001E0603"/>
    <w:rsid w:val="001E1EFD"/>
    <w:rsid w:val="001E3C08"/>
    <w:rsid w:val="001E3E7D"/>
    <w:rsid w:val="001E43C2"/>
    <w:rsid w:val="001E499B"/>
    <w:rsid w:val="001E5B42"/>
    <w:rsid w:val="001E71AB"/>
    <w:rsid w:val="001F0A52"/>
    <w:rsid w:val="001F0E72"/>
    <w:rsid w:val="001F1226"/>
    <w:rsid w:val="001F4750"/>
    <w:rsid w:val="001F4A1C"/>
    <w:rsid w:val="001F4FBB"/>
    <w:rsid w:val="001F52FB"/>
    <w:rsid w:val="001F5364"/>
    <w:rsid w:val="001F5D30"/>
    <w:rsid w:val="001F5E0B"/>
    <w:rsid w:val="001F6AEA"/>
    <w:rsid w:val="001F72DE"/>
    <w:rsid w:val="00201099"/>
    <w:rsid w:val="00201586"/>
    <w:rsid w:val="0020165D"/>
    <w:rsid w:val="00201771"/>
    <w:rsid w:val="002023A9"/>
    <w:rsid w:val="002027E9"/>
    <w:rsid w:val="00203391"/>
    <w:rsid w:val="0020373B"/>
    <w:rsid w:val="002048DF"/>
    <w:rsid w:val="00204F22"/>
    <w:rsid w:val="00205098"/>
    <w:rsid w:val="00205636"/>
    <w:rsid w:val="00206FBA"/>
    <w:rsid w:val="0020757D"/>
    <w:rsid w:val="0020784A"/>
    <w:rsid w:val="0021016A"/>
    <w:rsid w:val="00213C53"/>
    <w:rsid w:val="00214CFC"/>
    <w:rsid w:val="002152C6"/>
    <w:rsid w:val="002166F8"/>
    <w:rsid w:val="00220291"/>
    <w:rsid w:val="00220B7B"/>
    <w:rsid w:val="00222C42"/>
    <w:rsid w:val="00224E76"/>
    <w:rsid w:val="00225A4E"/>
    <w:rsid w:val="00225A51"/>
    <w:rsid w:val="00226035"/>
    <w:rsid w:val="0022630A"/>
    <w:rsid w:val="0022672A"/>
    <w:rsid w:val="00227CB2"/>
    <w:rsid w:val="0023004A"/>
    <w:rsid w:val="00230F86"/>
    <w:rsid w:val="00231623"/>
    <w:rsid w:val="00231D59"/>
    <w:rsid w:val="0023268B"/>
    <w:rsid w:val="00232965"/>
    <w:rsid w:val="00236619"/>
    <w:rsid w:val="0023793B"/>
    <w:rsid w:val="0024018B"/>
    <w:rsid w:val="002408F9"/>
    <w:rsid w:val="00240E12"/>
    <w:rsid w:val="00240E2E"/>
    <w:rsid w:val="00242481"/>
    <w:rsid w:val="00242716"/>
    <w:rsid w:val="00242C1B"/>
    <w:rsid w:val="00244274"/>
    <w:rsid w:val="002478B5"/>
    <w:rsid w:val="00250469"/>
    <w:rsid w:val="002514DB"/>
    <w:rsid w:val="0025163B"/>
    <w:rsid w:val="00252092"/>
    <w:rsid w:val="002520BF"/>
    <w:rsid w:val="002520F2"/>
    <w:rsid w:val="00253BCE"/>
    <w:rsid w:val="002545C4"/>
    <w:rsid w:val="00255D7F"/>
    <w:rsid w:val="002567C7"/>
    <w:rsid w:val="00256C5B"/>
    <w:rsid w:val="00260796"/>
    <w:rsid w:val="002607ED"/>
    <w:rsid w:val="002608D1"/>
    <w:rsid w:val="00261423"/>
    <w:rsid w:val="0026168D"/>
    <w:rsid w:val="0026272F"/>
    <w:rsid w:val="002646A6"/>
    <w:rsid w:val="00264858"/>
    <w:rsid w:val="00265394"/>
    <w:rsid w:val="002654A4"/>
    <w:rsid w:val="00266355"/>
    <w:rsid w:val="00270566"/>
    <w:rsid w:val="00273E35"/>
    <w:rsid w:val="0027402D"/>
    <w:rsid w:val="002745EB"/>
    <w:rsid w:val="002754E6"/>
    <w:rsid w:val="00276FCA"/>
    <w:rsid w:val="00277E7D"/>
    <w:rsid w:val="00280B97"/>
    <w:rsid w:val="00282BAA"/>
    <w:rsid w:val="00282E6F"/>
    <w:rsid w:val="00285087"/>
    <w:rsid w:val="00285491"/>
    <w:rsid w:val="00285CFC"/>
    <w:rsid w:val="00285EAF"/>
    <w:rsid w:val="002863EF"/>
    <w:rsid w:val="002864D9"/>
    <w:rsid w:val="00291A64"/>
    <w:rsid w:val="00291ED0"/>
    <w:rsid w:val="00292465"/>
    <w:rsid w:val="00292A4F"/>
    <w:rsid w:val="002931F2"/>
    <w:rsid w:val="00293770"/>
    <w:rsid w:val="0029416A"/>
    <w:rsid w:val="002944BB"/>
    <w:rsid w:val="002951FF"/>
    <w:rsid w:val="002976D7"/>
    <w:rsid w:val="002A0D22"/>
    <w:rsid w:val="002A11EE"/>
    <w:rsid w:val="002A2849"/>
    <w:rsid w:val="002A38AE"/>
    <w:rsid w:val="002A3DF9"/>
    <w:rsid w:val="002A4AC6"/>
    <w:rsid w:val="002A5D8B"/>
    <w:rsid w:val="002A65F6"/>
    <w:rsid w:val="002A7D0E"/>
    <w:rsid w:val="002B0A81"/>
    <w:rsid w:val="002B0D7A"/>
    <w:rsid w:val="002B161B"/>
    <w:rsid w:val="002B1A52"/>
    <w:rsid w:val="002B373F"/>
    <w:rsid w:val="002B378B"/>
    <w:rsid w:val="002B46CB"/>
    <w:rsid w:val="002B60EF"/>
    <w:rsid w:val="002B644D"/>
    <w:rsid w:val="002B6E12"/>
    <w:rsid w:val="002B7144"/>
    <w:rsid w:val="002B7CC3"/>
    <w:rsid w:val="002C0021"/>
    <w:rsid w:val="002C06AB"/>
    <w:rsid w:val="002C1D90"/>
    <w:rsid w:val="002C1FBC"/>
    <w:rsid w:val="002C3568"/>
    <w:rsid w:val="002C5CC6"/>
    <w:rsid w:val="002C675F"/>
    <w:rsid w:val="002D0A04"/>
    <w:rsid w:val="002D0E7B"/>
    <w:rsid w:val="002D1432"/>
    <w:rsid w:val="002D29FF"/>
    <w:rsid w:val="002D37F1"/>
    <w:rsid w:val="002D5C73"/>
    <w:rsid w:val="002D6257"/>
    <w:rsid w:val="002D6307"/>
    <w:rsid w:val="002D65A5"/>
    <w:rsid w:val="002D6FE0"/>
    <w:rsid w:val="002D7900"/>
    <w:rsid w:val="002D7C40"/>
    <w:rsid w:val="002E086E"/>
    <w:rsid w:val="002E1402"/>
    <w:rsid w:val="002E15A1"/>
    <w:rsid w:val="002E1612"/>
    <w:rsid w:val="002E197B"/>
    <w:rsid w:val="002E2D44"/>
    <w:rsid w:val="002E320D"/>
    <w:rsid w:val="002E3A44"/>
    <w:rsid w:val="002E4487"/>
    <w:rsid w:val="002E4662"/>
    <w:rsid w:val="002E4759"/>
    <w:rsid w:val="002E47F1"/>
    <w:rsid w:val="002E4A8C"/>
    <w:rsid w:val="002E4BCE"/>
    <w:rsid w:val="002E51AD"/>
    <w:rsid w:val="002E527B"/>
    <w:rsid w:val="002E52CA"/>
    <w:rsid w:val="002E58F2"/>
    <w:rsid w:val="002E5BAB"/>
    <w:rsid w:val="002E61D1"/>
    <w:rsid w:val="002E6657"/>
    <w:rsid w:val="002E6AEF"/>
    <w:rsid w:val="002E6EF0"/>
    <w:rsid w:val="002E7C10"/>
    <w:rsid w:val="002E7E1E"/>
    <w:rsid w:val="002F02EE"/>
    <w:rsid w:val="002F0472"/>
    <w:rsid w:val="002F2261"/>
    <w:rsid w:val="002F3901"/>
    <w:rsid w:val="002F3CE6"/>
    <w:rsid w:val="002F4083"/>
    <w:rsid w:val="002F42FE"/>
    <w:rsid w:val="002F451B"/>
    <w:rsid w:val="002F4C76"/>
    <w:rsid w:val="002F558D"/>
    <w:rsid w:val="002F5833"/>
    <w:rsid w:val="002F7235"/>
    <w:rsid w:val="00300901"/>
    <w:rsid w:val="00302ADE"/>
    <w:rsid w:val="00302B46"/>
    <w:rsid w:val="00302E90"/>
    <w:rsid w:val="00303B83"/>
    <w:rsid w:val="00303C2E"/>
    <w:rsid w:val="00303D95"/>
    <w:rsid w:val="00304ECA"/>
    <w:rsid w:val="003050C6"/>
    <w:rsid w:val="00305241"/>
    <w:rsid w:val="003058D5"/>
    <w:rsid w:val="0030628E"/>
    <w:rsid w:val="00306468"/>
    <w:rsid w:val="00306BE8"/>
    <w:rsid w:val="00307F73"/>
    <w:rsid w:val="00310B9F"/>
    <w:rsid w:val="00312646"/>
    <w:rsid w:val="003126F7"/>
    <w:rsid w:val="003128B5"/>
    <w:rsid w:val="00312CEA"/>
    <w:rsid w:val="00314629"/>
    <w:rsid w:val="00315856"/>
    <w:rsid w:val="00315D1D"/>
    <w:rsid w:val="00316892"/>
    <w:rsid w:val="003170C0"/>
    <w:rsid w:val="003171D3"/>
    <w:rsid w:val="00317A19"/>
    <w:rsid w:val="003207C4"/>
    <w:rsid w:val="00320855"/>
    <w:rsid w:val="0032088D"/>
    <w:rsid w:val="003214DF"/>
    <w:rsid w:val="00321BDF"/>
    <w:rsid w:val="00323A26"/>
    <w:rsid w:val="00324DF0"/>
    <w:rsid w:val="00326508"/>
    <w:rsid w:val="00326551"/>
    <w:rsid w:val="00327FC8"/>
    <w:rsid w:val="00330B52"/>
    <w:rsid w:val="003313B5"/>
    <w:rsid w:val="00332E3E"/>
    <w:rsid w:val="0033359D"/>
    <w:rsid w:val="00333942"/>
    <w:rsid w:val="00333B2E"/>
    <w:rsid w:val="00335B68"/>
    <w:rsid w:val="00336934"/>
    <w:rsid w:val="00337862"/>
    <w:rsid w:val="00341069"/>
    <w:rsid w:val="00341D14"/>
    <w:rsid w:val="003422CE"/>
    <w:rsid w:val="00342910"/>
    <w:rsid w:val="00342D1C"/>
    <w:rsid w:val="00343872"/>
    <w:rsid w:val="003438A0"/>
    <w:rsid w:val="003438DE"/>
    <w:rsid w:val="00344AF8"/>
    <w:rsid w:val="00345423"/>
    <w:rsid w:val="00346311"/>
    <w:rsid w:val="003472D1"/>
    <w:rsid w:val="00350002"/>
    <w:rsid w:val="00350B37"/>
    <w:rsid w:val="0035103D"/>
    <w:rsid w:val="003524B2"/>
    <w:rsid w:val="003528CF"/>
    <w:rsid w:val="00352961"/>
    <w:rsid w:val="00354D25"/>
    <w:rsid w:val="00354DC3"/>
    <w:rsid w:val="00356647"/>
    <w:rsid w:val="003567E9"/>
    <w:rsid w:val="00357300"/>
    <w:rsid w:val="003609A6"/>
    <w:rsid w:val="00361C29"/>
    <w:rsid w:val="00361F64"/>
    <w:rsid w:val="00363ACB"/>
    <w:rsid w:val="00363FDA"/>
    <w:rsid w:val="00363FE4"/>
    <w:rsid w:val="00365A06"/>
    <w:rsid w:val="00365A0C"/>
    <w:rsid w:val="00367B4C"/>
    <w:rsid w:val="00370F51"/>
    <w:rsid w:val="00371E4D"/>
    <w:rsid w:val="00372639"/>
    <w:rsid w:val="0037429D"/>
    <w:rsid w:val="00374B60"/>
    <w:rsid w:val="003755DE"/>
    <w:rsid w:val="0037637C"/>
    <w:rsid w:val="003763EB"/>
    <w:rsid w:val="00376746"/>
    <w:rsid w:val="00376D86"/>
    <w:rsid w:val="003811C4"/>
    <w:rsid w:val="003825BA"/>
    <w:rsid w:val="0038330F"/>
    <w:rsid w:val="003848B5"/>
    <w:rsid w:val="00384EC9"/>
    <w:rsid w:val="003851DF"/>
    <w:rsid w:val="0038706A"/>
    <w:rsid w:val="0039057A"/>
    <w:rsid w:val="003906A5"/>
    <w:rsid w:val="0039113B"/>
    <w:rsid w:val="00391B73"/>
    <w:rsid w:val="00395F56"/>
    <w:rsid w:val="00397D63"/>
    <w:rsid w:val="003A0FB8"/>
    <w:rsid w:val="003A1553"/>
    <w:rsid w:val="003A1B75"/>
    <w:rsid w:val="003A25EF"/>
    <w:rsid w:val="003A3457"/>
    <w:rsid w:val="003A3F7F"/>
    <w:rsid w:val="003A4087"/>
    <w:rsid w:val="003A4697"/>
    <w:rsid w:val="003A4F0F"/>
    <w:rsid w:val="003A4FB0"/>
    <w:rsid w:val="003A5A50"/>
    <w:rsid w:val="003A5BB2"/>
    <w:rsid w:val="003B0AE8"/>
    <w:rsid w:val="003B0E3D"/>
    <w:rsid w:val="003B1963"/>
    <w:rsid w:val="003B2341"/>
    <w:rsid w:val="003B31C0"/>
    <w:rsid w:val="003B33D2"/>
    <w:rsid w:val="003B3426"/>
    <w:rsid w:val="003B46C2"/>
    <w:rsid w:val="003B4A2C"/>
    <w:rsid w:val="003B4C3D"/>
    <w:rsid w:val="003C1760"/>
    <w:rsid w:val="003C1E44"/>
    <w:rsid w:val="003C2754"/>
    <w:rsid w:val="003C48E3"/>
    <w:rsid w:val="003C6192"/>
    <w:rsid w:val="003C6B14"/>
    <w:rsid w:val="003D2059"/>
    <w:rsid w:val="003D21F5"/>
    <w:rsid w:val="003D2901"/>
    <w:rsid w:val="003D3667"/>
    <w:rsid w:val="003D402A"/>
    <w:rsid w:val="003D4203"/>
    <w:rsid w:val="003D6D6A"/>
    <w:rsid w:val="003D6EFD"/>
    <w:rsid w:val="003D7413"/>
    <w:rsid w:val="003E09E6"/>
    <w:rsid w:val="003E0A71"/>
    <w:rsid w:val="003E10D3"/>
    <w:rsid w:val="003E166B"/>
    <w:rsid w:val="003E2525"/>
    <w:rsid w:val="003E2EFC"/>
    <w:rsid w:val="003E7579"/>
    <w:rsid w:val="003E7703"/>
    <w:rsid w:val="003F04D6"/>
    <w:rsid w:val="003F128E"/>
    <w:rsid w:val="003F1AC5"/>
    <w:rsid w:val="003F1D6A"/>
    <w:rsid w:val="003F3BF5"/>
    <w:rsid w:val="003F3C4D"/>
    <w:rsid w:val="003F3CA3"/>
    <w:rsid w:val="003F4E09"/>
    <w:rsid w:val="003F5542"/>
    <w:rsid w:val="003F5F46"/>
    <w:rsid w:val="003F7B20"/>
    <w:rsid w:val="00400E19"/>
    <w:rsid w:val="00402E3B"/>
    <w:rsid w:val="004044DC"/>
    <w:rsid w:val="0040477D"/>
    <w:rsid w:val="00404B0E"/>
    <w:rsid w:val="00405B9F"/>
    <w:rsid w:val="00406314"/>
    <w:rsid w:val="0040647C"/>
    <w:rsid w:val="004065FD"/>
    <w:rsid w:val="00407313"/>
    <w:rsid w:val="00410BD3"/>
    <w:rsid w:val="00411215"/>
    <w:rsid w:val="004127CC"/>
    <w:rsid w:val="00412E79"/>
    <w:rsid w:val="004138CA"/>
    <w:rsid w:val="00416B5D"/>
    <w:rsid w:val="004173FC"/>
    <w:rsid w:val="00417419"/>
    <w:rsid w:val="004200F6"/>
    <w:rsid w:val="004201B0"/>
    <w:rsid w:val="004209B8"/>
    <w:rsid w:val="00420C04"/>
    <w:rsid w:val="00422B7E"/>
    <w:rsid w:val="00422D28"/>
    <w:rsid w:val="00423472"/>
    <w:rsid w:val="0042379E"/>
    <w:rsid w:val="004243B9"/>
    <w:rsid w:val="0042607B"/>
    <w:rsid w:val="00427276"/>
    <w:rsid w:val="004273B8"/>
    <w:rsid w:val="004275BE"/>
    <w:rsid w:val="00427829"/>
    <w:rsid w:val="00430AB5"/>
    <w:rsid w:val="00433D97"/>
    <w:rsid w:val="00434194"/>
    <w:rsid w:val="00434D42"/>
    <w:rsid w:val="00434DCA"/>
    <w:rsid w:val="00435184"/>
    <w:rsid w:val="0043564D"/>
    <w:rsid w:val="00436726"/>
    <w:rsid w:val="00436A9B"/>
    <w:rsid w:val="00437576"/>
    <w:rsid w:val="004376E1"/>
    <w:rsid w:val="00437E7E"/>
    <w:rsid w:val="00440D31"/>
    <w:rsid w:val="00440F0C"/>
    <w:rsid w:val="00441BAD"/>
    <w:rsid w:val="00441C39"/>
    <w:rsid w:val="004437A3"/>
    <w:rsid w:val="00443C0C"/>
    <w:rsid w:val="00443E1E"/>
    <w:rsid w:val="00446736"/>
    <w:rsid w:val="00446FCF"/>
    <w:rsid w:val="00447320"/>
    <w:rsid w:val="004478A8"/>
    <w:rsid w:val="00447A83"/>
    <w:rsid w:val="00447C3A"/>
    <w:rsid w:val="00450252"/>
    <w:rsid w:val="0045088D"/>
    <w:rsid w:val="00451097"/>
    <w:rsid w:val="00451ACB"/>
    <w:rsid w:val="00451DCA"/>
    <w:rsid w:val="004523FE"/>
    <w:rsid w:val="0045264B"/>
    <w:rsid w:val="00453DB6"/>
    <w:rsid w:val="004543DA"/>
    <w:rsid w:val="0045496D"/>
    <w:rsid w:val="00454B55"/>
    <w:rsid w:val="00455783"/>
    <w:rsid w:val="0045597B"/>
    <w:rsid w:val="00455EB5"/>
    <w:rsid w:val="004562C1"/>
    <w:rsid w:val="0045670B"/>
    <w:rsid w:val="00457864"/>
    <w:rsid w:val="00460E5A"/>
    <w:rsid w:val="004614F8"/>
    <w:rsid w:val="00462CF3"/>
    <w:rsid w:val="00463868"/>
    <w:rsid w:val="00464617"/>
    <w:rsid w:val="00465410"/>
    <w:rsid w:val="00465E4D"/>
    <w:rsid w:val="00465F14"/>
    <w:rsid w:val="00465FE6"/>
    <w:rsid w:val="004662E0"/>
    <w:rsid w:val="00467107"/>
    <w:rsid w:val="004671E9"/>
    <w:rsid w:val="0047251C"/>
    <w:rsid w:val="00472FF1"/>
    <w:rsid w:val="0047345F"/>
    <w:rsid w:val="00474B98"/>
    <w:rsid w:val="00474C78"/>
    <w:rsid w:val="00475A0F"/>
    <w:rsid w:val="00475EA2"/>
    <w:rsid w:val="00476DFD"/>
    <w:rsid w:val="00476E2A"/>
    <w:rsid w:val="004773C3"/>
    <w:rsid w:val="00480402"/>
    <w:rsid w:val="00481258"/>
    <w:rsid w:val="00481D90"/>
    <w:rsid w:val="0048215F"/>
    <w:rsid w:val="004828F7"/>
    <w:rsid w:val="00483CA8"/>
    <w:rsid w:val="0048453A"/>
    <w:rsid w:val="00485382"/>
    <w:rsid w:val="00485CEA"/>
    <w:rsid w:val="00486102"/>
    <w:rsid w:val="00486812"/>
    <w:rsid w:val="00486A4A"/>
    <w:rsid w:val="00486C6D"/>
    <w:rsid w:val="00487177"/>
    <w:rsid w:val="004877B6"/>
    <w:rsid w:val="00487A72"/>
    <w:rsid w:val="00487F67"/>
    <w:rsid w:val="00490293"/>
    <w:rsid w:val="00490411"/>
    <w:rsid w:val="004905BA"/>
    <w:rsid w:val="00490D10"/>
    <w:rsid w:val="00492053"/>
    <w:rsid w:val="004920E0"/>
    <w:rsid w:val="00492511"/>
    <w:rsid w:val="004931BE"/>
    <w:rsid w:val="00493500"/>
    <w:rsid w:val="00494D28"/>
    <w:rsid w:val="00495319"/>
    <w:rsid w:val="00495C4D"/>
    <w:rsid w:val="00496856"/>
    <w:rsid w:val="00496AB9"/>
    <w:rsid w:val="00497252"/>
    <w:rsid w:val="00497F7C"/>
    <w:rsid w:val="004A0011"/>
    <w:rsid w:val="004A0713"/>
    <w:rsid w:val="004A0B95"/>
    <w:rsid w:val="004A3F6C"/>
    <w:rsid w:val="004A66E3"/>
    <w:rsid w:val="004A6826"/>
    <w:rsid w:val="004A715B"/>
    <w:rsid w:val="004A74E7"/>
    <w:rsid w:val="004B073E"/>
    <w:rsid w:val="004B175D"/>
    <w:rsid w:val="004B192B"/>
    <w:rsid w:val="004B197B"/>
    <w:rsid w:val="004B28B5"/>
    <w:rsid w:val="004B2FE0"/>
    <w:rsid w:val="004B3BC2"/>
    <w:rsid w:val="004B3FB4"/>
    <w:rsid w:val="004B49D5"/>
    <w:rsid w:val="004B56B4"/>
    <w:rsid w:val="004B5878"/>
    <w:rsid w:val="004B69DB"/>
    <w:rsid w:val="004B6B0E"/>
    <w:rsid w:val="004B7DF1"/>
    <w:rsid w:val="004C0ACF"/>
    <w:rsid w:val="004C206D"/>
    <w:rsid w:val="004C346D"/>
    <w:rsid w:val="004C3E16"/>
    <w:rsid w:val="004C4667"/>
    <w:rsid w:val="004C58CF"/>
    <w:rsid w:val="004C77F5"/>
    <w:rsid w:val="004D0C9A"/>
    <w:rsid w:val="004D25B1"/>
    <w:rsid w:val="004D26BF"/>
    <w:rsid w:val="004D41DE"/>
    <w:rsid w:val="004D4B24"/>
    <w:rsid w:val="004D51A8"/>
    <w:rsid w:val="004D52F8"/>
    <w:rsid w:val="004D5CF1"/>
    <w:rsid w:val="004D63F3"/>
    <w:rsid w:val="004D694B"/>
    <w:rsid w:val="004D72FF"/>
    <w:rsid w:val="004D7FC7"/>
    <w:rsid w:val="004E030B"/>
    <w:rsid w:val="004E0C7D"/>
    <w:rsid w:val="004E0E6B"/>
    <w:rsid w:val="004E0F92"/>
    <w:rsid w:val="004E1EC6"/>
    <w:rsid w:val="004E3106"/>
    <w:rsid w:val="004E3225"/>
    <w:rsid w:val="004E3C3C"/>
    <w:rsid w:val="004E4676"/>
    <w:rsid w:val="004E46D6"/>
    <w:rsid w:val="004E4EE4"/>
    <w:rsid w:val="004E58FD"/>
    <w:rsid w:val="004E661B"/>
    <w:rsid w:val="004E66CD"/>
    <w:rsid w:val="004E76C7"/>
    <w:rsid w:val="004E7959"/>
    <w:rsid w:val="004E7DDB"/>
    <w:rsid w:val="004F073A"/>
    <w:rsid w:val="004F0E01"/>
    <w:rsid w:val="004F2238"/>
    <w:rsid w:val="004F4B48"/>
    <w:rsid w:val="004F4E32"/>
    <w:rsid w:val="004F4F5A"/>
    <w:rsid w:val="004F5279"/>
    <w:rsid w:val="004F60F6"/>
    <w:rsid w:val="004F7089"/>
    <w:rsid w:val="004F72C4"/>
    <w:rsid w:val="0050096A"/>
    <w:rsid w:val="00502DA2"/>
    <w:rsid w:val="00503015"/>
    <w:rsid w:val="00503173"/>
    <w:rsid w:val="00504364"/>
    <w:rsid w:val="005044BD"/>
    <w:rsid w:val="00504B69"/>
    <w:rsid w:val="00504BBD"/>
    <w:rsid w:val="00506397"/>
    <w:rsid w:val="005106B7"/>
    <w:rsid w:val="00510D82"/>
    <w:rsid w:val="005111A6"/>
    <w:rsid w:val="00511A02"/>
    <w:rsid w:val="00511A74"/>
    <w:rsid w:val="0051301A"/>
    <w:rsid w:val="005158F5"/>
    <w:rsid w:val="0051621D"/>
    <w:rsid w:val="005162BA"/>
    <w:rsid w:val="0051790E"/>
    <w:rsid w:val="00517C76"/>
    <w:rsid w:val="00520856"/>
    <w:rsid w:val="00521A99"/>
    <w:rsid w:val="0052313D"/>
    <w:rsid w:val="00523867"/>
    <w:rsid w:val="005238EC"/>
    <w:rsid w:val="00523F2B"/>
    <w:rsid w:val="005242EC"/>
    <w:rsid w:val="00524F75"/>
    <w:rsid w:val="005255CB"/>
    <w:rsid w:val="00525761"/>
    <w:rsid w:val="00527CA5"/>
    <w:rsid w:val="0053001A"/>
    <w:rsid w:val="005300AF"/>
    <w:rsid w:val="00530698"/>
    <w:rsid w:val="00530706"/>
    <w:rsid w:val="005311D2"/>
    <w:rsid w:val="00531681"/>
    <w:rsid w:val="005329B5"/>
    <w:rsid w:val="00533305"/>
    <w:rsid w:val="005340DC"/>
    <w:rsid w:val="00534E19"/>
    <w:rsid w:val="00535489"/>
    <w:rsid w:val="0053608E"/>
    <w:rsid w:val="005368CB"/>
    <w:rsid w:val="00540213"/>
    <w:rsid w:val="005403FC"/>
    <w:rsid w:val="00542CA2"/>
    <w:rsid w:val="00543BEB"/>
    <w:rsid w:val="00544704"/>
    <w:rsid w:val="0054552E"/>
    <w:rsid w:val="005459CF"/>
    <w:rsid w:val="005469A1"/>
    <w:rsid w:val="00550482"/>
    <w:rsid w:val="005518F3"/>
    <w:rsid w:val="00551C37"/>
    <w:rsid w:val="0055482B"/>
    <w:rsid w:val="0055506F"/>
    <w:rsid w:val="005556DC"/>
    <w:rsid w:val="0055757E"/>
    <w:rsid w:val="00560132"/>
    <w:rsid w:val="00560817"/>
    <w:rsid w:val="00561164"/>
    <w:rsid w:val="00561D71"/>
    <w:rsid w:val="00562159"/>
    <w:rsid w:val="005623C1"/>
    <w:rsid w:val="0056244A"/>
    <w:rsid w:val="00562681"/>
    <w:rsid w:val="00562F03"/>
    <w:rsid w:val="00565F27"/>
    <w:rsid w:val="0056605A"/>
    <w:rsid w:val="005671BE"/>
    <w:rsid w:val="00567BB6"/>
    <w:rsid w:val="00570694"/>
    <w:rsid w:val="00570B3E"/>
    <w:rsid w:val="00571A05"/>
    <w:rsid w:val="00573995"/>
    <w:rsid w:val="00574B64"/>
    <w:rsid w:val="00574C7B"/>
    <w:rsid w:val="0057670C"/>
    <w:rsid w:val="00577A3B"/>
    <w:rsid w:val="00581D29"/>
    <w:rsid w:val="00582D52"/>
    <w:rsid w:val="0058317B"/>
    <w:rsid w:val="005833E6"/>
    <w:rsid w:val="005845FD"/>
    <w:rsid w:val="00584EBD"/>
    <w:rsid w:val="0058502B"/>
    <w:rsid w:val="0058512D"/>
    <w:rsid w:val="00585281"/>
    <w:rsid w:val="00585AB5"/>
    <w:rsid w:val="00586723"/>
    <w:rsid w:val="00586765"/>
    <w:rsid w:val="00587B1C"/>
    <w:rsid w:val="00591A00"/>
    <w:rsid w:val="00592092"/>
    <w:rsid w:val="005933F9"/>
    <w:rsid w:val="00594453"/>
    <w:rsid w:val="00594BCB"/>
    <w:rsid w:val="00595E68"/>
    <w:rsid w:val="00595FF9"/>
    <w:rsid w:val="005965A5"/>
    <w:rsid w:val="005A0A68"/>
    <w:rsid w:val="005A0EB4"/>
    <w:rsid w:val="005A184B"/>
    <w:rsid w:val="005A20B3"/>
    <w:rsid w:val="005A3CA5"/>
    <w:rsid w:val="005A4A41"/>
    <w:rsid w:val="005A4AFC"/>
    <w:rsid w:val="005A5D3D"/>
    <w:rsid w:val="005B00AD"/>
    <w:rsid w:val="005B01D9"/>
    <w:rsid w:val="005B04E0"/>
    <w:rsid w:val="005B1B23"/>
    <w:rsid w:val="005B5934"/>
    <w:rsid w:val="005B6B35"/>
    <w:rsid w:val="005B6DB4"/>
    <w:rsid w:val="005B7B61"/>
    <w:rsid w:val="005C051A"/>
    <w:rsid w:val="005C0A05"/>
    <w:rsid w:val="005C10E6"/>
    <w:rsid w:val="005C17AD"/>
    <w:rsid w:val="005C1814"/>
    <w:rsid w:val="005C2D35"/>
    <w:rsid w:val="005C34A0"/>
    <w:rsid w:val="005C3A15"/>
    <w:rsid w:val="005C421C"/>
    <w:rsid w:val="005C475C"/>
    <w:rsid w:val="005C67D4"/>
    <w:rsid w:val="005C6DCF"/>
    <w:rsid w:val="005D135B"/>
    <w:rsid w:val="005D1410"/>
    <w:rsid w:val="005D1A5E"/>
    <w:rsid w:val="005D3372"/>
    <w:rsid w:val="005D391C"/>
    <w:rsid w:val="005D3E3F"/>
    <w:rsid w:val="005D4150"/>
    <w:rsid w:val="005D42AC"/>
    <w:rsid w:val="005D471C"/>
    <w:rsid w:val="005D635E"/>
    <w:rsid w:val="005D70C3"/>
    <w:rsid w:val="005D7980"/>
    <w:rsid w:val="005E01E3"/>
    <w:rsid w:val="005E0E99"/>
    <w:rsid w:val="005E1AB4"/>
    <w:rsid w:val="005E209A"/>
    <w:rsid w:val="005E3C9F"/>
    <w:rsid w:val="005E46AC"/>
    <w:rsid w:val="005E54B2"/>
    <w:rsid w:val="005E5FBA"/>
    <w:rsid w:val="005E663F"/>
    <w:rsid w:val="005E67C7"/>
    <w:rsid w:val="005F572E"/>
    <w:rsid w:val="005F5F71"/>
    <w:rsid w:val="005F5FB2"/>
    <w:rsid w:val="005F6FCC"/>
    <w:rsid w:val="005F74AF"/>
    <w:rsid w:val="0060082B"/>
    <w:rsid w:val="00601314"/>
    <w:rsid w:val="00601E97"/>
    <w:rsid w:val="00602707"/>
    <w:rsid w:val="00603776"/>
    <w:rsid w:val="006047AC"/>
    <w:rsid w:val="00606F2B"/>
    <w:rsid w:val="00607233"/>
    <w:rsid w:val="00607829"/>
    <w:rsid w:val="00611243"/>
    <w:rsid w:val="006115E3"/>
    <w:rsid w:val="0061294E"/>
    <w:rsid w:val="00612ABB"/>
    <w:rsid w:val="00614D23"/>
    <w:rsid w:val="006152A4"/>
    <w:rsid w:val="006159C6"/>
    <w:rsid w:val="006163D6"/>
    <w:rsid w:val="00620D57"/>
    <w:rsid w:val="006211AD"/>
    <w:rsid w:val="0062189A"/>
    <w:rsid w:val="006223AC"/>
    <w:rsid w:val="00622743"/>
    <w:rsid w:val="006238CA"/>
    <w:rsid w:val="006239CC"/>
    <w:rsid w:val="006239F9"/>
    <w:rsid w:val="00623D63"/>
    <w:rsid w:val="00624634"/>
    <w:rsid w:val="0062573C"/>
    <w:rsid w:val="00626E7B"/>
    <w:rsid w:val="00630A81"/>
    <w:rsid w:val="006323F3"/>
    <w:rsid w:val="00632DDC"/>
    <w:rsid w:val="00633E59"/>
    <w:rsid w:val="00635D55"/>
    <w:rsid w:val="00635FB8"/>
    <w:rsid w:val="00637897"/>
    <w:rsid w:val="0064006B"/>
    <w:rsid w:val="00640C2E"/>
    <w:rsid w:val="00641D83"/>
    <w:rsid w:val="00642143"/>
    <w:rsid w:val="00642D38"/>
    <w:rsid w:val="00642DA6"/>
    <w:rsid w:val="00643204"/>
    <w:rsid w:val="0064418F"/>
    <w:rsid w:val="00644B03"/>
    <w:rsid w:val="006451A0"/>
    <w:rsid w:val="006459B9"/>
    <w:rsid w:val="00645E43"/>
    <w:rsid w:val="00645FE5"/>
    <w:rsid w:val="00646358"/>
    <w:rsid w:val="00646BC4"/>
    <w:rsid w:val="00647469"/>
    <w:rsid w:val="0065080C"/>
    <w:rsid w:val="006539A1"/>
    <w:rsid w:val="00653A8B"/>
    <w:rsid w:val="00653CBF"/>
    <w:rsid w:val="00654D69"/>
    <w:rsid w:val="00655402"/>
    <w:rsid w:val="0065552D"/>
    <w:rsid w:val="00655667"/>
    <w:rsid w:val="00656716"/>
    <w:rsid w:val="00657F55"/>
    <w:rsid w:val="006604A4"/>
    <w:rsid w:val="00661CA0"/>
    <w:rsid w:val="00662A2F"/>
    <w:rsid w:val="00663DA8"/>
    <w:rsid w:val="00663DB0"/>
    <w:rsid w:val="0066425F"/>
    <w:rsid w:val="00664623"/>
    <w:rsid w:val="0066483F"/>
    <w:rsid w:val="00664EEB"/>
    <w:rsid w:val="006652B3"/>
    <w:rsid w:val="00665AE5"/>
    <w:rsid w:val="00665C9F"/>
    <w:rsid w:val="0066624B"/>
    <w:rsid w:val="00667DE7"/>
    <w:rsid w:val="00670AA4"/>
    <w:rsid w:val="00671A44"/>
    <w:rsid w:val="00671CEB"/>
    <w:rsid w:val="00671DF9"/>
    <w:rsid w:val="00671F5D"/>
    <w:rsid w:val="0067261A"/>
    <w:rsid w:val="006731F0"/>
    <w:rsid w:val="00676EF0"/>
    <w:rsid w:val="00677EDE"/>
    <w:rsid w:val="006827A9"/>
    <w:rsid w:val="00683313"/>
    <w:rsid w:val="0068345D"/>
    <w:rsid w:val="00684083"/>
    <w:rsid w:val="00684329"/>
    <w:rsid w:val="006845F5"/>
    <w:rsid w:val="0068496E"/>
    <w:rsid w:val="00684EE4"/>
    <w:rsid w:val="006854A8"/>
    <w:rsid w:val="006858DE"/>
    <w:rsid w:val="00686A25"/>
    <w:rsid w:val="00687377"/>
    <w:rsid w:val="006873BE"/>
    <w:rsid w:val="0069037E"/>
    <w:rsid w:val="00690953"/>
    <w:rsid w:val="00691521"/>
    <w:rsid w:val="00692290"/>
    <w:rsid w:val="00692557"/>
    <w:rsid w:val="00693B83"/>
    <w:rsid w:val="00694B47"/>
    <w:rsid w:val="00694F36"/>
    <w:rsid w:val="006950DE"/>
    <w:rsid w:val="00695460"/>
    <w:rsid w:val="006959FA"/>
    <w:rsid w:val="00695D98"/>
    <w:rsid w:val="0069614B"/>
    <w:rsid w:val="00696B61"/>
    <w:rsid w:val="0069782B"/>
    <w:rsid w:val="00697C00"/>
    <w:rsid w:val="006A090A"/>
    <w:rsid w:val="006A2834"/>
    <w:rsid w:val="006A3282"/>
    <w:rsid w:val="006A3DC2"/>
    <w:rsid w:val="006A3E66"/>
    <w:rsid w:val="006A4FE4"/>
    <w:rsid w:val="006A5680"/>
    <w:rsid w:val="006A5824"/>
    <w:rsid w:val="006A6230"/>
    <w:rsid w:val="006A6AE5"/>
    <w:rsid w:val="006A713C"/>
    <w:rsid w:val="006A7E00"/>
    <w:rsid w:val="006B09DC"/>
    <w:rsid w:val="006B15CF"/>
    <w:rsid w:val="006B1CF8"/>
    <w:rsid w:val="006B230B"/>
    <w:rsid w:val="006B3A48"/>
    <w:rsid w:val="006B4AB1"/>
    <w:rsid w:val="006B5D72"/>
    <w:rsid w:val="006B6229"/>
    <w:rsid w:val="006B68DD"/>
    <w:rsid w:val="006B7258"/>
    <w:rsid w:val="006C0018"/>
    <w:rsid w:val="006C0D02"/>
    <w:rsid w:val="006C1A3D"/>
    <w:rsid w:val="006C3A7E"/>
    <w:rsid w:val="006C45A5"/>
    <w:rsid w:val="006C48AD"/>
    <w:rsid w:val="006C57DB"/>
    <w:rsid w:val="006C6F5F"/>
    <w:rsid w:val="006C766D"/>
    <w:rsid w:val="006D045B"/>
    <w:rsid w:val="006D0904"/>
    <w:rsid w:val="006D0C31"/>
    <w:rsid w:val="006D2F2E"/>
    <w:rsid w:val="006D322D"/>
    <w:rsid w:val="006D361A"/>
    <w:rsid w:val="006D3788"/>
    <w:rsid w:val="006D4A78"/>
    <w:rsid w:val="006D4B54"/>
    <w:rsid w:val="006D5C20"/>
    <w:rsid w:val="006D7F9D"/>
    <w:rsid w:val="006E037B"/>
    <w:rsid w:val="006E22C0"/>
    <w:rsid w:val="006E2422"/>
    <w:rsid w:val="006E3102"/>
    <w:rsid w:val="006E3720"/>
    <w:rsid w:val="006E3D4E"/>
    <w:rsid w:val="006E480E"/>
    <w:rsid w:val="006E4FB8"/>
    <w:rsid w:val="006E5C68"/>
    <w:rsid w:val="006E5F7A"/>
    <w:rsid w:val="006F0487"/>
    <w:rsid w:val="006F09FD"/>
    <w:rsid w:val="006F0A45"/>
    <w:rsid w:val="006F0C50"/>
    <w:rsid w:val="006F331C"/>
    <w:rsid w:val="00701330"/>
    <w:rsid w:val="007017B2"/>
    <w:rsid w:val="00701A80"/>
    <w:rsid w:val="00702E9C"/>
    <w:rsid w:val="00706142"/>
    <w:rsid w:val="00706309"/>
    <w:rsid w:val="007065E5"/>
    <w:rsid w:val="00706CBD"/>
    <w:rsid w:val="0070727F"/>
    <w:rsid w:val="007077DE"/>
    <w:rsid w:val="007103B3"/>
    <w:rsid w:val="00710858"/>
    <w:rsid w:val="00710E8E"/>
    <w:rsid w:val="00711E47"/>
    <w:rsid w:val="0071314A"/>
    <w:rsid w:val="007136A7"/>
    <w:rsid w:val="00713FFE"/>
    <w:rsid w:val="0071446C"/>
    <w:rsid w:val="007154E3"/>
    <w:rsid w:val="00717295"/>
    <w:rsid w:val="00717D68"/>
    <w:rsid w:val="00717FCD"/>
    <w:rsid w:val="0072011A"/>
    <w:rsid w:val="00720593"/>
    <w:rsid w:val="0072065C"/>
    <w:rsid w:val="00721BBE"/>
    <w:rsid w:val="007221D9"/>
    <w:rsid w:val="007236B3"/>
    <w:rsid w:val="00724228"/>
    <w:rsid w:val="00724A41"/>
    <w:rsid w:val="00724BF6"/>
    <w:rsid w:val="00725470"/>
    <w:rsid w:val="00725FF8"/>
    <w:rsid w:val="007270EC"/>
    <w:rsid w:val="00727646"/>
    <w:rsid w:val="007301C2"/>
    <w:rsid w:val="00730FF2"/>
    <w:rsid w:val="00731BA1"/>
    <w:rsid w:val="00731D79"/>
    <w:rsid w:val="007327FF"/>
    <w:rsid w:val="00732E8C"/>
    <w:rsid w:val="00734CC2"/>
    <w:rsid w:val="00735408"/>
    <w:rsid w:val="00735A07"/>
    <w:rsid w:val="00736AA2"/>
    <w:rsid w:val="00737168"/>
    <w:rsid w:val="00737E1F"/>
    <w:rsid w:val="00740460"/>
    <w:rsid w:val="0074062C"/>
    <w:rsid w:val="00740854"/>
    <w:rsid w:val="0074219F"/>
    <w:rsid w:val="00742999"/>
    <w:rsid w:val="00743774"/>
    <w:rsid w:val="007437EA"/>
    <w:rsid w:val="00744077"/>
    <w:rsid w:val="007451D1"/>
    <w:rsid w:val="00745F06"/>
    <w:rsid w:val="0074685C"/>
    <w:rsid w:val="00747061"/>
    <w:rsid w:val="007470C3"/>
    <w:rsid w:val="007474FE"/>
    <w:rsid w:val="007521EA"/>
    <w:rsid w:val="007568A5"/>
    <w:rsid w:val="007603D5"/>
    <w:rsid w:val="0076040A"/>
    <w:rsid w:val="007607C7"/>
    <w:rsid w:val="007611EF"/>
    <w:rsid w:val="00762304"/>
    <w:rsid w:val="0076301D"/>
    <w:rsid w:val="0076376F"/>
    <w:rsid w:val="00765266"/>
    <w:rsid w:val="00766984"/>
    <w:rsid w:val="00766A90"/>
    <w:rsid w:val="00767483"/>
    <w:rsid w:val="00767491"/>
    <w:rsid w:val="00767598"/>
    <w:rsid w:val="00773C84"/>
    <w:rsid w:val="00774F69"/>
    <w:rsid w:val="00776442"/>
    <w:rsid w:val="00776AA7"/>
    <w:rsid w:val="00777619"/>
    <w:rsid w:val="00783759"/>
    <w:rsid w:val="00783F09"/>
    <w:rsid w:val="0078423E"/>
    <w:rsid w:val="00784307"/>
    <w:rsid w:val="00784D33"/>
    <w:rsid w:val="00785193"/>
    <w:rsid w:val="007853FB"/>
    <w:rsid w:val="0078544E"/>
    <w:rsid w:val="00785BB0"/>
    <w:rsid w:val="00785ED4"/>
    <w:rsid w:val="00786E90"/>
    <w:rsid w:val="0078739F"/>
    <w:rsid w:val="00787E35"/>
    <w:rsid w:val="00791B25"/>
    <w:rsid w:val="00791D58"/>
    <w:rsid w:val="00792EA4"/>
    <w:rsid w:val="00793EB9"/>
    <w:rsid w:val="007A0432"/>
    <w:rsid w:val="007A09DE"/>
    <w:rsid w:val="007A1A3D"/>
    <w:rsid w:val="007A1C93"/>
    <w:rsid w:val="007A273A"/>
    <w:rsid w:val="007A2CD8"/>
    <w:rsid w:val="007A323B"/>
    <w:rsid w:val="007A379E"/>
    <w:rsid w:val="007A3B29"/>
    <w:rsid w:val="007A3DAD"/>
    <w:rsid w:val="007A3DE8"/>
    <w:rsid w:val="007A4CE6"/>
    <w:rsid w:val="007A4CEB"/>
    <w:rsid w:val="007A529E"/>
    <w:rsid w:val="007A583B"/>
    <w:rsid w:val="007A5B91"/>
    <w:rsid w:val="007A6302"/>
    <w:rsid w:val="007A67B0"/>
    <w:rsid w:val="007A68D3"/>
    <w:rsid w:val="007A737C"/>
    <w:rsid w:val="007A77AC"/>
    <w:rsid w:val="007A7960"/>
    <w:rsid w:val="007B1BB4"/>
    <w:rsid w:val="007B54B7"/>
    <w:rsid w:val="007B6265"/>
    <w:rsid w:val="007B6E26"/>
    <w:rsid w:val="007B6EAB"/>
    <w:rsid w:val="007B7058"/>
    <w:rsid w:val="007B7D06"/>
    <w:rsid w:val="007C066B"/>
    <w:rsid w:val="007C1DF7"/>
    <w:rsid w:val="007C3499"/>
    <w:rsid w:val="007C73FF"/>
    <w:rsid w:val="007D0989"/>
    <w:rsid w:val="007D2189"/>
    <w:rsid w:val="007D2BE3"/>
    <w:rsid w:val="007D2CAE"/>
    <w:rsid w:val="007D3E9D"/>
    <w:rsid w:val="007D4A1B"/>
    <w:rsid w:val="007D4CA5"/>
    <w:rsid w:val="007D6891"/>
    <w:rsid w:val="007D6E53"/>
    <w:rsid w:val="007D6F8E"/>
    <w:rsid w:val="007D7182"/>
    <w:rsid w:val="007D723C"/>
    <w:rsid w:val="007E0255"/>
    <w:rsid w:val="007E0A53"/>
    <w:rsid w:val="007E131A"/>
    <w:rsid w:val="007E1689"/>
    <w:rsid w:val="007E1AAF"/>
    <w:rsid w:val="007E1ACF"/>
    <w:rsid w:val="007E34FF"/>
    <w:rsid w:val="007E66F5"/>
    <w:rsid w:val="007E6A5F"/>
    <w:rsid w:val="007E6EA3"/>
    <w:rsid w:val="007E701F"/>
    <w:rsid w:val="007E753D"/>
    <w:rsid w:val="007E770D"/>
    <w:rsid w:val="007F031C"/>
    <w:rsid w:val="007F1E4F"/>
    <w:rsid w:val="007F2AE5"/>
    <w:rsid w:val="007F328B"/>
    <w:rsid w:val="007F6479"/>
    <w:rsid w:val="007F6DAC"/>
    <w:rsid w:val="007F785E"/>
    <w:rsid w:val="007F7B66"/>
    <w:rsid w:val="008003FB"/>
    <w:rsid w:val="0080121F"/>
    <w:rsid w:val="008023DB"/>
    <w:rsid w:val="0080289C"/>
    <w:rsid w:val="00802C14"/>
    <w:rsid w:val="008041DE"/>
    <w:rsid w:val="00804269"/>
    <w:rsid w:val="00805949"/>
    <w:rsid w:val="008066BE"/>
    <w:rsid w:val="008069CF"/>
    <w:rsid w:val="00807B2F"/>
    <w:rsid w:val="00807FC3"/>
    <w:rsid w:val="008110F6"/>
    <w:rsid w:val="00811807"/>
    <w:rsid w:val="00812637"/>
    <w:rsid w:val="00812EE2"/>
    <w:rsid w:val="00813312"/>
    <w:rsid w:val="008133E9"/>
    <w:rsid w:val="008139CB"/>
    <w:rsid w:val="00815831"/>
    <w:rsid w:val="00815C8F"/>
    <w:rsid w:val="00821663"/>
    <w:rsid w:val="008217BC"/>
    <w:rsid w:val="008217C6"/>
    <w:rsid w:val="008221D2"/>
    <w:rsid w:val="00822BB3"/>
    <w:rsid w:val="00823415"/>
    <w:rsid w:val="008237F3"/>
    <w:rsid w:val="0082585E"/>
    <w:rsid w:val="008265F0"/>
    <w:rsid w:val="00826638"/>
    <w:rsid w:val="00826B52"/>
    <w:rsid w:val="00827961"/>
    <w:rsid w:val="0083046B"/>
    <w:rsid w:val="00830EFF"/>
    <w:rsid w:val="00831927"/>
    <w:rsid w:val="00832A91"/>
    <w:rsid w:val="008333A1"/>
    <w:rsid w:val="00833E90"/>
    <w:rsid w:val="0083455A"/>
    <w:rsid w:val="008347B0"/>
    <w:rsid w:val="008351E2"/>
    <w:rsid w:val="008354FF"/>
    <w:rsid w:val="00835C79"/>
    <w:rsid w:val="00836657"/>
    <w:rsid w:val="008366FA"/>
    <w:rsid w:val="00836DC9"/>
    <w:rsid w:val="00837020"/>
    <w:rsid w:val="008370F9"/>
    <w:rsid w:val="0084022E"/>
    <w:rsid w:val="00840D0E"/>
    <w:rsid w:val="00840D9B"/>
    <w:rsid w:val="0084203C"/>
    <w:rsid w:val="008420D4"/>
    <w:rsid w:val="00842EE5"/>
    <w:rsid w:val="00842F07"/>
    <w:rsid w:val="0084354E"/>
    <w:rsid w:val="008443FC"/>
    <w:rsid w:val="0084671D"/>
    <w:rsid w:val="0084792D"/>
    <w:rsid w:val="00847F35"/>
    <w:rsid w:val="008519F8"/>
    <w:rsid w:val="00852767"/>
    <w:rsid w:val="00852B88"/>
    <w:rsid w:val="00852FA3"/>
    <w:rsid w:val="00853EDC"/>
    <w:rsid w:val="008542E1"/>
    <w:rsid w:val="0085433B"/>
    <w:rsid w:val="00854A37"/>
    <w:rsid w:val="00854F1F"/>
    <w:rsid w:val="00855D6C"/>
    <w:rsid w:val="00855EC9"/>
    <w:rsid w:val="00856998"/>
    <w:rsid w:val="00856EF6"/>
    <w:rsid w:val="00860124"/>
    <w:rsid w:val="00860144"/>
    <w:rsid w:val="00862B04"/>
    <w:rsid w:val="00862FAE"/>
    <w:rsid w:val="00863E55"/>
    <w:rsid w:val="00866BE8"/>
    <w:rsid w:val="00867B49"/>
    <w:rsid w:val="00867C77"/>
    <w:rsid w:val="008704C4"/>
    <w:rsid w:val="00871249"/>
    <w:rsid w:val="00871445"/>
    <w:rsid w:val="00872EFD"/>
    <w:rsid w:val="00873228"/>
    <w:rsid w:val="00874A3E"/>
    <w:rsid w:val="00875AD1"/>
    <w:rsid w:val="00876CF0"/>
    <w:rsid w:val="00876E75"/>
    <w:rsid w:val="008816A0"/>
    <w:rsid w:val="00882E86"/>
    <w:rsid w:val="0088477E"/>
    <w:rsid w:val="008848FE"/>
    <w:rsid w:val="00884956"/>
    <w:rsid w:val="00884F35"/>
    <w:rsid w:val="0088756B"/>
    <w:rsid w:val="00887C06"/>
    <w:rsid w:val="00887F8A"/>
    <w:rsid w:val="008914B1"/>
    <w:rsid w:val="00891B6C"/>
    <w:rsid w:val="008946CE"/>
    <w:rsid w:val="008947B2"/>
    <w:rsid w:val="00895137"/>
    <w:rsid w:val="00895C1B"/>
    <w:rsid w:val="008966FE"/>
    <w:rsid w:val="00896B97"/>
    <w:rsid w:val="008979D4"/>
    <w:rsid w:val="008A1568"/>
    <w:rsid w:val="008A20AD"/>
    <w:rsid w:val="008A2849"/>
    <w:rsid w:val="008A48AA"/>
    <w:rsid w:val="008A58C5"/>
    <w:rsid w:val="008A6F70"/>
    <w:rsid w:val="008B0271"/>
    <w:rsid w:val="008B1F84"/>
    <w:rsid w:val="008B2E6D"/>
    <w:rsid w:val="008B3904"/>
    <w:rsid w:val="008B3B5E"/>
    <w:rsid w:val="008B4CB5"/>
    <w:rsid w:val="008B605A"/>
    <w:rsid w:val="008B7BCC"/>
    <w:rsid w:val="008B7C88"/>
    <w:rsid w:val="008C2B7F"/>
    <w:rsid w:val="008C2C80"/>
    <w:rsid w:val="008C36EA"/>
    <w:rsid w:val="008C5626"/>
    <w:rsid w:val="008C562A"/>
    <w:rsid w:val="008C57F6"/>
    <w:rsid w:val="008C5CF2"/>
    <w:rsid w:val="008C62F8"/>
    <w:rsid w:val="008C6D92"/>
    <w:rsid w:val="008C74AD"/>
    <w:rsid w:val="008C7A01"/>
    <w:rsid w:val="008D0230"/>
    <w:rsid w:val="008D05F1"/>
    <w:rsid w:val="008D1425"/>
    <w:rsid w:val="008D1D33"/>
    <w:rsid w:val="008D2DC7"/>
    <w:rsid w:val="008D3291"/>
    <w:rsid w:val="008D3855"/>
    <w:rsid w:val="008D3DBC"/>
    <w:rsid w:val="008D436F"/>
    <w:rsid w:val="008D55A9"/>
    <w:rsid w:val="008D6A4A"/>
    <w:rsid w:val="008D6ABE"/>
    <w:rsid w:val="008D6C4D"/>
    <w:rsid w:val="008D7A2E"/>
    <w:rsid w:val="008E14B3"/>
    <w:rsid w:val="008E1883"/>
    <w:rsid w:val="008E2003"/>
    <w:rsid w:val="008E22B5"/>
    <w:rsid w:val="008E2FD8"/>
    <w:rsid w:val="008E368C"/>
    <w:rsid w:val="008E4992"/>
    <w:rsid w:val="008E6192"/>
    <w:rsid w:val="008E61D1"/>
    <w:rsid w:val="008E65D2"/>
    <w:rsid w:val="008E67C1"/>
    <w:rsid w:val="008E6892"/>
    <w:rsid w:val="008E79FE"/>
    <w:rsid w:val="008E7C20"/>
    <w:rsid w:val="008F0290"/>
    <w:rsid w:val="008F1546"/>
    <w:rsid w:val="008F16B8"/>
    <w:rsid w:val="008F3399"/>
    <w:rsid w:val="008F33BB"/>
    <w:rsid w:val="008F34BD"/>
    <w:rsid w:val="008F3628"/>
    <w:rsid w:val="008F3DD7"/>
    <w:rsid w:val="008F57E9"/>
    <w:rsid w:val="008F713F"/>
    <w:rsid w:val="008F72D8"/>
    <w:rsid w:val="008F73A2"/>
    <w:rsid w:val="008F7E2A"/>
    <w:rsid w:val="00900799"/>
    <w:rsid w:val="00900D05"/>
    <w:rsid w:val="00902091"/>
    <w:rsid w:val="00904AAE"/>
    <w:rsid w:val="00904B17"/>
    <w:rsid w:val="00907E3F"/>
    <w:rsid w:val="00910058"/>
    <w:rsid w:val="00910525"/>
    <w:rsid w:val="009114FB"/>
    <w:rsid w:val="0091179A"/>
    <w:rsid w:val="00912C72"/>
    <w:rsid w:val="00912D11"/>
    <w:rsid w:val="009131FD"/>
    <w:rsid w:val="00913AAF"/>
    <w:rsid w:val="00913D4E"/>
    <w:rsid w:val="0091487A"/>
    <w:rsid w:val="009162E2"/>
    <w:rsid w:val="009201A2"/>
    <w:rsid w:val="00920496"/>
    <w:rsid w:val="00920524"/>
    <w:rsid w:val="00920720"/>
    <w:rsid w:val="00921479"/>
    <w:rsid w:val="00921E8D"/>
    <w:rsid w:val="00922B97"/>
    <w:rsid w:val="00922FD4"/>
    <w:rsid w:val="00923503"/>
    <w:rsid w:val="00925821"/>
    <w:rsid w:val="00926217"/>
    <w:rsid w:val="0092764D"/>
    <w:rsid w:val="00927CB1"/>
    <w:rsid w:val="0093003A"/>
    <w:rsid w:val="0093197D"/>
    <w:rsid w:val="00931E50"/>
    <w:rsid w:val="00932185"/>
    <w:rsid w:val="00932E21"/>
    <w:rsid w:val="00933B8E"/>
    <w:rsid w:val="009360D0"/>
    <w:rsid w:val="00936480"/>
    <w:rsid w:val="009365E3"/>
    <w:rsid w:val="00940807"/>
    <w:rsid w:val="0094136A"/>
    <w:rsid w:val="00943C8F"/>
    <w:rsid w:val="00944DC6"/>
    <w:rsid w:val="009453BD"/>
    <w:rsid w:val="00945653"/>
    <w:rsid w:val="00945CF8"/>
    <w:rsid w:val="009469E5"/>
    <w:rsid w:val="00947AD8"/>
    <w:rsid w:val="009504B3"/>
    <w:rsid w:val="009505B3"/>
    <w:rsid w:val="00952193"/>
    <w:rsid w:val="00952B58"/>
    <w:rsid w:val="0095323F"/>
    <w:rsid w:val="009540E2"/>
    <w:rsid w:val="00954105"/>
    <w:rsid w:val="00954D55"/>
    <w:rsid w:val="0095673A"/>
    <w:rsid w:val="00956BB3"/>
    <w:rsid w:val="00956C60"/>
    <w:rsid w:val="00956D43"/>
    <w:rsid w:val="009602A3"/>
    <w:rsid w:val="009617DC"/>
    <w:rsid w:val="0096352B"/>
    <w:rsid w:val="00963972"/>
    <w:rsid w:val="00964F8A"/>
    <w:rsid w:val="00966211"/>
    <w:rsid w:val="00967BDF"/>
    <w:rsid w:val="00970CA4"/>
    <w:rsid w:val="00970CE7"/>
    <w:rsid w:val="0097203A"/>
    <w:rsid w:val="00972218"/>
    <w:rsid w:val="00972B18"/>
    <w:rsid w:val="00972D75"/>
    <w:rsid w:val="00972DF4"/>
    <w:rsid w:val="00973929"/>
    <w:rsid w:val="00973CA1"/>
    <w:rsid w:val="00973E12"/>
    <w:rsid w:val="00974CED"/>
    <w:rsid w:val="00976057"/>
    <w:rsid w:val="009803F8"/>
    <w:rsid w:val="00981195"/>
    <w:rsid w:val="00981BB3"/>
    <w:rsid w:val="00982156"/>
    <w:rsid w:val="0098403A"/>
    <w:rsid w:val="0098426E"/>
    <w:rsid w:val="00984686"/>
    <w:rsid w:val="00985E62"/>
    <w:rsid w:val="00986E5E"/>
    <w:rsid w:val="009877EB"/>
    <w:rsid w:val="00987DE9"/>
    <w:rsid w:val="00990EF6"/>
    <w:rsid w:val="009910DA"/>
    <w:rsid w:val="00992B5F"/>
    <w:rsid w:val="0099348C"/>
    <w:rsid w:val="00993B30"/>
    <w:rsid w:val="00994635"/>
    <w:rsid w:val="00994909"/>
    <w:rsid w:val="00994ADD"/>
    <w:rsid w:val="00995B7D"/>
    <w:rsid w:val="00996939"/>
    <w:rsid w:val="00997720"/>
    <w:rsid w:val="00997D8D"/>
    <w:rsid w:val="009A0267"/>
    <w:rsid w:val="009A090E"/>
    <w:rsid w:val="009A0A99"/>
    <w:rsid w:val="009A192D"/>
    <w:rsid w:val="009A1FF2"/>
    <w:rsid w:val="009A206D"/>
    <w:rsid w:val="009A3B60"/>
    <w:rsid w:val="009A3F7A"/>
    <w:rsid w:val="009A4AA4"/>
    <w:rsid w:val="009A65C8"/>
    <w:rsid w:val="009A6B1D"/>
    <w:rsid w:val="009A6C9A"/>
    <w:rsid w:val="009A6F5E"/>
    <w:rsid w:val="009B1086"/>
    <w:rsid w:val="009B1EA0"/>
    <w:rsid w:val="009B204E"/>
    <w:rsid w:val="009B22D2"/>
    <w:rsid w:val="009B39AA"/>
    <w:rsid w:val="009B45EF"/>
    <w:rsid w:val="009B483C"/>
    <w:rsid w:val="009B49C0"/>
    <w:rsid w:val="009B647D"/>
    <w:rsid w:val="009B6F79"/>
    <w:rsid w:val="009B76B2"/>
    <w:rsid w:val="009C1683"/>
    <w:rsid w:val="009C1F5E"/>
    <w:rsid w:val="009C2D22"/>
    <w:rsid w:val="009C40DA"/>
    <w:rsid w:val="009C490C"/>
    <w:rsid w:val="009C77E9"/>
    <w:rsid w:val="009C7C9B"/>
    <w:rsid w:val="009D147F"/>
    <w:rsid w:val="009D3478"/>
    <w:rsid w:val="009D3A37"/>
    <w:rsid w:val="009D3C98"/>
    <w:rsid w:val="009D41B7"/>
    <w:rsid w:val="009D465B"/>
    <w:rsid w:val="009D4D6D"/>
    <w:rsid w:val="009D52B2"/>
    <w:rsid w:val="009D547D"/>
    <w:rsid w:val="009D5693"/>
    <w:rsid w:val="009D5857"/>
    <w:rsid w:val="009D593B"/>
    <w:rsid w:val="009E22A8"/>
    <w:rsid w:val="009E35F4"/>
    <w:rsid w:val="009E3D35"/>
    <w:rsid w:val="009E44FD"/>
    <w:rsid w:val="009E4B86"/>
    <w:rsid w:val="009E5850"/>
    <w:rsid w:val="009E600C"/>
    <w:rsid w:val="009E6362"/>
    <w:rsid w:val="009E7254"/>
    <w:rsid w:val="009E765D"/>
    <w:rsid w:val="009E7810"/>
    <w:rsid w:val="009E7D75"/>
    <w:rsid w:val="009E7F52"/>
    <w:rsid w:val="009F13C7"/>
    <w:rsid w:val="009F1610"/>
    <w:rsid w:val="009F1BA1"/>
    <w:rsid w:val="009F206A"/>
    <w:rsid w:val="009F3697"/>
    <w:rsid w:val="009F3B0F"/>
    <w:rsid w:val="009F4652"/>
    <w:rsid w:val="009F4789"/>
    <w:rsid w:val="009F48B0"/>
    <w:rsid w:val="009F5EDD"/>
    <w:rsid w:val="009F6514"/>
    <w:rsid w:val="009F6737"/>
    <w:rsid w:val="00A008E1"/>
    <w:rsid w:val="00A01BD8"/>
    <w:rsid w:val="00A02687"/>
    <w:rsid w:val="00A02EFC"/>
    <w:rsid w:val="00A03BD3"/>
    <w:rsid w:val="00A050D4"/>
    <w:rsid w:val="00A05517"/>
    <w:rsid w:val="00A05730"/>
    <w:rsid w:val="00A06FA2"/>
    <w:rsid w:val="00A10EF7"/>
    <w:rsid w:val="00A12984"/>
    <w:rsid w:val="00A13517"/>
    <w:rsid w:val="00A1490B"/>
    <w:rsid w:val="00A14E12"/>
    <w:rsid w:val="00A153B6"/>
    <w:rsid w:val="00A15D80"/>
    <w:rsid w:val="00A16649"/>
    <w:rsid w:val="00A17140"/>
    <w:rsid w:val="00A17907"/>
    <w:rsid w:val="00A21E4E"/>
    <w:rsid w:val="00A236FE"/>
    <w:rsid w:val="00A241C0"/>
    <w:rsid w:val="00A24DCE"/>
    <w:rsid w:val="00A251B9"/>
    <w:rsid w:val="00A25C38"/>
    <w:rsid w:val="00A270A5"/>
    <w:rsid w:val="00A2781D"/>
    <w:rsid w:val="00A31540"/>
    <w:rsid w:val="00A320E3"/>
    <w:rsid w:val="00A33525"/>
    <w:rsid w:val="00A33573"/>
    <w:rsid w:val="00A33807"/>
    <w:rsid w:val="00A34710"/>
    <w:rsid w:val="00A34AB0"/>
    <w:rsid w:val="00A3611E"/>
    <w:rsid w:val="00A378A8"/>
    <w:rsid w:val="00A37BCE"/>
    <w:rsid w:val="00A37C16"/>
    <w:rsid w:val="00A40744"/>
    <w:rsid w:val="00A40811"/>
    <w:rsid w:val="00A42249"/>
    <w:rsid w:val="00A42944"/>
    <w:rsid w:val="00A44517"/>
    <w:rsid w:val="00A45365"/>
    <w:rsid w:val="00A46470"/>
    <w:rsid w:val="00A47232"/>
    <w:rsid w:val="00A473B0"/>
    <w:rsid w:val="00A50A5E"/>
    <w:rsid w:val="00A5233F"/>
    <w:rsid w:val="00A526EE"/>
    <w:rsid w:val="00A52793"/>
    <w:rsid w:val="00A52C17"/>
    <w:rsid w:val="00A53E5E"/>
    <w:rsid w:val="00A5591C"/>
    <w:rsid w:val="00A55F27"/>
    <w:rsid w:val="00A57372"/>
    <w:rsid w:val="00A60628"/>
    <w:rsid w:val="00A60DEC"/>
    <w:rsid w:val="00A61232"/>
    <w:rsid w:val="00A619D1"/>
    <w:rsid w:val="00A635CC"/>
    <w:rsid w:val="00A63FD1"/>
    <w:rsid w:val="00A6479F"/>
    <w:rsid w:val="00A64BCA"/>
    <w:rsid w:val="00A64EDF"/>
    <w:rsid w:val="00A65D7B"/>
    <w:rsid w:val="00A66FEC"/>
    <w:rsid w:val="00A67B04"/>
    <w:rsid w:val="00A70B7A"/>
    <w:rsid w:val="00A70E96"/>
    <w:rsid w:val="00A70EA3"/>
    <w:rsid w:val="00A70F3C"/>
    <w:rsid w:val="00A72FBB"/>
    <w:rsid w:val="00A77B61"/>
    <w:rsid w:val="00A81BE5"/>
    <w:rsid w:val="00A8223D"/>
    <w:rsid w:val="00A85589"/>
    <w:rsid w:val="00A8574E"/>
    <w:rsid w:val="00A86002"/>
    <w:rsid w:val="00A87248"/>
    <w:rsid w:val="00A87A10"/>
    <w:rsid w:val="00A930E5"/>
    <w:rsid w:val="00A940CE"/>
    <w:rsid w:val="00A958D8"/>
    <w:rsid w:val="00A95901"/>
    <w:rsid w:val="00A963A9"/>
    <w:rsid w:val="00A96B13"/>
    <w:rsid w:val="00A9779E"/>
    <w:rsid w:val="00AA01E6"/>
    <w:rsid w:val="00AA09DD"/>
    <w:rsid w:val="00AA0D20"/>
    <w:rsid w:val="00AA1305"/>
    <w:rsid w:val="00AA16B3"/>
    <w:rsid w:val="00AA20D5"/>
    <w:rsid w:val="00AA2483"/>
    <w:rsid w:val="00AA2A85"/>
    <w:rsid w:val="00AA31B1"/>
    <w:rsid w:val="00AA41EA"/>
    <w:rsid w:val="00AA497B"/>
    <w:rsid w:val="00AA49D0"/>
    <w:rsid w:val="00AA6AA2"/>
    <w:rsid w:val="00AA6CD0"/>
    <w:rsid w:val="00AA7835"/>
    <w:rsid w:val="00AA78BD"/>
    <w:rsid w:val="00AB0BE1"/>
    <w:rsid w:val="00AB0E2B"/>
    <w:rsid w:val="00AB121A"/>
    <w:rsid w:val="00AB22E0"/>
    <w:rsid w:val="00AB40B6"/>
    <w:rsid w:val="00AB56C1"/>
    <w:rsid w:val="00AB570B"/>
    <w:rsid w:val="00AB5D49"/>
    <w:rsid w:val="00AB67D0"/>
    <w:rsid w:val="00AC0C4C"/>
    <w:rsid w:val="00AC0CDE"/>
    <w:rsid w:val="00AC0D52"/>
    <w:rsid w:val="00AC132D"/>
    <w:rsid w:val="00AC146A"/>
    <w:rsid w:val="00AC1733"/>
    <w:rsid w:val="00AC368C"/>
    <w:rsid w:val="00AC4594"/>
    <w:rsid w:val="00AC55D2"/>
    <w:rsid w:val="00AC64E3"/>
    <w:rsid w:val="00AD039C"/>
    <w:rsid w:val="00AD1F20"/>
    <w:rsid w:val="00AD3F52"/>
    <w:rsid w:val="00AD4A00"/>
    <w:rsid w:val="00AD4C8C"/>
    <w:rsid w:val="00AD66EF"/>
    <w:rsid w:val="00AD67C7"/>
    <w:rsid w:val="00AD6DF6"/>
    <w:rsid w:val="00AD7E5B"/>
    <w:rsid w:val="00AE0814"/>
    <w:rsid w:val="00AE096F"/>
    <w:rsid w:val="00AE1420"/>
    <w:rsid w:val="00AE15F8"/>
    <w:rsid w:val="00AE21CB"/>
    <w:rsid w:val="00AE36BD"/>
    <w:rsid w:val="00AE40EB"/>
    <w:rsid w:val="00AE54A9"/>
    <w:rsid w:val="00AE606D"/>
    <w:rsid w:val="00AE7163"/>
    <w:rsid w:val="00AE73D8"/>
    <w:rsid w:val="00AE74B3"/>
    <w:rsid w:val="00AE7A6B"/>
    <w:rsid w:val="00AE7CB3"/>
    <w:rsid w:val="00AF04C2"/>
    <w:rsid w:val="00AF0B43"/>
    <w:rsid w:val="00AF1122"/>
    <w:rsid w:val="00AF2359"/>
    <w:rsid w:val="00AF23DC"/>
    <w:rsid w:val="00AF2675"/>
    <w:rsid w:val="00AF308D"/>
    <w:rsid w:val="00AF678F"/>
    <w:rsid w:val="00AF78EE"/>
    <w:rsid w:val="00B0046D"/>
    <w:rsid w:val="00B0099C"/>
    <w:rsid w:val="00B00EDC"/>
    <w:rsid w:val="00B01111"/>
    <w:rsid w:val="00B011E6"/>
    <w:rsid w:val="00B0237D"/>
    <w:rsid w:val="00B02B0F"/>
    <w:rsid w:val="00B0714F"/>
    <w:rsid w:val="00B0755E"/>
    <w:rsid w:val="00B077CC"/>
    <w:rsid w:val="00B10C05"/>
    <w:rsid w:val="00B11BCB"/>
    <w:rsid w:val="00B11D45"/>
    <w:rsid w:val="00B124AB"/>
    <w:rsid w:val="00B13181"/>
    <w:rsid w:val="00B1439F"/>
    <w:rsid w:val="00B1479C"/>
    <w:rsid w:val="00B14FC0"/>
    <w:rsid w:val="00B1524D"/>
    <w:rsid w:val="00B152F3"/>
    <w:rsid w:val="00B15566"/>
    <w:rsid w:val="00B1706D"/>
    <w:rsid w:val="00B170A3"/>
    <w:rsid w:val="00B23906"/>
    <w:rsid w:val="00B2422D"/>
    <w:rsid w:val="00B24E69"/>
    <w:rsid w:val="00B25928"/>
    <w:rsid w:val="00B27036"/>
    <w:rsid w:val="00B278FE"/>
    <w:rsid w:val="00B279C9"/>
    <w:rsid w:val="00B27DF3"/>
    <w:rsid w:val="00B27E30"/>
    <w:rsid w:val="00B30199"/>
    <w:rsid w:val="00B30851"/>
    <w:rsid w:val="00B32115"/>
    <w:rsid w:val="00B33189"/>
    <w:rsid w:val="00B331AE"/>
    <w:rsid w:val="00B33A92"/>
    <w:rsid w:val="00B349BB"/>
    <w:rsid w:val="00B3546C"/>
    <w:rsid w:val="00B35610"/>
    <w:rsid w:val="00B36623"/>
    <w:rsid w:val="00B36FDE"/>
    <w:rsid w:val="00B37C46"/>
    <w:rsid w:val="00B37FDB"/>
    <w:rsid w:val="00B4009D"/>
    <w:rsid w:val="00B4026E"/>
    <w:rsid w:val="00B40628"/>
    <w:rsid w:val="00B40EFB"/>
    <w:rsid w:val="00B42AD2"/>
    <w:rsid w:val="00B435B3"/>
    <w:rsid w:val="00B43A2E"/>
    <w:rsid w:val="00B442C0"/>
    <w:rsid w:val="00B44908"/>
    <w:rsid w:val="00B45B3E"/>
    <w:rsid w:val="00B45E32"/>
    <w:rsid w:val="00B46CA9"/>
    <w:rsid w:val="00B470F9"/>
    <w:rsid w:val="00B47634"/>
    <w:rsid w:val="00B51F2D"/>
    <w:rsid w:val="00B523F9"/>
    <w:rsid w:val="00B529E6"/>
    <w:rsid w:val="00B52C64"/>
    <w:rsid w:val="00B53191"/>
    <w:rsid w:val="00B53CDE"/>
    <w:rsid w:val="00B54C6C"/>
    <w:rsid w:val="00B556BD"/>
    <w:rsid w:val="00B57A13"/>
    <w:rsid w:val="00B6053B"/>
    <w:rsid w:val="00B60CC1"/>
    <w:rsid w:val="00B632B1"/>
    <w:rsid w:val="00B64F63"/>
    <w:rsid w:val="00B6529E"/>
    <w:rsid w:val="00B653E2"/>
    <w:rsid w:val="00B65F4B"/>
    <w:rsid w:val="00B66238"/>
    <w:rsid w:val="00B66C4B"/>
    <w:rsid w:val="00B67081"/>
    <w:rsid w:val="00B67B22"/>
    <w:rsid w:val="00B71C13"/>
    <w:rsid w:val="00B73646"/>
    <w:rsid w:val="00B73D17"/>
    <w:rsid w:val="00B7401C"/>
    <w:rsid w:val="00B74952"/>
    <w:rsid w:val="00B756F5"/>
    <w:rsid w:val="00B77299"/>
    <w:rsid w:val="00B7729C"/>
    <w:rsid w:val="00B77CBA"/>
    <w:rsid w:val="00B80A5E"/>
    <w:rsid w:val="00B80E26"/>
    <w:rsid w:val="00B80F13"/>
    <w:rsid w:val="00B81A62"/>
    <w:rsid w:val="00B81DC6"/>
    <w:rsid w:val="00B82DD3"/>
    <w:rsid w:val="00B83321"/>
    <w:rsid w:val="00B84377"/>
    <w:rsid w:val="00B846C6"/>
    <w:rsid w:val="00B8517C"/>
    <w:rsid w:val="00B85C6C"/>
    <w:rsid w:val="00B85F20"/>
    <w:rsid w:val="00B906B9"/>
    <w:rsid w:val="00B9124A"/>
    <w:rsid w:val="00B91DC0"/>
    <w:rsid w:val="00B93132"/>
    <w:rsid w:val="00B956C4"/>
    <w:rsid w:val="00B95B0A"/>
    <w:rsid w:val="00B96271"/>
    <w:rsid w:val="00B97167"/>
    <w:rsid w:val="00B97B32"/>
    <w:rsid w:val="00BA17A6"/>
    <w:rsid w:val="00BA20FB"/>
    <w:rsid w:val="00BA23FA"/>
    <w:rsid w:val="00BA2D2B"/>
    <w:rsid w:val="00BA36F0"/>
    <w:rsid w:val="00BA3D6D"/>
    <w:rsid w:val="00BA4876"/>
    <w:rsid w:val="00BA5C3A"/>
    <w:rsid w:val="00BA5C82"/>
    <w:rsid w:val="00BA5FB6"/>
    <w:rsid w:val="00BA64E6"/>
    <w:rsid w:val="00BA6EB3"/>
    <w:rsid w:val="00BA7E4B"/>
    <w:rsid w:val="00BB1858"/>
    <w:rsid w:val="00BB1E30"/>
    <w:rsid w:val="00BB224C"/>
    <w:rsid w:val="00BB2349"/>
    <w:rsid w:val="00BB2735"/>
    <w:rsid w:val="00BB3238"/>
    <w:rsid w:val="00BB4494"/>
    <w:rsid w:val="00BB4715"/>
    <w:rsid w:val="00BB590E"/>
    <w:rsid w:val="00BB65B2"/>
    <w:rsid w:val="00BC01DA"/>
    <w:rsid w:val="00BC09A4"/>
    <w:rsid w:val="00BC1466"/>
    <w:rsid w:val="00BC1484"/>
    <w:rsid w:val="00BC1CFA"/>
    <w:rsid w:val="00BC240C"/>
    <w:rsid w:val="00BC2B30"/>
    <w:rsid w:val="00BC3094"/>
    <w:rsid w:val="00BC321E"/>
    <w:rsid w:val="00BC3554"/>
    <w:rsid w:val="00BC3903"/>
    <w:rsid w:val="00BC4B2A"/>
    <w:rsid w:val="00BC5031"/>
    <w:rsid w:val="00BC62C2"/>
    <w:rsid w:val="00BC799A"/>
    <w:rsid w:val="00BD03D0"/>
    <w:rsid w:val="00BD0754"/>
    <w:rsid w:val="00BD0E89"/>
    <w:rsid w:val="00BD2004"/>
    <w:rsid w:val="00BD265C"/>
    <w:rsid w:val="00BD3524"/>
    <w:rsid w:val="00BD39DE"/>
    <w:rsid w:val="00BD40A4"/>
    <w:rsid w:val="00BD45D8"/>
    <w:rsid w:val="00BD46B9"/>
    <w:rsid w:val="00BD47AD"/>
    <w:rsid w:val="00BD4D7E"/>
    <w:rsid w:val="00BD5BBC"/>
    <w:rsid w:val="00BD5E18"/>
    <w:rsid w:val="00BD5E95"/>
    <w:rsid w:val="00BD7EB6"/>
    <w:rsid w:val="00BE055C"/>
    <w:rsid w:val="00BE1556"/>
    <w:rsid w:val="00BE2995"/>
    <w:rsid w:val="00BE35CA"/>
    <w:rsid w:val="00BE3C8A"/>
    <w:rsid w:val="00BE75BF"/>
    <w:rsid w:val="00BF0517"/>
    <w:rsid w:val="00BF1118"/>
    <w:rsid w:val="00BF1392"/>
    <w:rsid w:val="00BF2027"/>
    <w:rsid w:val="00BF2053"/>
    <w:rsid w:val="00BF218E"/>
    <w:rsid w:val="00BF2E2E"/>
    <w:rsid w:val="00BF3B45"/>
    <w:rsid w:val="00BF42E7"/>
    <w:rsid w:val="00BF6F8B"/>
    <w:rsid w:val="00BF7F6A"/>
    <w:rsid w:val="00C0023B"/>
    <w:rsid w:val="00C00783"/>
    <w:rsid w:val="00C008C1"/>
    <w:rsid w:val="00C01844"/>
    <w:rsid w:val="00C0288F"/>
    <w:rsid w:val="00C029A2"/>
    <w:rsid w:val="00C030A9"/>
    <w:rsid w:val="00C03134"/>
    <w:rsid w:val="00C034AB"/>
    <w:rsid w:val="00C03599"/>
    <w:rsid w:val="00C047C1"/>
    <w:rsid w:val="00C04A4A"/>
    <w:rsid w:val="00C0540C"/>
    <w:rsid w:val="00C0619C"/>
    <w:rsid w:val="00C0668A"/>
    <w:rsid w:val="00C066A9"/>
    <w:rsid w:val="00C07D7A"/>
    <w:rsid w:val="00C10FA7"/>
    <w:rsid w:val="00C11337"/>
    <w:rsid w:val="00C11DD0"/>
    <w:rsid w:val="00C13014"/>
    <w:rsid w:val="00C130D2"/>
    <w:rsid w:val="00C137CE"/>
    <w:rsid w:val="00C13936"/>
    <w:rsid w:val="00C14421"/>
    <w:rsid w:val="00C17567"/>
    <w:rsid w:val="00C17601"/>
    <w:rsid w:val="00C201E0"/>
    <w:rsid w:val="00C2087D"/>
    <w:rsid w:val="00C20C6B"/>
    <w:rsid w:val="00C20E24"/>
    <w:rsid w:val="00C21699"/>
    <w:rsid w:val="00C237FC"/>
    <w:rsid w:val="00C23DE3"/>
    <w:rsid w:val="00C23F5B"/>
    <w:rsid w:val="00C24A3E"/>
    <w:rsid w:val="00C25505"/>
    <w:rsid w:val="00C26107"/>
    <w:rsid w:val="00C2662C"/>
    <w:rsid w:val="00C26685"/>
    <w:rsid w:val="00C26DE3"/>
    <w:rsid w:val="00C2704A"/>
    <w:rsid w:val="00C31201"/>
    <w:rsid w:val="00C31377"/>
    <w:rsid w:val="00C32098"/>
    <w:rsid w:val="00C32435"/>
    <w:rsid w:val="00C32463"/>
    <w:rsid w:val="00C32CA0"/>
    <w:rsid w:val="00C336AD"/>
    <w:rsid w:val="00C33A91"/>
    <w:rsid w:val="00C33F97"/>
    <w:rsid w:val="00C40BB2"/>
    <w:rsid w:val="00C4134E"/>
    <w:rsid w:val="00C42357"/>
    <w:rsid w:val="00C429A1"/>
    <w:rsid w:val="00C42D47"/>
    <w:rsid w:val="00C42FBD"/>
    <w:rsid w:val="00C43860"/>
    <w:rsid w:val="00C43D75"/>
    <w:rsid w:val="00C444BE"/>
    <w:rsid w:val="00C44C7D"/>
    <w:rsid w:val="00C45BBF"/>
    <w:rsid w:val="00C46A53"/>
    <w:rsid w:val="00C47897"/>
    <w:rsid w:val="00C50FB0"/>
    <w:rsid w:val="00C52C45"/>
    <w:rsid w:val="00C54307"/>
    <w:rsid w:val="00C55095"/>
    <w:rsid w:val="00C55154"/>
    <w:rsid w:val="00C56AD0"/>
    <w:rsid w:val="00C57AFE"/>
    <w:rsid w:val="00C57D99"/>
    <w:rsid w:val="00C601A3"/>
    <w:rsid w:val="00C6059C"/>
    <w:rsid w:val="00C6079A"/>
    <w:rsid w:val="00C6085C"/>
    <w:rsid w:val="00C60BFB"/>
    <w:rsid w:val="00C60E5A"/>
    <w:rsid w:val="00C6115D"/>
    <w:rsid w:val="00C6140D"/>
    <w:rsid w:val="00C62BAB"/>
    <w:rsid w:val="00C640A5"/>
    <w:rsid w:val="00C64A61"/>
    <w:rsid w:val="00C64ED7"/>
    <w:rsid w:val="00C66BA8"/>
    <w:rsid w:val="00C66F1F"/>
    <w:rsid w:val="00C674F2"/>
    <w:rsid w:val="00C71251"/>
    <w:rsid w:val="00C712E3"/>
    <w:rsid w:val="00C72230"/>
    <w:rsid w:val="00C73719"/>
    <w:rsid w:val="00C738D2"/>
    <w:rsid w:val="00C73DEE"/>
    <w:rsid w:val="00C74EFE"/>
    <w:rsid w:val="00C757BE"/>
    <w:rsid w:val="00C759CE"/>
    <w:rsid w:val="00C75B41"/>
    <w:rsid w:val="00C75D50"/>
    <w:rsid w:val="00C75F7E"/>
    <w:rsid w:val="00C76469"/>
    <w:rsid w:val="00C76578"/>
    <w:rsid w:val="00C76EA5"/>
    <w:rsid w:val="00C76EEB"/>
    <w:rsid w:val="00C7758C"/>
    <w:rsid w:val="00C77659"/>
    <w:rsid w:val="00C7797A"/>
    <w:rsid w:val="00C77F6D"/>
    <w:rsid w:val="00C82842"/>
    <w:rsid w:val="00C82CD2"/>
    <w:rsid w:val="00C82D9F"/>
    <w:rsid w:val="00C85FD2"/>
    <w:rsid w:val="00C86F14"/>
    <w:rsid w:val="00C87719"/>
    <w:rsid w:val="00C911A1"/>
    <w:rsid w:val="00C92056"/>
    <w:rsid w:val="00C949DD"/>
    <w:rsid w:val="00C95098"/>
    <w:rsid w:val="00C952A7"/>
    <w:rsid w:val="00C96220"/>
    <w:rsid w:val="00C96935"/>
    <w:rsid w:val="00C9706C"/>
    <w:rsid w:val="00C97381"/>
    <w:rsid w:val="00C97445"/>
    <w:rsid w:val="00CA022E"/>
    <w:rsid w:val="00CA0F8B"/>
    <w:rsid w:val="00CA2C93"/>
    <w:rsid w:val="00CA4461"/>
    <w:rsid w:val="00CA50BB"/>
    <w:rsid w:val="00CA57D4"/>
    <w:rsid w:val="00CA5E4B"/>
    <w:rsid w:val="00CA7442"/>
    <w:rsid w:val="00CB0452"/>
    <w:rsid w:val="00CB04E0"/>
    <w:rsid w:val="00CB0D3F"/>
    <w:rsid w:val="00CB513F"/>
    <w:rsid w:val="00CB61B6"/>
    <w:rsid w:val="00CB75DF"/>
    <w:rsid w:val="00CC08C9"/>
    <w:rsid w:val="00CC09B6"/>
    <w:rsid w:val="00CC108C"/>
    <w:rsid w:val="00CC11FD"/>
    <w:rsid w:val="00CC1323"/>
    <w:rsid w:val="00CC2B43"/>
    <w:rsid w:val="00CC2DCA"/>
    <w:rsid w:val="00CC3655"/>
    <w:rsid w:val="00CC3B2C"/>
    <w:rsid w:val="00CC3B31"/>
    <w:rsid w:val="00CC4725"/>
    <w:rsid w:val="00CC4796"/>
    <w:rsid w:val="00CC4C2C"/>
    <w:rsid w:val="00CC5525"/>
    <w:rsid w:val="00CC55E7"/>
    <w:rsid w:val="00CD0020"/>
    <w:rsid w:val="00CD0079"/>
    <w:rsid w:val="00CD148A"/>
    <w:rsid w:val="00CD1E0A"/>
    <w:rsid w:val="00CD2A79"/>
    <w:rsid w:val="00CD2DB6"/>
    <w:rsid w:val="00CD2E2C"/>
    <w:rsid w:val="00CD2FBD"/>
    <w:rsid w:val="00CD3257"/>
    <w:rsid w:val="00CD42B7"/>
    <w:rsid w:val="00CD4F5E"/>
    <w:rsid w:val="00CD625C"/>
    <w:rsid w:val="00CD6AD4"/>
    <w:rsid w:val="00CD6E68"/>
    <w:rsid w:val="00CD7341"/>
    <w:rsid w:val="00CD7EDF"/>
    <w:rsid w:val="00CE02A2"/>
    <w:rsid w:val="00CE0486"/>
    <w:rsid w:val="00CE1168"/>
    <w:rsid w:val="00CE1358"/>
    <w:rsid w:val="00CE19A5"/>
    <w:rsid w:val="00CE3564"/>
    <w:rsid w:val="00CE3659"/>
    <w:rsid w:val="00CE368A"/>
    <w:rsid w:val="00CE51DC"/>
    <w:rsid w:val="00CE52F1"/>
    <w:rsid w:val="00CE5657"/>
    <w:rsid w:val="00CE5D70"/>
    <w:rsid w:val="00CE5E55"/>
    <w:rsid w:val="00CE63BA"/>
    <w:rsid w:val="00CE729E"/>
    <w:rsid w:val="00CE7C14"/>
    <w:rsid w:val="00CE7D9C"/>
    <w:rsid w:val="00CF1AF1"/>
    <w:rsid w:val="00CF1B28"/>
    <w:rsid w:val="00CF2D04"/>
    <w:rsid w:val="00CF2EFE"/>
    <w:rsid w:val="00CF2F66"/>
    <w:rsid w:val="00CF32B2"/>
    <w:rsid w:val="00CF3A3A"/>
    <w:rsid w:val="00CF3FE4"/>
    <w:rsid w:val="00CF4839"/>
    <w:rsid w:val="00CF5F95"/>
    <w:rsid w:val="00D01AB2"/>
    <w:rsid w:val="00D01F64"/>
    <w:rsid w:val="00D021EF"/>
    <w:rsid w:val="00D0369C"/>
    <w:rsid w:val="00D0416A"/>
    <w:rsid w:val="00D05C6A"/>
    <w:rsid w:val="00D06333"/>
    <w:rsid w:val="00D06D24"/>
    <w:rsid w:val="00D10FE2"/>
    <w:rsid w:val="00D11DC6"/>
    <w:rsid w:val="00D12AC5"/>
    <w:rsid w:val="00D17055"/>
    <w:rsid w:val="00D179A2"/>
    <w:rsid w:val="00D209DE"/>
    <w:rsid w:val="00D20C27"/>
    <w:rsid w:val="00D21C8E"/>
    <w:rsid w:val="00D228E5"/>
    <w:rsid w:val="00D22C87"/>
    <w:rsid w:val="00D23514"/>
    <w:rsid w:val="00D2378A"/>
    <w:rsid w:val="00D239FA"/>
    <w:rsid w:val="00D23AD9"/>
    <w:rsid w:val="00D23BBE"/>
    <w:rsid w:val="00D24C9F"/>
    <w:rsid w:val="00D24F09"/>
    <w:rsid w:val="00D263DF"/>
    <w:rsid w:val="00D267ED"/>
    <w:rsid w:val="00D268D0"/>
    <w:rsid w:val="00D26ACF"/>
    <w:rsid w:val="00D3250D"/>
    <w:rsid w:val="00D336DB"/>
    <w:rsid w:val="00D33E5B"/>
    <w:rsid w:val="00D3554D"/>
    <w:rsid w:val="00D37C77"/>
    <w:rsid w:val="00D41142"/>
    <w:rsid w:val="00D41FCA"/>
    <w:rsid w:val="00D42008"/>
    <w:rsid w:val="00D42131"/>
    <w:rsid w:val="00D43C76"/>
    <w:rsid w:val="00D43E25"/>
    <w:rsid w:val="00D441CD"/>
    <w:rsid w:val="00D467D5"/>
    <w:rsid w:val="00D46B2B"/>
    <w:rsid w:val="00D50147"/>
    <w:rsid w:val="00D505DF"/>
    <w:rsid w:val="00D50E63"/>
    <w:rsid w:val="00D520B2"/>
    <w:rsid w:val="00D525D5"/>
    <w:rsid w:val="00D527AC"/>
    <w:rsid w:val="00D5356D"/>
    <w:rsid w:val="00D53ACB"/>
    <w:rsid w:val="00D547CA"/>
    <w:rsid w:val="00D54EE4"/>
    <w:rsid w:val="00D55391"/>
    <w:rsid w:val="00D558B2"/>
    <w:rsid w:val="00D55D44"/>
    <w:rsid w:val="00D56871"/>
    <w:rsid w:val="00D577F2"/>
    <w:rsid w:val="00D57C14"/>
    <w:rsid w:val="00D60787"/>
    <w:rsid w:val="00D6165B"/>
    <w:rsid w:val="00D61867"/>
    <w:rsid w:val="00D642C4"/>
    <w:rsid w:val="00D64586"/>
    <w:rsid w:val="00D65162"/>
    <w:rsid w:val="00D66705"/>
    <w:rsid w:val="00D66E1B"/>
    <w:rsid w:val="00D67037"/>
    <w:rsid w:val="00D670D2"/>
    <w:rsid w:val="00D67102"/>
    <w:rsid w:val="00D67794"/>
    <w:rsid w:val="00D67A02"/>
    <w:rsid w:val="00D71653"/>
    <w:rsid w:val="00D727F5"/>
    <w:rsid w:val="00D72D84"/>
    <w:rsid w:val="00D734E6"/>
    <w:rsid w:val="00D73D3A"/>
    <w:rsid w:val="00D750A8"/>
    <w:rsid w:val="00D751D5"/>
    <w:rsid w:val="00D7592C"/>
    <w:rsid w:val="00D80AF7"/>
    <w:rsid w:val="00D80BE9"/>
    <w:rsid w:val="00D81397"/>
    <w:rsid w:val="00D81866"/>
    <w:rsid w:val="00D81B9B"/>
    <w:rsid w:val="00D820AD"/>
    <w:rsid w:val="00D82375"/>
    <w:rsid w:val="00D82D2A"/>
    <w:rsid w:val="00D83AD5"/>
    <w:rsid w:val="00D843C2"/>
    <w:rsid w:val="00D852EC"/>
    <w:rsid w:val="00D86352"/>
    <w:rsid w:val="00D8706A"/>
    <w:rsid w:val="00D87123"/>
    <w:rsid w:val="00D906C8"/>
    <w:rsid w:val="00D91A27"/>
    <w:rsid w:val="00D9391F"/>
    <w:rsid w:val="00D93B01"/>
    <w:rsid w:val="00D93BF4"/>
    <w:rsid w:val="00D93F19"/>
    <w:rsid w:val="00D953A9"/>
    <w:rsid w:val="00D9550A"/>
    <w:rsid w:val="00D9743C"/>
    <w:rsid w:val="00DA02AB"/>
    <w:rsid w:val="00DA1792"/>
    <w:rsid w:val="00DA2E40"/>
    <w:rsid w:val="00DA31B7"/>
    <w:rsid w:val="00DA383F"/>
    <w:rsid w:val="00DA3CD4"/>
    <w:rsid w:val="00DA51C2"/>
    <w:rsid w:val="00DA6459"/>
    <w:rsid w:val="00DA6AEB"/>
    <w:rsid w:val="00DB0B29"/>
    <w:rsid w:val="00DB116D"/>
    <w:rsid w:val="00DB1200"/>
    <w:rsid w:val="00DB1485"/>
    <w:rsid w:val="00DB17B8"/>
    <w:rsid w:val="00DB1952"/>
    <w:rsid w:val="00DB229D"/>
    <w:rsid w:val="00DB2CF1"/>
    <w:rsid w:val="00DB3D79"/>
    <w:rsid w:val="00DB4B7A"/>
    <w:rsid w:val="00DB5AF3"/>
    <w:rsid w:val="00DB60FD"/>
    <w:rsid w:val="00DB77D7"/>
    <w:rsid w:val="00DC365B"/>
    <w:rsid w:val="00DC4BA2"/>
    <w:rsid w:val="00DC4FF0"/>
    <w:rsid w:val="00DC5118"/>
    <w:rsid w:val="00DC566C"/>
    <w:rsid w:val="00DC597F"/>
    <w:rsid w:val="00DC75DA"/>
    <w:rsid w:val="00DC7950"/>
    <w:rsid w:val="00DD09A9"/>
    <w:rsid w:val="00DD1199"/>
    <w:rsid w:val="00DD1DA0"/>
    <w:rsid w:val="00DD235F"/>
    <w:rsid w:val="00DD4CCF"/>
    <w:rsid w:val="00DD507F"/>
    <w:rsid w:val="00DD5C06"/>
    <w:rsid w:val="00DD6317"/>
    <w:rsid w:val="00DD74EA"/>
    <w:rsid w:val="00DE0202"/>
    <w:rsid w:val="00DE0E41"/>
    <w:rsid w:val="00DE1CB6"/>
    <w:rsid w:val="00DE1D1F"/>
    <w:rsid w:val="00DE2856"/>
    <w:rsid w:val="00DE3BF8"/>
    <w:rsid w:val="00DE5999"/>
    <w:rsid w:val="00DE5A4C"/>
    <w:rsid w:val="00DE6D95"/>
    <w:rsid w:val="00DE7487"/>
    <w:rsid w:val="00DE7A6C"/>
    <w:rsid w:val="00DF1264"/>
    <w:rsid w:val="00DF15A3"/>
    <w:rsid w:val="00DF1FDA"/>
    <w:rsid w:val="00DF232B"/>
    <w:rsid w:val="00DF3AEC"/>
    <w:rsid w:val="00DF484C"/>
    <w:rsid w:val="00DF60D3"/>
    <w:rsid w:val="00DF792A"/>
    <w:rsid w:val="00E000CF"/>
    <w:rsid w:val="00E00D36"/>
    <w:rsid w:val="00E014C9"/>
    <w:rsid w:val="00E01654"/>
    <w:rsid w:val="00E028C9"/>
    <w:rsid w:val="00E02BB9"/>
    <w:rsid w:val="00E03465"/>
    <w:rsid w:val="00E04E29"/>
    <w:rsid w:val="00E07895"/>
    <w:rsid w:val="00E07FF8"/>
    <w:rsid w:val="00E108BA"/>
    <w:rsid w:val="00E10ABB"/>
    <w:rsid w:val="00E11391"/>
    <w:rsid w:val="00E11B34"/>
    <w:rsid w:val="00E11CF1"/>
    <w:rsid w:val="00E11EC1"/>
    <w:rsid w:val="00E12690"/>
    <w:rsid w:val="00E13C52"/>
    <w:rsid w:val="00E148D3"/>
    <w:rsid w:val="00E1507C"/>
    <w:rsid w:val="00E16D9F"/>
    <w:rsid w:val="00E177B1"/>
    <w:rsid w:val="00E17809"/>
    <w:rsid w:val="00E21672"/>
    <w:rsid w:val="00E21806"/>
    <w:rsid w:val="00E22479"/>
    <w:rsid w:val="00E22C5F"/>
    <w:rsid w:val="00E23BD1"/>
    <w:rsid w:val="00E23D3E"/>
    <w:rsid w:val="00E24A82"/>
    <w:rsid w:val="00E255B2"/>
    <w:rsid w:val="00E2593D"/>
    <w:rsid w:val="00E26389"/>
    <w:rsid w:val="00E2698E"/>
    <w:rsid w:val="00E2768F"/>
    <w:rsid w:val="00E276B2"/>
    <w:rsid w:val="00E2787D"/>
    <w:rsid w:val="00E30000"/>
    <w:rsid w:val="00E30197"/>
    <w:rsid w:val="00E3073F"/>
    <w:rsid w:val="00E3151F"/>
    <w:rsid w:val="00E319BF"/>
    <w:rsid w:val="00E31C39"/>
    <w:rsid w:val="00E32159"/>
    <w:rsid w:val="00E32DDD"/>
    <w:rsid w:val="00E33066"/>
    <w:rsid w:val="00E3353B"/>
    <w:rsid w:val="00E33648"/>
    <w:rsid w:val="00E336BD"/>
    <w:rsid w:val="00E33ACA"/>
    <w:rsid w:val="00E34EEC"/>
    <w:rsid w:val="00E35775"/>
    <w:rsid w:val="00E362BF"/>
    <w:rsid w:val="00E37A4E"/>
    <w:rsid w:val="00E404C0"/>
    <w:rsid w:val="00E41734"/>
    <w:rsid w:val="00E41D6A"/>
    <w:rsid w:val="00E428AA"/>
    <w:rsid w:val="00E42A3B"/>
    <w:rsid w:val="00E4350D"/>
    <w:rsid w:val="00E4396B"/>
    <w:rsid w:val="00E44599"/>
    <w:rsid w:val="00E452E8"/>
    <w:rsid w:val="00E45688"/>
    <w:rsid w:val="00E457DE"/>
    <w:rsid w:val="00E4595A"/>
    <w:rsid w:val="00E4657F"/>
    <w:rsid w:val="00E47398"/>
    <w:rsid w:val="00E47606"/>
    <w:rsid w:val="00E516CD"/>
    <w:rsid w:val="00E519D4"/>
    <w:rsid w:val="00E51C06"/>
    <w:rsid w:val="00E51C12"/>
    <w:rsid w:val="00E51E4C"/>
    <w:rsid w:val="00E52AF2"/>
    <w:rsid w:val="00E52F21"/>
    <w:rsid w:val="00E5330A"/>
    <w:rsid w:val="00E53AD7"/>
    <w:rsid w:val="00E53B6C"/>
    <w:rsid w:val="00E54821"/>
    <w:rsid w:val="00E54BF3"/>
    <w:rsid w:val="00E55A7C"/>
    <w:rsid w:val="00E60CC1"/>
    <w:rsid w:val="00E62766"/>
    <w:rsid w:val="00E62D8D"/>
    <w:rsid w:val="00E631AF"/>
    <w:rsid w:val="00E643E2"/>
    <w:rsid w:val="00E654B9"/>
    <w:rsid w:val="00E6728A"/>
    <w:rsid w:val="00E707D1"/>
    <w:rsid w:val="00E719B0"/>
    <w:rsid w:val="00E72919"/>
    <w:rsid w:val="00E72936"/>
    <w:rsid w:val="00E72D5F"/>
    <w:rsid w:val="00E73114"/>
    <w:rsid w:val="00E73771"/>
    <w:rsid w:val="00E74834"/>
    <w:rsid w:val="00E7543E"/>
    <w:rsid w:val="00E75F0B"/>
    <w:rsid w:val="00E7608A"/>
    <w:rsid w:val="00E76426"/>
    <w:rsid w:val="00E76D57"/>
    <w:rsid w:val="00E803CD"/>
    <w:rsid w:val="00E8093F"/>
    <w:rsid w:val="00E81F81"/>
    <w:rsid w:val="00E8387D"/>
    <w:rsid w:val="00E84B40"/>
    <w:rsid w:val="00E84ECD"/>
    <w:rsid w:val="00E8602E"/>
    <w:rsid w:val="00E86608"/>
    <w:rsid w:val="00E87329"/>
    <w:rsid w:val="00E87C10"/>
    <w:rsid w:val="00E90149"/>
    <w:rsid w:val="00E909ED"/>
    <w:rsid w:val="00E91C21"/>
    <w:rsid w:val="00E93004"/>
    <w:rsid w:val="00E933E7"/>
    <w:rsid w:val="00E94D44"/>
    <w:rsid w:val="00E979D3"/>
    <w:rsid w:val="00EA00F6"/>
    <w:rsid w:val="00EA01D7"/>
    <w:rsid w:val="00EA0D40"/>
    <w:rsid w:val="00EA1279"/>
    <w:rsid w:val="00EA3D8C"/>
    <w:rsid w:val="00EA4D3C"/>
    <w:rsid w:val="00EA4DDC"/>
    <w:rsid w:val="00EA5643"/>
    <w:rsid w:val="00EA5D6E"/>
    <w:rsid w:val="00EB0EE8"/>
    <w:rsid w:val="00EB2095"/>
    <w:rsid w:val="00EB248B"/>
    <w:rsid w:val="00EB2EDF"/>
    <w:rsid w:val="00EB38C7"/>
    <w:rsid w:val="00EB570A"/>
    <w:rsid w:val="00EB687C"/>
    <w:rsid w:val="00EB69FF"/>
    <w:rsid w:val="00EB6A65"/>
    <w:rsid w:val="00EB7922"/>
    <w:rsid w:val="00EC2645"/>
    <w:rsid w:val="00EC2C1F"/>
    <w:rsid w:val="00EC4017"/>
    <w:rsid w:val="00EC6D62"/>
    <w:rsid w:val="00EC773A"/>
    <w:rsid w:val="00EC79AA"/>
    <w:rsid w:val="00ED1A7A"/>
    <w:rsid w:val="00ED2F0A"/>
    <w:rsid w:val="00ED375E"/>
    <w:rsid w:val="00ED375F"/>
    <w:rsid w:val="00ED4F56"/>
    <w:rsid w:val="00ED6702"/>
    <w:rsid w:val="00ED77D1"/>
    <w:rsid w:val="00ED7D2D"/>
    <w:rsid w:val="00EE04EB"/>
    <w:rsid w:val="00EE0E40"/>
    <w:rsid w:val="00EE0F03"/>
    <w:rsid w:val="00EE127A"/>
    <w:rsid w:val="00EE1C2C"/>
    <w:rsid w:val="00EE2866"/>
    <w:rsid w:val="00EE3744"/>
    <w:rsid w:val="00EE38ED"/>
    <w:rsid w:val="00EE3DDF"/>
    <w:rsid w:val="00EE495C"/>
    <w:rsid w:val="00EE501A"/>
    <w:rsid w:val="00EE56DE"/>
    <w:rsid w:val="00EE6744"/>
    <w:rsid w:val="00EE6C26"/>
    <w:rsid w:val="00EE71E1"/>
    <w:rsid w:val="00EE7FB0"/>
    <w:rsid w:val="00EF0AAB"/>
    <w:rsid w:val="00EF0ECC"/>
    <w:rsid w:val="00EF1C87"/>
    <w:rsid w:val="00EF1E95"/>
    <w:rsid w:val="00EF221B"/>
    <w:rsid w:val="00EF25B6"/>
    <w:rsid w:val="00EF4564"/>
    <w:rsid w:val="00EF4A13"/>
    <w:rsid w:val="00EF4AB0"/>
    <w:rsid w:val="00EF4D52"/>
    <w:rsid w:val="00EF5A20"/>
    <w:rsid w:val="00EF5E2D"/>
    <w:rsid w:val="00EF61DC"/>
    <w:rsid w:val="00EF71A6"/>
    <w:rsid w:val="00F00B0B"/>
    <w:rsid w:val="00F00D3B"/>
    <w:rsid w:val="00F010DE"/>
    <w:rsid w:val="00F018EC"/>
    <w:rsid w:val="00F01D65"/>
    <w:rsid w:val="00F0394A"/>
    <w:rsid w:val="00F03C70"/>
    <w:rsid w:val="00F041B4"/>
    <w:rsid w:val="00F04347"/>
    <w:rsid w:val="00F04469"/>
    <w:rsid w:val="00F0453E"/>
    <w:rsid w:val="00F05434"/>
    <w:rsid w:val="00F066E1"/>
    <w:rsid w:val="00F06F9F"/>
    <w:rsid w:val="00F0714C"/>
    <w:rsid w:val="00F07EA2"/>
    <w:rsid w:val="00F10D2C"/>
    <w:rsid w:val="00F11336"/>
    <w:rsid w:val="00F11524"/>
    <w:rsid w:val="00F11600"/>
    <w:rsid w:val="00F1181B"/>
    <w:rsid w:val="00F128EE"/>
    <w:rsid w:val="00F12E24"/>
    <w:rsid w:val="00F169CC"/>
    <w:rsid w:val="00F204BD"/>
    <w:rsid w:val="00F20588"/>
    <w:rsid w:val="00F24107"/>
    <w:rsid w:val="00F24CF9"/>
    <w:rsid w:val="00F25290"/>
    <w:rsid w:val="00F25390"/>
    <w:rsid w:val="00F2558D"/>
    <w:rsid w:val="00F25CBE"/>
    <w:rsid w:val="00F2633C"/>
    <w:rsid w:val="00F26567"/>
    <w:rsid w:val="00F26D56"/>
    <w:rsid w:val="00F272DD"/>
    <w:rsid w:val="00F2755C"/>
    <w:rsid w:val="00F30775"/>
    <w:rsid w:val="00F315B9"/>
    <w:rsid w:val="00F31747"/>
    <w:rsid w:val="00F31F94"/>
    <w:rsid w:val="00F321C4"/>
    <w:rsid w:val="00F3355D"/>
    <w:rsid w:val="00F3364A"/>
    <w:rsid w:val="00F337C4"/>
    <w:rsid w:val="00F34A4E"/>
    <w:rsid w:val="00F355AE"/>
    <w:rsid w:val="00F35602"/>
    <w:rsid w:val="00F35B57"/>
    <w:rsid w:val="00F37B0A"/>
    <w:rsid w:val="00F4009A"/>
    <w:rsid w:val="00F40DC3"/>
    <w:rsid w:val="00F41E5C"/>
    <w:rsid w:val="00F43C62"/>
    <w:rsid w:val="00F44A95"/>
    <w:rsid w:val="00F44DE0"/>
    <w:rsid w:val="00F44EDB"/>
    <w:rsid w:val="00F45B3B"/>
    <w:rsid w:val="00F50273"/>
    <w:rsid w:val="00F507F4"/>
    <w:rsid w:val="00F53B85"/>
    <w:rsid w:val="00F54728"/>
    <w:rsid w:val="00F54B92"/>
    <w:rsid w:val="00F55D35"/>
    <w:rsid w:val="00F564A2"/>
    <w:rsid w:val="00F56C18"/>
    <w:rsid w:val="00F56DD2"/>
    <w:rsid w:val="00F57BF1"/>
    <w:rsid w:val="00F57FC3"/>
    <w:rsid w:val="00F60F25"/>
    <w:rsid w:val="00F61E02"/>
    <w:rsid w:val="00F64301"/>
    <w:rsid w:val="00F6479E"/>
    <w:rsid w:val="00F6575E"/>
    <w:rsid w:val="00F66419"/>
    <w:rsid w:val="00F670C1"/>
    <w:rsid w:val="00F725A2"/>
    <w:rsid w:val="00F72984"/>
    <w:rsid w:val="00F7377B"/>
    <w:rsid w:val="00F73789"/>
    <w:rsid w:val="00F73B9F"/>
    <w:rsid w:val="00F74091"/>
    <w:rsid w:val="00F752BB"/>
    <w:rsid w:val="00F757A5"/>
    <w:rsid w:val="00F75DA4"/>
    <w:rsid w:val="00F75EAA"/>
    <w:rsid w:val="00F81495"/>
    <w:rsid w:val="00F814B6"/>
    <w:rsid w:val="00F826DA"/>
    <w:rsid w:val="00F82BA9"/>
    <w:rsid w:val="00F83838"/>
    <w:rsid w:val="00F8478D"/>
    <w:rsid w:val="00F859CB"/>
    <w:rsid w:val="00F86A8B"/>
    <w:rsid w:val="00F86B87"/>
    <w:rsid w:val="00F87025"/>
    <w:rsid w:val="00F9039D"/>
    <w:rsid w:val="00F92A0F"/>
    <w:rsid w:val="00F94C4A"/>
    <w:rsid w:val="00F95294"/>
    <w:rsid w:val="00F962DA"/>
    <w:rsid w:val="00F9683A"/>
    <w:rsid w:val="00F96D38"/>
    <w:rsid w:val="00F96DF2"/>
    <w:rsid w:val="00F96E64"/>
    <w:rsid w:val="00F9711F"/>
    <w:rsid w:val="00F97319"/>
    <w:rsid w:val="00F97457"/>
    <w:rsid w:val="00FA1F2E"/>
    <w:rsid w:val="00FA2005"/>
    <w:rsid w:val="00FA47F2"/>
    <w:rsid w:val="00FA5A89"/>
    <w:rsid w:val="00FA616C"/>
    <w:rsid w:val="00FA6506"/>
    <w:rsid w:val="00FA6649"/>
    <w:rsid w:val="00FA6C2A"/>
    <w:rsid w:val="00FB0103"/>
    <w:rsid w:val="00FB0595"/>
    <w:rsid w:val="00FB0E61"/>
    <w:rsid w:val="00FB1119"/>
    <w:rsid w:val="00FB1ACD"/>
    <w:rsid w:val="00FB2B42"/>
    <w:rsid w:val="00FB348B"/>
    <w:rsid w:val="00FB3615"/>
    <w:rsid w:val="00FB384A"/>
    <w:rsid w:val="00FB42E1"/>
    <w:rsid w:val="00FB47C0"/>
    <w:rsid w:val="00FB5FEF"/>
    <w:rsid w:val="00FB6489"/>
    <w:rsid w:val="00FB6B61"/>
    <w:rsid w:val="00FB713A"/>
    <w:rsid w:val="00FB7907"/>
    <w:rsid w:val="00FB7FB1"/>
    <w:rsid w:val="00FC0172"/>
    <w:rsid w:val="00FC0BE0"/>
    <w:rsid w:val="00FC1057"/>
    <w:rsid w:val="00FC15FE"/>
    <w:rsid w:val="00FC1C01"/>
    <w:rsid w:val="00FC2852"/>
    <w:rsid w:val="00FC2B71"/>
    <w:rsid w:val="00FC35A0"/>
    <w:rsid w:val="00FC421E"/>
    <w:rsid w:val="00FC54A1"/>
    <w:rsid w:val="00FC57F2"/>
    <w:rsid w:val="00FC60FA"/>
    <w:rsid w:val="00FC65BE"/>
    <w:rsid w:val="00FC692C"/>
    <w:rsid w:val="00FD0A8B"/>
    <w:rsid w:val="00FD102F"/>
    <w:rsid w:val="00FD1160"/>
    <w:rsid w:val="00FD171C"/>
    <w:rsid w:val="00FD1750"/>
    <w:rsid w:val="00FD1F33"/>
    <w:rsid w:val="00FD22BC"/>
    <w:rsid w:val="00FD3206"/>
    <w:rsid w:val="00FD372B"/>
    <w:rsid w:val="00FD39E7"/>
    <w:rsid w:val="00FD3AB9"/>
    <w:rsid w:val="00FD4376"/>
    <w:rsid w:val="00FD5678"/>
    <w:rsid w:val="00FD5735"/>
    <w:rsid w:val="00FD64D6"/>
    <w:rsid w:val="00FD6986"/>
    <w:rsid w:val="00FD7F91"/>
    <w:rsid w:val="00FE01AE"/>
    <w:rsid w:val="00FE07A7"/>
    <w:rsid w:val="00FE1A26"/>
    <w:rsid w:val="00FE1B77"/>
    <w:rsid w:val="00FE2651"/>
    <w:rsid w:val="00FE28C0"/>
    <w:rsid w:val="00FE2D04"/>
    <w:rsid w:val="00FE4DDC"/>
    <w:rsid w:val="00FE5A39"/>
    <w:rsid w:val="00FE6ADE"/>
    <w:rsid w:val="00FE6CC1"/>
    <w:rsid w:val="00FE723B"/>
    <w:rsid w:val="00FE774A"/>
    <w:rsid w:val="00FF040B"/>
    <w:rsid w:val="00FF0B4F"/>
    <w:rsid w:val="00FF12FC"/>
    <w:rsid w:val="00FF170D"/>
    <w:rsid w:val="00FF1EB3"/>
    <w:rsid w:val="00FF289A"/>
    <w:rsid w:val="00FF3B7E"/>
    <w:rsid w:val="00FF4ACF"/>
    <w:rsid w:val="00FF5668"/>
    <w:rsid w:val="00FF634E"/>
    <w:rsid w:val="00FF6648"/>
    <w:rsid w:val="00FF68AE"/>
    <w:rsid w:val="00FF7082"/>
    <w:rsid w:val="00FF7E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3637F1"/>
  <w15:docId w15:val="{1816C4AC-141A-440B-9215-866A8145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046D"/>
    <w:pPr>
      <w:jc w:val="both"/>
    </w:pPr>
    <w:rPr>
      <w:color w:val="44546A" w:themeColor="text2"/>
      <w:sz w:val="20"/>
    </w:rPr>
  </w:style>
  <w:style w:type="paragraph" w:styleId="Heading1">
    <w:name w:val="heading 1"/>
    <w:basedOn w:val="Normal"/>
    <w:next w:val="Normal"/>
    <w:link w:val="Heading1Char"/>
    <w:uiPriority w:val="9"/>
    <w:qFormat/>
    <w:rsid w:val="00AF235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Podnaslov 2"/>
    <w:basedOn w:val="Normal"/>
    <w:next w:val="Normal"/>
    <w:link w:val="Heading2Char"/>
    <w:uiPriority w:val="9"/>
    <w:unhideWhenUsed/>
    <w:qFormat/>
    <w:rsid w:val="00AF235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570694"/>
    <w:pPr>
      <w:autoSpaceDE w:val="0"/>
      <w:autoSpaceDN w:val="0"/>
      <w:adjustRightInd w:val="0"/>
      <w:spacing w:after="0" w:line="240" w:lineRule="auto"/>
    </w:pPr>
    <w:rPr>
      <w:rFonts w:ascii="Cambria" w:hAnsi="Cambria" w:cs="Cambria"/>
      <w:color w:val="000000"/>
      <w:sz w:val="24"/>
      <w:szCs w:val="24"/>
    </w:rPr>
  </w:style>
  <w:style w:type="paragraph" w:styleId="Header">
    <w:name w:val="header"/>
    <w:basedOn w:val="Normal"/>
    <w:link w:val="HeaderChar"/>
    <w:uiPriority w:val="99"/>
    <w:unhideWhenUsed/>
    <w:rsid w:val="00BF7F6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7F6A"/>
  </w:style>
  <w:style w:type="paragraph" w:styleId="Footer">
    <w:name w:val="footer"/>
    <w:basedOn w:val="Normal"/>
    <w:link w:val="FooterChar"/>
    <w:uiPriority w:val="99"/>
    <w:unhideWhenUsed/>
    <w:rsid w:val="00BF7F6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7F6A"/>
  </w:style>
  <w:style w:type="character" w:customStyle="1" w:styleId="Heading1Char">
    <w:name w:val="Heading 1 Char"/>
    <w:basedOn w:val="DefaultParagraphFont"/>
    <w:link w:val="Heading1"/>
    <w:uiPriority w:val="9"/>
    <w:rsid w:val="00AF2359"/>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AF2359"/>
    <w:pPr>
      <w:outlineLvl w:val="9"/>
    </w:pPr>
  </w:style>
  <w:style w:type="paragraph" w:styleId="TOC1">
    <w:name w:val="toc 1"/>
    <w:basedOn w:val="Normal"/>
    <w:next w:val="Normal"/>
    <w:autoRedefine/>
    <w:uiPriority w:val="39"/>
    <w:unhideWhenUsed/>
    <w:rsid w:val="005311D2"/>
    <w:pPr>
      <w:tabs>
        <w:tab w:val="left" w:pos="270"/>
        <w:tab w:val="right" w:leader="dot" w:pos="9350"/>
      </w:tabs>
      <w:spacing w:after="100"/>
      <w:ind w:firstLine="180"/>
    </w:pPr>
    <w:rPr>
      <w:rFonts w:cstheme="minorHAnsi"/>
      <w:b/>
      <w:bCs/>
      <w:noProof/>
      <w:szCs w:val="20"/>
      <w:lang w:val="sr-Cyrl-RS"/>
    </w:rPr>
  </w:style>
  <w:style w:type="character" w:styleId="Hyperlink">
    <w:name w:val="Hyperlink"/>
    <w:basedOn w:val="DefaultParagraphFont"/>
    <w:uiPriority w:val="99"/>
    <w:unhideWhenUsed/>
    <w:rsid w:val="00AF2359"/>
    <w:rPr>
      <w:color w:val="0563C1" w:themeColor="hyperlink"/>
      <w:u w:val="single"/>
    </w:rPr>
  </w:style>
  <w:style w:type="character" w:customStyle="1" w:styleId="Heading2Char">
    <w:name w:val="Heading 2 Char"/>
    <w:aliases w:val="Podnaslov 2 Char"/>
    <w:basedOn w:val="DefaultParagraphFont"/>
    <w:link w:val="Heading2"/>
    <w:uiPriority w:val="9"/>
    <w:rsid w:val="00AF2359"/>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AF78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72065C"/>
    <w:pPr>
      <w:tabs>
        <w:tab w:val="right" w:leader="dot" w:pos="9350"/>
      </w:tabs>
      <w:spacing w:after="100"/>
      <w:ind w:left="220"/>
    </w:pPr>
    <w:rPr>
      <w:rFonts w:eastAsia="MS PGothic" w:cstheme="minorHAnsi"/>
      <w:b/>
      <w:noProof/>
      <w:lang w:val="sr-Cyrl-RS" w:eastAsia="ja-JP"/>
    </w:rPr>
  </w:style>
  <w:style w:type="paragraph" w:styleId="FootnoteText">
    <w:name w:val="footnote text"/>
    <w:aliases w:val="Footnote Text Char Char Char,Footnote Text Char Char"/>
    <w:basedOn w:val="Normal"/>
    <w:link w:val="FootnoteTextChar"/>
    <w:uiPriority w:val="99"/>
    <w:unhideWhenUsed/>
    <w:rsid w:val="005556DC"/>
    <w:pPr>
      <w:spacing w:after="0" w:line="240" w:lineRule="auto"/>
    </w:pPr>
    <w:rPr>
      <w:szCs w:val="20"/>
    </w:rPr>
  </w:style>
  <w:style w:type="character" w:customStyle="1" w:styleId="FootnoteTextChar">
    <w:name w:val="Footnote Text Char"/>
    <w:aliases w:val="Footnote Text Char Char Char Char,Footnote Text Char Char Char1"/>
    <w:basedOn w:val="DefaultParagraphFont"/>
    <w:link w:val="FootnoteText"/>
    <w:uiPriority w:val="99"/>
    <w:rsid w:val="005556DC"/>
    <w:rPr>
      <w:sz w:val="20"/>
      <w:szCs w:val="20"/>
    </w:rPr>
  </w:style>
  <w:style w:type="character" w:styleId="FootnoteReference">
    <w:name w:val="footnote reference"/>
    <w:basedOn w:val="DefaultParagraphFont"/>
    <w:uiPriority w:val="99"/>
    <w:unhideWhenUsed/>
    <w:rsid w:val="005556DC"/>
    <w:rPr>
      <w:vertAlign w:val="superscript"/>
    </w:rPr>
  </w:style>
  <w:style w:type="character" w:customStyle="1" w:styleId="Hyperlink1">
    <w:name w:val="Hyperlink1"/>
    <w:basedOn w:val="DefaultParagraphFont"/>
    <w:uiPriority w:val="99"/>
    <w:unhideWhenUsed/>
    <w:rsid w:val="005556DC"/>
    <w:rPr>
      <w:color w:val="0563C1"/>
      <w:u w:val="single"/>
    </w:rPr>
  </w:style>
  <w:style w:type="paragraph" w:styleId="Caption">
    <w:name w:val="caption"/>
    <w:basedOn w:val="Normal"/>
    <w:next w:val="Normal"/>
    <w:uiPriority w:val="35"/>
    <w:unhideWhenUsed/>
    <w:qFormat/>
    <w:rsid w:val="004B197B"/>
    <w:pPr>
      <w:jc w:val="center"/>
    </w:pPr>
    <w:rPr>
      <w:b/>
      <w:iCs/>
      <w:color w:val="002060"/>
      <w:szCs w:val="18"/>
    </w:rPr>
  </w:style>
  <w:style w:type="table" w:customStyle="1" w:styleId="GridTable5Dark-Accent51">
    <w:name w:val="Grid Table 5 Dark - Accent 51"/>
    <w:basedOn w:val="TableNormal"/>
    <w:uiPriority w:val="50"/>
    <w:rsid w:val="0043518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
    <w:name w:val="Light Shading - Accent 333"/>
    <w:basedOn w:val="TableNormal"/>
    <w:next w:val="LightShading-Accent3"/>
    <w:uiPriority w:val="60"/>
    <w:rsid w:val="00CB0452"/>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3">
    <w:name w:val="Light Shading Accent 3"/>
    <w:basedOn w:val="TableNormal"/>
    <w:uiPriority w:val="60"/>
    <w:semiHidden/>
    <w:unhideWhenUsed/>
    <w:rsid w:val="00CB0452"/>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character" w:styleId="CommentReference">
    <w:name w:val="annotation reference"/>
    <w:basedOn w:val="DefaultParagraphFont"/>
    <w:uiPriority w:val="99"/>
    <w:semiHidden/>
    <w:unhideWhenUsed/>
    <w:rsid w:val="00CB0452"/>
    <w:rPr>
      <w:sz w:val="16"/>
      <w:szCs w:val="16"/>
    </w:rPr>
  </w:style>
  <w:style w:type="paragraph" w:styleId="CommentText">
    <w:name w:val="annotation text"/>
    <w:basedOn w:val="Normal"/>
    <w:link w:val="CommentTextChar"/>
    <w:uiPriority w:val="99"/>
    <w:unhideWhenUsed/>
    <w:rsid w:val="00CB0452"/>
    <w:pPr>
      <w:spacing w:line="240" w:lineRule="auto"/>
    </w:pPr>
    <w:rPr>
      <w:szCs w:val="20"/>
    </w:rPr>
  </w:style>
  <w:style w:type="character" w:customStyle="1" w:styleId="CommentTextChar">
    <w:name w:val="Comment Text Char"/>
    <w:basedOn w:val="DefaultParagraphFont"/>
    <w:link w:val="CommentText"/>
    <w:uiPriority w:val="99"/>
    <w:rsid w:val="00CB0452"/>
    <w:rPr>
      <w:sz w:val="20"/>
      <w:szCs w:val="20"/>
    </w:rPr>
  </w:style>
  <w:style w:type="paragraph" w:styleId="CommentSubject">
    <w:name w:val="annotation subject"/>
    <w:basedOn w:val="CommentText"/>
    <w:next w:val="CommentText"/>
    <w:link w:val="CommentSubjectChar"/>
    <w:uiPriority w:val="99"/>
    <w:semiHidden/>
    <w:unhideWhenUsed/>
    <w:rsid w:val="00CB0452"/>
    <w:rPr>
      <w:b/>
      <w:bCs/>
    </w:rPr>
  </w:style>
  <w:style w:type="character" w:customStyle="1" w:styleId="CommentSubjectChar">
    <w:name w:val="Comment Subject Char"/>
    <w:basedOn w:val="CommentTextChar"/>
    <w:link w:val="CommentSubject"/>
    <w:uiPriority w:val="99"/>
    <w:semiHidden/>
    <w:rsid w:val="00CB0452"/>
    <w:rPr>
      <w:b/>
      <w:bCs/>
      <w:sz w:val="20"/>
      <w:szCs w:val="20"/>
    </w:rPr>
  </w:style>
  <w:style w:type="paragraph" w:styleId="BalloonText">
    <w:name w:val="Balloon Text"/>
    <w:basedOn w:val="Normal"/>
    <w:link w:val="BalloonTextChar"/>
    <w:uiPriority w:val="99"/>
    <w:semiHidden/>
    <w:unhideWhenUsed/>
    <w:rsid w:val="00CB045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B0452"/>
    <w:rPr>
      <w:rFonts w:ascii="Segoe UI" w:hAnsi="Segoe UI" w:cs="Segoe UI"/>
      <w:sz w:val="18"/>
      <w:szCs w:val="18"/>
    </w:rPr>
  </w:style>
  <w:style w:type="table" w:customStyle="1" w:styleId="TableGrid2">
    <w:name w:val="Table Grid2"/>
    <w:basedOn w:val="TableNormal"/>
    <w:next w:val="TableGrid"/>
    <w:uiPriority w:val="39"/>
    <w:rsid w:val="008E6892"/>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paragraph" w:styleId="ListParagraph">
    <w:name w:val="List Paragraph"/>
    <w:basedOn w:val="Normal"/>
    <w:link w:val="ListParagraphChar"/>
    <w:uiPriority w:val="34"/>
    <w:qFormat/>
    <w:rsid w:val="0001456F"/>
    <w:pPr>
      <w:ind w:left="720"/>
      <w:contextualSpacing/>
    </w:pPr>
  </w:style>
  <w:style w:type="character" w:customStyle="1" w:styleId="UnresolvedMention1">
    <w:name w:val="Unresolved Mention1"/>
    <w:basedOn w:val="DefaultParagraphFont"/>
    <w:uiPriority w:val="99"/>
    <w:semiHidden/>
    <w:unhideWhenUsed/>
    <w:rsid w:val="002C1D90"/>
    <w:rPr>
      <w:color w:val="605E5C"/>
      <w:shd w:val="clear" w:color="auto" w:fill="E1DFDD"/>
    </w:rPr>
  </w:style>
  <w:style w:type="table" w:customStyle="1" w:styleId="LightShading-Accent335">
    <w:name w:val="Light Shading - Accent 335"/>
    <w:basedOn w:val="TableNormal"/>
    <w:next w:val="LightShading-Accent3"/>
    <w:uiPriority w:val="60"/>
    <w:rsid w:val="009877EB"/>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
    <w:name w:val="No List1"/>
    <w:next w:val="NoList"/>
    <w:uiPriority w:val="99"/>
    <w:semiHidden/>
    <w:unhideWhenUsed/>
    <w:rsid w:val="00BA4876"/>
  </w:style>
  <w:style w:type="table" w:customStyle="1" w:styleId="TableGrid1">
    <w:name w:val="Table Grid1"/>
    <w:basedOn w:val="TableNormal"/>
    <w:next w:val="TableGrid"/>
    <w:uiPriority w:val="59"/>
    <w:rsid w:val="00BA48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0">
    <w:name w:val="Grid Table 5 Dark - Accent 51"/>
    <w:basedOn w:val="TableNormal"/>
    <w:next w:val="GridTable5Dark-Accent51"/>
    <w:uiPriority w:val="50"/>
    <w:rsid w:val="00BA487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
    <w:name w:val="Light Shading - Accent 3331"/>
    <w:basedOn w:val="TableNormal"/>
    <w:next w:val="LightShading-Accent3"/>
    <w:uiPriority w:val="60"/>
    <w:rsid w:val="00BA4876"/>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
    <w:name w:val="Light Shading - Accent 31"/>
    <w:basedOn w:val="TableNormal"/>
    <w:next w:val="LightShading-Accent3"/>
    <w:uiPriority w:val="60"/>
    <w:semiHidden/>
    <w:unhideWhenUsed/>
    <w:rsid w:val="00BA4876"/>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
    <w:name w:val="Table Grid21"/>
    <w:basedOn w:val="TableNormal"/>
    <w:next w:val="TableGrid"/>
    <w:uiPriority w:val="39"/>
    <w:rsid w:val="00BA4876"/>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
    <w:name w:val="Light Shading - Accent 12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
    <w:name w:val="Light Shading - Accent 12"/>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Spacing">
    <w:name w:val="No Spacing"/>
    <w:aliases w:val="Uvodna rečenica"/>
    <w:uiPriority w:val="1"/>
    <w:qFormat/>
    <w:rsid w:val="00BA4876"/>
    <w:pPr>
      <w:spacing w:after="0" w:line="240" w:lineRule="auto"/>
      <w:jc w:val="both"/>
    </w:pPr>
    <w:rPr>
      <w:b/>
      <w:color w:val="2F5496" w:themeColor="accent1" w:themeShade="BF"/>
      <w:sz w:val="20"/>
    </w:rPr>
  </w:style>
  <w:style w:type="table" w:customStyle="1" w:styleId="LightShading-Accent3351">
    <w:name w:val="Light Shading - Accent 3351"/>
    <w:basedOn w:val="TableNormal"/>
    <w:next w:val="LightShading-Accent3"/>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
    <w:name w:val="Light Shading - Accent 1221"/>
    <w:basedOn w:val="TableNormal"/>
    <w:uiPriority w:val="60"/>
    <w:rsid w:val="00BA4876"/>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paragraph" w:styleId="NormalWeb">
    <w:name w:val="Normal (Web)"/>
    <w:basedOn w:val="Normal"/>
    <w:uiPriority w:val="99"/>
    <w:semiHidden/>
    <w:unhideWhenUsed/>
    <w:rsid w:val="00BA487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ListParagraphChar">
    <w:name w:val="List Paragraph Char"/>
    <w:link w:val="ListParagraph"/>
    <w:uiPriority w:val="34"/>
    <w:locked/>
    <w:rsid w:val="00BA4876"/>
  </w:style>
  <w:style w:type="table" w:customStyle="1" w:styleId="LightShading-Accent1211">
    <w:name w:val="Light Shading - Accent 1211"/>
    <w:basedOn w:val="TableNormal"/>
    <w:uiPriority w:val="60"/>
    <w:rsid w:val="00BA4876"/>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
    <w:name w:val="List Table 6 Colorful - Accent 61"/>
    <w:basedOn w:val="TableNormal"/>
    <w:uiPriority w:val="51"/>
    <w:rsid w:val="00BA4876"/>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Hyperlink2">
    <w:name w:val="Hyperlink2"/>
    <w:basedOn w:val="DefaultParagraphFont"/>
    <w:uiPriority w:val="99"/>
    <w:rsid w:val="00BA4876"/>
    <w:rPr>
      <w:color w:val="0563C1"/>
      <w:u w:val="single"/>
    </w:rPr>
  </w:style>
  <w:style w:type="table" w:customStyle="1" w:styleId="ListTable1Light-Accent61">
    <w:name w:val="List Table 1 Light - Accent 61"/>
    <w:basedOn w:val="TableNormal"/>
    <w:uiPriority w:val="46"/>
    <w:rsid w:val="00BA4876"/>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
    <w:name w:val="Light Shading - Accent 336"/>
    <w:basedOn w:val="TableNormal"/>
    <w:uiPriority w:val="60"/>
    <w:rsid w:val="00BA4876"/>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2">
    <w:name w:val="Unresolved Mention2"/>
    <w:basedOn w:val="DefaultParagraphFont"/>
    <w:uiPriority w:val="99"/>
    <w:semiHidden/>
    <w:unhideWhenUsed/>
    <w:rsid w:val="00BA4876"/>
    <w:rPr>
      <w:color w:val="605E5C"/>
      <w:shd w:val="clear" w:color="auto" w:fill="E1DFDD"/>
    </w:rPr>
  </w:style>
  <w:style w:type="table" w:customStyle="1" w:styleId="LightShading-Accent337">
    <w:name w:val="Light Shading - Accent 337"/>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
    <w:name w:val="Light Shading - Accent 338"/>
    <w:basedOn w:val="TableNormal"/>
    <w:uiPriority w:val="60"/>
    <w:rsid w:val="001E3C08"/>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UnresolvedMention3">
    <w:name w:val="Unresolved Mention3"/>
    <w:basedOn w:val="DefaultParagraphFont"/>
    <w:uiPriority w:val="99"/>
    <w:semiHidden/>
    <w:unhideWhenUsed/>
    <w:rsid w:val="001E3C08"/>
    <w:rPr>
      <w:color w:val="605E5C"/>
      <w:shd w:val="clear" w:color="auto" w:fill="E1DFDD"/>
    </w:rPr>
  </w:style>
  <w:style w:type="table" w:customStyle="1" w:styleId="LightShading-Accent3371">
    <w:name w:val="Light Shading - Accent 337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2">
    <w:name w:val="No List2"/>
    <w:next w:val="NoList"/>
    <w:uiPriority w:val="99"/>
    <w:semiHidden/>
    <w:unhideWhenUsed/>
    <w:rsid w:val="005C34A0"/>
  </w:style>
  <w:style w:type="table" w:customStyle="1" w:styleId="TableGrid3">
    <w:name w:val="Table Grid3"/>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2">
    <w:name w:val="Grid Table 5 Dark - Accent 52"/>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2">
    <w:name w:val="Light Shading - Accent 3332"/>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2">
    <w:name w:val="Light Shading - Accent 32"/>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2">
    <w:name w:val="Table Grid22"/>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3352">
    <w:name w:val="Light Shading - Accent 3352"/>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numbering" w:customStyle="1" w:styleId="NoList11">
    <w:name w:val="No List11"/>
    <w:next w:val="NoList"/>
    <w:uiPriority w:val="99"/>
    <w:semiHidden/>
    <w:unhideWhenUsed/>
    <w:rsid w:val="005C34A0"/>
  </w:style>
  <w:style w:type="table" w:customStyle="1" w:styleId="TableGrid11">
    <w:name w:val="Table Grid11"/>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511">
    <w:name w:val="Grid Table 5 Dark - Accent 511"/>
    <w:basedOn w:val="TableNormal"/>
    <w:next w:val="GridTable5Dark-Accent51"/>
    <w:uiPriority w:val="50"/>
    <w:rsid w:val="005C34A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LightShading-Accent33311">
    <w:name w:val="Light Shading - Accent 33311"/>
    <w:basedOn w:val="TableNormal"/>
    <w:next w:val="LightShading-Accent3"/>
    <w:uiPriority w:val="60"/>
    <w:rsid w:val="005C34A0"/>
    <w:pPr>
      <w:spacing w:after="0" w:line="240" w:lineRule="auto"/>
    </w:pPr>
    <w:rPr>
      <w:rFonts w:ascii="Calibri" w:eastAsia="Calibri" w:hAnsi="Calibri" w:cs="Times New Roman"/>
      <w:color w:val="76923C"/>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11">
    <w:name w:val="Light Shading - Accent 311"/>
    <w:basedOn w:val="TableNormal"/>
    <w:next w:val="LightShading-Accent3"/>
    <w:uiPriority w:val="60"/>
    <w:semiHidden/>
    <w:unhideWhenUsed/>
    <w:rsid w:val="005C34A0"/>
    <w:pPr>
      <w:spacing w:after="0" w:line="240" w:lineRule="auto"/>
    </w:pPr>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customStyle="1" w:styleId="TableGrid211">
    <w:name w:val="Table Grid211"/>
    <w:basedOn w:val="TableNormal"/>
    <w:next w:val="TableGrid"/>
    <w:uiPriority w:val="39"/>
    <w:rsid w:val="005C34A0"/>
    <w:pPr>
      <w:spacing w:before="120" w:after="120" w:line="264" w:lineRule="auto"/>
      <w:ind w:left="115" w:right="115"/>
    </w:pPr>
    <w:rPr>
      <w:rFonts w:eastAsia="MS PGothic"/>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table" w:customStyle="1" w:styleId="LightShading-Accent1212">
    <w:name w:val="Light Shading - Accent 121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
    <w:name w:val="Light Shading - Accent 122"/>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33511">
    <w:name w:val="Light Shading - Accent 33511"/>
    <w:basedOn w:val="TableNormal"/>
    <w:next w:val="LightShading-Accent3"/>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211">
    <w:name w:val="Light Shading - Accent 12211"/>
    <w:basedOn w:val="TableNormal"/>
    <w:uiPriority w:val="60"/>
    <w:rsid w:val="005C34A0"/>
    <w:pPr>
      <w:spacing w:after="0" w:line="240"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111">
    <w:name w:val="Light Shading - Accent 12111"/>
    <w:basedOn w:val="TableNormal"/>
    <w:uiPriority w:val="60"/>
    <w:rsid w:val="005C34A0"/>
    <w:pPr>
      <w:spacing w:after="0" w:line="264" w:lineRule="auto"/>
    </w:pPr>
    <w:rPr>
      <w:rFonts w:ascii="Cambria" w:eastAsia="Calibri" w:hAnsi="Cambria" w:cs="Times New Roman"/>
      <w:color w:val="A8422A"/>
      <w:sz w:val="20"/>
      <w:szCs w:val="20"/>
      <w:lang w:val="en-GB" w:eastAsia="sr-Cyrl-CS"/>
    </w:rPr>
    <w:tblPr>
      <w:tblStyleRowBandSize w:val="1"/>
      <w:tblStyleColBandSize w:val="1"/>
      <w:tblBorders>
        <w:top w:val="single" w:sz="8" w:space="0" w:color="D16349"/>
        <w:bottom w:val="single" w:sz="8" w:space="0" w:color="D16349"/>
      </w:tblBorders>
    </w:tblPr>
    <w:tblStylePr w:type="fir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0" w:after="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stTable6Colorful-Accent610">
    <w:name w:val="List Table 6 Colorful - Accent 61"/>
    <w:basedOn w:val="TableNormal"/>
    <w:next w:val="ListTable6Colorful-Accent61"/>
    <w:uiPriority w:val="51"/>
    <w:rsid w:val="005C34A0"/>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ListTable1Light-Accent611">
    <w:name w:val="List Table 1 Light - Accent 611"/>
    <w:basedOn w:val="TableNormal"/>
    <w:uiPriority w:val="46"/>
    <w:rsid w:val="005C34A0"/>
    <w:pPr>
      <w:spacing w:after="0" w:line="240" w:lineRule="auto"/>
    </w:p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LightShading-Accent3361">
    <w:name w:val="Light Shading - Accent 336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72">
    <w:name w:val="Light Shading - Accent 3372"/>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3381">
    <w:name w:val="Light Shading - Accent 3381"/>
    <w:basedOn w:val="TableNormal"/>
    <w:uiPriority w:val="60"/>
    <w:rsid w:val="005C34A0"/>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TableGrid4">
    <w:name w:val="Table Grid4"/>
    <w:basedOn w:val="TableNormal"/>
    <w:next w:val="TableGrid"/>
    <w:uiPriority w:val="3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5C34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873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51301A"/>
    <w:rPr>
      <w:b/>
      <w:bCs/>
    </w:rPr>
  </w:style>
  <w:style w:type="table" w:customStyle="1" w:styleId="PlainTable41">
    <w:name w:val="Plain Table 41"/>
    <w:basedOn w:val="TableNormal"/>
    <w:uiPriority w:val="44"/>
    <w:rsid w:val="001901FC"/>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5Dark-Accent5">
    <w:name w:val="Grid Table 5 Dark Accent 5"/>
    <w:basedOn w:val="TableNormal"/>
    <w:uiPriority w:val="50"/>
    <w:rsid w:val="00C2610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ListTable6Colorful-Accent6">
    <w:name w:val="List Table 6 Colorful Accent 6"/>
    <w:basedOn w:val="TableNormal"/>
    <w:uiPriority w:val="51"/>
    <w:rsid w:val="00C26107"/>
    <w:pPr>
      <w:spacing w:after="0" w:line="240" w:lineRule="auto"/>
    </w:pPr>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jlqj4b">
    <w:name w:val="jlqj4b"/>
    <w:basedOn w:val="DefaultParagraphFont"/>
    <w:rsid w:val="007A529E"/>
  </w:style>
  <w:style w:type="table" w:styleId="ListTable1Light-Accent3">
    <w:name w:val="List Table 1 Light Accent 3"/>
    <w:basedOn w:val="TableNormal"/>
    <w:uiPriority w:val="46"/>
    <w:rsid w:val="006E4FB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1">
    <w:name w:val="Plain Table 411"/>
    <w:basedOn w:val="TableNormal"/>
    <w:uiPriority w:val="44"/>
    <w:rsid w:val="001E3E7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6Colorful-Accent1">
    <w:name w:val="Grid Table 6 Colorful Accent 1"/>
    <w:basedOn w:val="TableNormal"/>
    <w:uiPriority w:val="51"/>
    <w:rsid w:val="001E3E7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LightShading-Accent3382">
    <w:name w:val="Light Shading - Accent 3382"/>
    <w:basedOn w:val="TableNormal"/>
    <w:uiPriority w:val="60"/>
    <w:rsid w:val="001E3E7D"/>
    <w:pPr>
      <w:spacing w:after="0" w:line="240" w:lineRule="auto"/>
    </w:pPr>
    <w:rPr>
      <w:rFonts w:ascii="Arial" w:eastAsia="Calibri" w:hAnsi="Arial" w:cs="Times New Roman"/>
      <w:color w:val="474747"/>
      <w:sz w:val="20"/>
      <w:szCs w:val="20"/>
    </w:rPr>
    <w:tblPr>
      <w:tblStyleRowBandSize w:val="1"/>
      <w:tblStyleColBandSize w:val="1"/>
      <w:tblBorders>
        <w:top w:val="single" w:sz="8" w:space="0" w:color="9BBB59"/>
        <w:bottom w:val="single" w:sz="8" w:space="0" w:color="9BBB59"/>
      </w:tblBorders>
    </w:tblPr>
    <w:tblStylePr w:type="fir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2121">
    <w:name w:val="Light Shading - Accent 12121"/>
    <w:basedOn w:val="TableNormal"/>
    <w:uiPriority w:val="60"/>
    <w:rsid w:val="001E3E7D"/>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 w:type="table" w:customStyle="1" w:styleId="LightShading-Accent1222">
    <w:name w:val="Light Shading - Accent 1222"/>
    <w:basedOn w:val="TableNormal"/>
    <w:uiPriority w:val="60"/>
    <w:rsid w:val="001E3E7D"/>
    <w:pPr>
      <w:spacing w:after="0" w:line="264" w:lineRule="auto"/>
    </w:pPr>
    <w:rPr>
      <w:rFonts w:ascii="Cambria" w:eastAsia="Calibri" w:hAnsi="Cambria" w:cs="Times New Roman"/>
      <w:color w:val="A8422A"/>
      <w:sz w:val="20"/>
      <w:szCs w:val="20"/>
      <w:lang w:val="en-GB" w:eastAsia="sr-Cyrl-CS"/>
    </w:rPr>
    <w:tblPr>
      <w:tblStyleRowBandSize w:val="1"/>
      <w:tblStyleColBandSize w:val="1"/>
      <w:tblInd w:w="0" w:type="nil"/>
      <w:tblBorders>
        <w:top w:val="single" w:sz="8" w:space="0" w:color="D16349"/>
        <w:bottom w:val="single" w:sz="8" w:space="0" w:color="D16349"/>
      </w:tblBorders>
    </w:tblPr>
    <w:tblStylePr w:type="fir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D16349"/>
          <w:left w:val="nil"/>
          <w:bottom w:val="single" w:sz="8" w:space="0" w:color="D1634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3D8D2"/>
      </w:tcPr>
    </w:tblStylePr>
    <w:tblStylePr w:type="band1Horz">
      <w:tblPr/>
      <w:tcPr>
        <w:tcBorders>
          <w:left w:val="nil"/>
          <w:right w:val="nil"/>
          <w:insideH w:val="nil"/>
          <w:insideV w:val="nil"/>
        </w:tcBorders>
        <w:shd w:val="clear" w:color="auto" w:fill="F3D8D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2937">
      <w:bodyDiv w:val="1"/>
      <w:marLeft w:val="0"/>
      <w:marRight w:val="0"/>
      <w:marTop w:val="0"/>
      <w:marBottom w:val="0"/>
      <w:divBdr>
        <w:top w:val="none" w:sz="0" w:space="0" w:color="auto"/>
        <w:left w:val="none" w:sz="0" w:space="0" w:color="auto"/>
        <w:bottom w:val="none" w:sz="0" w:space="0" w:color="auto"/>
        <w:right w:val="none" w:sz="0" w:space="0" w:color="auto"/>
      </w:divBdr>
    </w:div>
    <w:div w:id="224491268">
      <w:bodyDiv w:val="1"/>
      <w:marLeft w:val="0"/>
      <w:marRight w:val="0"/>
      <w:marTop w:val="0"/>
      <w:marBottom w:val="0"/>
      <w:divBdr>
        <w:top w:val="none" w:sz="0" w:space="0" w:color="auto"/>
        <w:left w:val="none" w:sz="0" w:space="0" w:color="auto"/>
        <w:bottom w:val="none" w:sz="0" w:space="0" w:color="auto"/>
        <w:right w:val="none" w:sz="0" w:space="0" w:color="auto"/>
      </w:divBdr>
    </w:div>
    <w:div w:id="327100904">
      <w:bodyDiv w:val="1"/>
      <w:marLeft w:val="0"/>
      <w:marRight w:val="0"/>
      <w:marTop w:val="0"/>
      <w:marBottom w:val="0"/>
      <w:divBdr>
        <w:top w:val="none" w:sz="0" w:space="0" w:color="auto"/>
        <w:left w:val="none" w:sz="0" w:space="0" w:color="auto"/>
        <w:bottom w:val="none" w:sz="0" w:space="0" w:color="auto"/>
        <w:right w:val="none" w:sz="0" w:space="0" w:color="auto"/>
      </w:divBdr>
    </w:div>
    <w:div w:id="347099079">
      <w:bodyDiv w:val="1"/>
      <w:marLeft w:val="0"/>
      <w:marRight w:val="0"/>
      <w:marTop w:val="0"/>
      <w:marBottom w:val="0"/>
      <w:divBdr>
        <w:top w:val="none" w:sz="0" w:space="0" w:color="auto"/>
        <w:left w:val="none" w:sz="0" w:space="0" w:color="auto"/>
        <w:bottom w:val="none" w:sz="0" w:space="0" w:color="auto"/>
        <w:right w:val="none" w:sz="0" w:space="0" w:color="auto"/>
      </w:divBdr>
    </w:div>
    <w:div w:id="405343483">
      <w:bodyDiv w:val="1"/>
      <w:marLeft w:val="0"/>
      <w:marRight w:val="0"/>
      <w:marTop w:val="0"/>
      <w:marBottom w:val="0"/>
      <w:divBdr>
        <w:top w:val="none" w:sz="0" w:space="0" w:color="auto"/>
        <w:left w:val="none" w:sz="0" w:space="0" w:color="auto"/>
        <w:bottom w:val="none" w:sz="0" w:space="0" w:color="auto"/>
        <w:right w:val="none" w:sz="0" w:space="0" w:color="auto"/>
      </w:divBdr>
    </w:div>
    <w:div w:id="496309330">
      <w:bodyDiv w:val="1"/>
      <w:marLeft w:val="0"/>
      <w:marRight w:val="0"/>
      <w:marTop w:val="0"/>
      <w:marBottom w:val="0"/>
      <w:divBdr>
        <w:top w:val="none" w:sz="0" w:space="0" w:color="auto"/>
        <w:left w:val="none" w:sz="0" w:space="0" w:color="auto"/>
        <w:bottom w:val="none" w:sz="0" w:space="0" w:color="auto"/>
        <w:right w:val="none" w:sz="0" w:space="0" w:color="auto"/>
      </w:divBdr>
    </w:div>
    <w:div w:id="496505828">
      <w:bodyDiv w:val="1"/>
      <w:marLeft w:val="0"/>
      <w:marRight w:val="0"/>
      <w:marTop w:val="0"/>
      <w:marBottom w:val="0"/>
      <w:divBdr>
        <w:top w:val="none" w:sz="0" w:space="0" w:color="auto"/>
        <w:left w:val="none" w:sz="0" w:space="0" w:color="auto"/>
        <w:bottom w:val="none" w:sz="0" w:space="0" w:color="auto"/>
        <w:right w:val="none" w:sz="0" w:space="0" w:color="auto"/>
      </w:divBdr>
    </w:div>
    <w:div w:id="707607753">
      <w:bodyDiv w:val="1"/>
      <w:marLeft w:val="0"/>
      <w:marRight w:val="0"/>
      <w:marTop w:val="0"/>
      <w:marBottom w:val="0"/>
      <w:divBdr>
        <w:top w:val="none" w:sz="0" w:space="0" w:color="auto"/>
        <w:left w:val="none" w:sz="0" w:space="0" w:color="auto"/>
        <w:bottom w:val="none" w:sz="0" w:space="0" w:color="auto"/>
        <w:right w:val="none" w:sz="0" w:space="0" w:color="auto"/>
      </w:divBdr>
    </w:div>
    <w:div w:id="758334793">
      <w:bodyDiv w:val="1"/>
      <w:marLeft w:val="0"/>
      <w:marRight w:val="0"/>
      <w:marTop w:val="0"/>
      <w:marBottom w:val="0"/>
      <w:divBdr>
        <w:top w:val="none" w:sz="0" w:space="0" w:color="auto"/>
        <w:left w:val="none" w:sz="0" w:space="0" w:color="auto"/>
        <w:bottom w:val="none" w:sz="0" w:space="0" w:color="auto"/>
        <w:right w:val="none" w:sz="0" w:space="0" w:color="auto"/>
      </w:divBdr>
    </w:div>
    <w:div w:id="815489490">
      <w:bodyDiv w:val="1"/>
      <w:marLeft w:val="0"/>
      <w:marRight w:val="0"/>
      <w:marTop w:val="0"/>
      <w:marBottom w:val="0"/>
      <w:divBdr>
        <w:top w:val="none" w:sz="0" w:space="0" w:color="auto"/>
        <w:left w:val="none" w:sz="0" w:space="0" w:color="auto"/>
        <w:bottom w:val="none" w:sz="0" w:space="0" w:color="auto"/>
        <w:right w:val="none" w:sz="0" w:space="0" w:color="auto"/>
      </w:divBdr>
    </w:div>
    <w:div w:id="988559316">
      <w:bodyDiv w:val="1"/>
      <w:marLeft w:val="0"/>
      <w:marRight w:val="0"/>
      <w:marTop w:val="0"/>
      <w:marBottom w:val="0"/>
      <w:divBdr>
        <w:top w:val="none" w:sz="0" w:space="0" w:color="auto"/>
        <w:left w:val="none" w:sz="0" w:space="0" w:color="auto"/>
        <w:bottom w:val="none" w:sz="0" w:space="0" w:color="auto"/>
        <w:right w:val="none" w:sz="0" w:space="0" w:color="auto"/>
      </w:divBdr>
    </w:div>
    <w:div w:id="1221474541">
      <w:bodyDiv w:val="1"/>
      <w:marLeft w:val="0"/>
      <w:marRight w:val="0"/>
      <w:marTop w:val="0"/>
      <w:marBottom w:val="0"/>
      <w:divBdr>
        <w:top w:val="none" w:sz="0" w:space="0" w:color="auto"/>
        <w:left w:val="none" w:sz="0" w:space="0" w:color="auto"/>
        <w:bottom w:val="none" w:sz="0" w:space="0" w:color="auto"/>
        <w:right w:val="none" w:sz="0" w:space="0" w:color="auto"/>
      </w:divBdr>
    </w:div>
    <w:div w:id="1241981220">
      <w:bodyDiv w:val="1"/>
      <w:marLeft w:val="0"/>
      <w:marRight w:val="0"/>
      <w:marTop w:val="0"/>
      <w:marBottom w:val="0"/>
      <w:divBdr>
        <w:top w:val="none" w:sz="0" w:space="0" w:color="auto"/>
        <w:left w:val="none" w:sz="0" w:space="0" w:color="auto"/>
        <w:bottom w:val="none" w:sz="0" w:space="0" w:color="auto"/>
        <w:right w:val="none" w:sz="0" w:space="0" w:color="auto"/>
      </w:divBdr>
    </w:div>
    <w:div w:id="1285890058">
      <w:bodyDiv w:val="1"/>
      <w:marLeft w:val="0"/>
      <w:marRight w:val="0"/>
      <w:marTop w:val="0"/>
      <w:marBottom w:val="0"/>
      <w:divBdr>
        <w:top w:val="none" w:sz="0" w:space="0" w:color="auto"/>
        <w:left w:val="none" w:sz="0" w:space="0" w:color="auto"/>
        <w:bottom w:val="none" w:sz="0" w:space="0" w:color="auto"/>
        <w:right w:val="none" w:sz="0" w:space="0" w:color="auto"/>
      </w:divBdr>
    </w:div>
    <w:div w:id="1579943587">
      <w:bodyDiv w:val="1"/>
      <w:marLeft w:val="0"/>
      <w:marRight w:val="0"/>
      <w:marTop w:val="0"/>
      <w:marBottom w:val="0"/>
      <w:divBdr>
        <w:top w:val="none" w:sz="0" w:space="0" w:color="auto"/>
        <w:left w:val="none" w:sz="0" w:space="0" w:color="auto"/>
        <w:bottom w:val="none" w:sz="0" w:space="0" w:color="auto"/>
        <w:right w:val="none" w:sz="0" w:space="0" w:color="auto"/>
      </w:divBdr>
    </w:div>
    <w:div w:id="1613324982">
      <w:bodyDiv w:val="1"/>
      <w:marLeft w:val="0"/>
      <w:marRight w:val="0"/>
      <w:marTop w:val="0"/>
      <w:marBottom w:val="0"/>
      <w:divBdr>
        <w:top w:val="none" w:sz="0" w:space="0" w:color="auto"/>
        <w:left w:val="none" w:sz="0" w:space="0" w:color="auto"/>
        <w:bottom w:val="none" w:sz="0" w:space="0" w:color="auto"/>
        <w:right w:val="none" w:sz="0" w:space="0" w:color="auto"/>
      </w:divBdr>
    </w:div>
    <w:div w:id="1678337853">
      <w:bodyDiv w:val="1"/>
      <w:marLeft w:val="0"/>
      <w:marRight w:val="0"/>
      <w:marTop w:val="0"/>
      <w:marBottom w:val="0"/>
      <w:divBdr>
        <w:top w:val="none" w:sz="0" w:space="0" w:color="auto"/>
        <w:left w:val="none" w:sz="0" w:space="0" w:color="auto"/>
        <w:bottom w:val="none" w:sz="0" w:space="0" w:color="auto"/>
        <w:right w:val="none" w:sz="0" w:space="0" w:color="auto"/>
      </w:divBdr>
    </w:div>
    <w:div w:id="1697268533">
      <w:bodyDiv w:val="1"/>
      <w:marLeft w:val="0"/>
      <w:marRight w:val="0"/>
      <w:marTop w:val="0"/>
      <w:marBottom w:val="0"/>
      <w:divBdr>
        <w:top w:val="none" w:sz="0" w:space="0" w:color="auto"/>
        <w:left w:val="none" w:sz="0" w:space="0" w:color="auto"/>
        <w:bottom w:val="none" w:sz="0" w:space="0" w:color="auto"/>
        <w:right w:val="none" w:sz="0" w:space="0" w:color="auto"/>
      </w:divBdr>
    </w:div>
    <w:div w:id="1741367302">
      <w:bodyDiv w:val="1"/>
      <w:marLeft w:val="0"/>
      <w:marRight w:val="0"/>
      <w:marTop w:val="0"/>
      <w:marBottom w:val="0"/>
      <w:divBdr>
        <w:top w:val="none" w:sz="0" w:space="0" w:color="auto"/>
        <w:left w:val="none" w:sz="0" w:space="0" w:color="auto"/>
        <w:bottom w:val="none" w:sz="0" w:space="0" w:color="auto"/>
        <w:right w:val="none" w:sz="0" w:space="0" w:color="auto"/>
      </w:divBdr>
    </w:div>
    <w:div w:id="1750691447">
      <w:bodyDiv w:val="1"/>
      <w:marLeft w:val="0"/>
      <w:marRight w:val="0"/>
      <w:marTop w:val="0"/>
      <w:marBottom w:val="0"/>
      <w:divBdr>
        <w:top w:val="none" w:sz="0" w:space="0" w:color="auto"/>
        <w:left w:val="none" w:sz="0" w:space="0" w:color="auto"/>
        <w:bottom w:val="none" w:sz="0" w:space="0" w:color="auto"/>
        <w:right w:val="none" w:sz="0" w:space="0" w:color="auto"/>
      </w:divBdr>
    </w:div>
    <w:div w:id="1980568835">
      <w:bodyDiv w:val="1"/>
      <w:marLeft w:val="0"/>
      <w:marRight w:val="0"/>
      <w:marTop w:val="0"/>
      <w:marBottom w:val="0"/>
      <w:divBdr>
        <w:top w:val="none" w:sz="0" w:space="0" w:color="auto"/>
        <w:left w:val="none" w:sz="0" w:space="0" w:color="auto"/>
        <w:bottom w:val="none" w:sz="0" w:space="0" w:color="auto"/>
        <w:right w:val="none" w:sz="0" w:space="0" w:color="auto"/>
      </w:divBdr>
    </w:div>
    <w:div w:id="2078817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eader" Target="header27.xml"/><Relationship Id="rId21" Type="http://schemas.openxmlformats.org/officeDocument/2006/relationships/header" Target="header4.xml"/><Relationship Id="rId42" Type="http://schemas.openxmlformats.org/officeDocument/2006/relationships/chart" Target="charts/chart23.xml"/><Relationship Id="rId63" Type="http://schemas.openxmlformats.org/officeDocument/2006/relationships/chart" Target="charts/chart38.xml"/><Relationship Id="rId84" Type="http://schemas.openxmlformats.org/officeDocument/2006/relationships/header" Target="header11.xml"/><Relationship Id="rId138" Type="http://schemas.openxmlformats.org/officeDocument/2006/relationships/footer" Target="footer34.xml"/><Relationship Id="rId159" Type="http://schemas.openxmlformats.org/officeDocument/2006/relationships/chart" Target="charts/chart71.xml"/><Relationship Id="rId170" Type="http://schemas.openxmlformats.org/officeDocument/2006/relationships/fontTable" Target="fontTable.xml"/><Relationship Id="rId107" Type="http://schemas.openxmlformats.org/officeDocument/2006/relationships/header" Target="header21.xml"/><Relationship Id="rId11" Type="http://schemas.openxmlformats.org/officeDocument/2006/relationships/header" Target="header1.xml"/><Relationship Id="rId32" Type="http://schemas.openxmlformats.org/officeDocument/2006/relationships/chart" Target="charts/chart13.xml"/><Relationship Id="rId53" Type="http://schemas.openxmlformats.org/officeDocument/2006/relationships/chart" Target="charts/chart33.xml"/><Relationship Id="rId74" Type="http://schemas.openxmlformats.org/officeDocument/2006/relationships/chart" Target="charts/chart44.xml"/><Relationship Id="rId128" Type="http://schemas.openxmlformats.org/officeDocument/2006/relationships/header" Target="header30.xml"/><Relationship Id="rId149" Type="http://schemas.openxmlformats.org/officeDocument/2006/relationships/header" Target="header37.xml"/><Relationship Id="rId5" Type="http://schemas.openxmlformats.org/officeDocument/2006/relationships/webSettings" Target="webSettings.xml"/><Relationship Id="rId95" Type="http://schemas.openxmlformats.org/officeDocument/2006/relationships/footer" Target="footer18.xml"/><Relationship Id="rId160" Type="http://schemas.openxmlformats.org/officeDocument/2006/relationships/chart" Target="charts/chart72.xml"/><Relationship Id="rId22" Type="http://schemas.openxmlformats.org/officeDocument/2006/relationships/footer" Target="footer5.xml"/><Relationship Id="rId43" Type="http://schemas.openxmlformats.org/officeDocument/2006/relationships/chart" Target="charts/chart24.xml"/><Relationship Id="rId64" Type="http://schemas.openxmlformats.org/officeDocument/2006/relationships/footer" Target="footer9.xml"/><Relationship Id="rId118" Type="http://schemas.openxmlformats.org/officeDocument/2006/relationships/chart" Target="charts/chart51.xml"/><Relationship Id="rId139" Type="http://schemas.openxmlformats.org/officeDocument/2006/relationships/header" Target="header35.xml"/><Relationship Id="rId85" Type="http://schemas.openxmlformats.org/officeDocument/2006/relationships/footer" Target="footer13.xml"/><Relationship Id="rId150" Type="http://schemas.openxmlformats.org/officeDocument/2006/relationships/chart" Target="charts/chart62.xml"/><Relationship Id="rId171" Type="http://schemas.openxmlformats.org/officeDocument/2006/relationships/theme" Target="theme/theme1.xml"/><Relationship Id="rId12" Type="http://schemas.openxmlformats.org/officeDocument/2006/relationships/header" Target="header2.xml"/><Relationship Id="rId33" Type="http://schemas.openxmlformats.org/officeDocument/2006/relationships/chart" Target="charts/chart14.xml"/><Relationship Id="rId108" Type="http://schemas.openxmlformats.org/officeDocument/2006/relationships/header" Target="header22.xml"/><Relationship Id="rId129" Type="http://schemas.openxmlformats.org/officeDocument/2006/relationships/image" Target="media/image7.png"/><Relationship Id="rId54" Type="http://schemas.openxmlformats.org/officeDocument/2006/relationships/chart" Target="charts/chart34.xml"/><Relationship Id="rId70" Type="http://schemas.openxmlformats.org/officeDocument/2006/relationships/chart" Target="charts/chart40.xml"/><Relationship Id="rId75" Type="http://schemas.openxmlformats.org/officeDocument/2006/relationships/chart" Target="charts/chart45.xml"/><Relationship Id="rId91" Type="http://schemas.openxmlformats.org/officeDocument/2006/relationships/footer" Target="footer16.xml"/><Relationship Id="rId96" Type="http://schemas.openxmlformats.org/officeDocument/2006/relationships/header" Target="header16.xml"/><Relationship Id="rId140" Type="http://schemas.openxmlformats.org/officeDocument/2006/relationships/chart" Target="charts/chart56.xml"/><Relationship Id="rId145" Type="http://schemas.openxmlformats.org/officeDocument/2006/relationships/chart" Target="charts/chart61.xml"/><Relationship Id="rId161" Type="http://schemas.openxmlformats.org/officeDocument/2006/relationships/chart" Target="charts/chart73.xml"/><Relationship Id="rId166" Type="http://schemas.openxmlformats.org/officeDocument/2006/relationships/footer" Target="footer37.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6.xml"/><Relationship Id="rId28" Type="http://schemas.openxmlformats.org/officeDocument/2006/relationships/chart" Target="charts/chart9.xml"/><Relationship Id="rId49" Type="http://schemas.openxmlformats.org/officeDocument/2006/relationships/chart" Target="charts/chart29.xml"/><Relationship Id="rId114" Type="http://schemas.openxmlformats.org/officeDocument/2006/relationships/header" Target="header26.xml"/><Relationship Id="rId119" Type="http://schemas.openxmlformats.org/officeDocument/2006/relationships/chart" Target="charts/chart52.xml"/><Relationship Id="rId44" Type="http://schemas.openxmlformats.org/officeDocument/2006/relationships/chart" Target="charts/chart25.xml"/><Relationship Id="rId60" Type="http://schemas.openxmlformats.org/officeDocument/2006/relationships/header" Target="header7.xml"/><Relationship Id="rId65" Type="http://schemas.openxmlformats.org/officeDocument/2006/relationships/footer" Target="footer10.xml"/><Relationship Id="rId81" Type="http://schemas.openxmlformats.org/officeDocument/2006/relationships/header" Target="header10.xml"/><Relationship Id="rId86" Type="http://schemas.openxmlformats.org/officeDocument/2006/relationships/footer" Target="footer14.xml"/><Relationship Id="rId130" Type="http://schemas.openxmlformats.org/officeDocument/2006/relationships/chart" Target="charts/chart55.xml"/><Relationship Id="rId135" Type="http://schemas.openxmlformats.org/officeDocument/2006/relationships/header" Target="header33.xml"/><Relationship Id="rId151" Type="http://schemas.openxmlformats.org/officeDocument/2006/relationships/chart" Target="charts/chart63.xml"/><Relationship Id="rId156" Type="http://schemas.openxmlformats.org/officeDocument/2006/relationships/chart" Target="charts/chart68.xml"/><Relationship Id="rId13" Type="http://schemas.openxmlformats.org/officeDocument/2006/relationships/footer" Target="footer3.xml"/><Relationship Id="rId18" Type="http://schemas.openxmlformats.org/officeDocument/2006/relationships/chart" Target="charts/chart3.xml"/><Relationship Id="rId39" Type="http://schemas.openxmlformats.org/officeDocument/2006/relationships/chart" Target="charts/chart20.xml"/><Relationship Id="rId109" Type="http://schemas.openxmlformats.org/officeDocument/2006/relationships/header" Target="header23.xml"/><Relationship Id="rId34" Type="http://schemas.openxmlformats.org/officeDocument/2006/relationships/chart" Target="charts/chart15.xml"/><Relationship Id="rId50" Type="http://schemas.openxmlformats.org/officeDocument/2006/relationships/chart" Target="charts/chart30.xml"/><Relationship Id="rId55" Type="http://schemas.openxmlformats.org/officeDocument/2006/relationships/chart" Target="charts/chart35.xml"/><Relationship Id="rId76" Type="http://schemas.openxmlformats.org/officeDocument/2006/relationships/chart" Target="charts/chart46.xml"/><Relationship Id="rId97" Type="http://schemas.openxmlformats.org/officeDocument/2006/relationships/header" Target="header17.xml"/><Relationship Id="rId104" Type="http://schemas.openxmlformats.org/officeDocument/2006/relationships/header" Target="header20.xml"/><Relationship Id="rId120" Type="http://schemas.openxmlformats.org/officeDocument/2006/relationships/chart" Target="charts/chart53.xml"/><Relationship Id="rId125" Type="http://schemas.openxmlformats.org/officeDocument/2006/relationships/footer" Target="footer29.xml"/><Relationship Id="rId141" Type="http://schemas.openxmlformats.org/officeDocument/2006/relationships/chart" Target="charts/chart57.xml"/><Relationship Id="rId146" Type="http://schemas.openxmlformats.org/officeDocument/2006/relationships/header" Target="header36.xml"/><Relationship Id="rId167" Type="http://schemas.openxmlformats.org/officeDocument/2006/relationships/footer" Target="footer38.xml"/><Relationship Id="rId7" Type="http://schemas.openxmlformats.org/officeDocument/2006/relationships/endnotes" Target="endnotes.xml"/><Relationship Id="rId71" Type="http://schemas.openxmlformats.org/officeDocument/2006/relationships/chart" Target="charts/chart41.xml"/><Relationship Id="rId92" Type="http://schemas.openxmlformats.org/officeDocument/2006/relationships/header" Target="header14.xml"/><Relationship Id="rId162" Type="http://schemas.openxmlformats.org/officeDocument/2006/relationships/chart" Target="charts/chart74.xml"/><Relationship Id="rId2" Type="http://schemas.openxmlformats.org/officeDocument/2006/relationships/numbering" Target="numbering.xml"/><Relationship Id="rId29" Type="http://schemas.openxmlformats.org/officeDocument/2006/relationships/chart" Target="charts/chart10.xml"/><Relationship Id="rId24" Type="http://schemas.openxmlformats.org/officeDocument/2006/relationships/chart" Target="charts/chart5.xml"/><Relationship Id="rId40" Type="http://schemas.openxmlformats.org/officeDocument/2006/relationships/chart" Target="charts/chart21.xml"/><Relationship Id="rId45" Type="http://schemas.openxmlformats.org/officeDocument/2006/relationships/chart" Target="charts/chart26.xml"/><Relationship Id="rId66" Type="http://schemas.openxmlformats.org/officeDocument/2006/relationships/image" Target="media/image3.png"/><Relationship Id="rId87" Type="http://schemas.openxmlformats.org/officeDocument/2006/relationships/header" Target="header12.xml"/><Relationship Id="rId110" Type="http://schemas.openxmlformats.org/officeDocument/2006/relationships/footer" Target="footer23.xml"/><Relationship Id="rId115" Type="http://schemas.openxmlformats.org/officeDocument/2006/relationships/footer" Target="footer25.xml"/><Relationship Id="rId131" Type="http://schemas.openxmlformats.org/officeDocument/2006/relationships/header" Target="header31.xml"/><Relationship Id="rId136" Type="http://schemas.openxmlformats.org/officeDocument/2006/relationships/header" Target="header34.xml"/><Relationship Id="rId157" Type="http://schemas.openxmlformats.org/officeDocument/2006/relationships/chart" Target="charts/chart69.xml"/><Relationship Id="rId61" Type="http://schemas.openxmlformats.org/officeDocument/2006/relationships/chart" Target="charts/chart36.xml"/><Relationship Id="rId82" Type="http://schemas.openxmlformats.org/officeDocument/2006/relationships/chart" Target="charts/chart47.xml"/><Relationship Id="rId152" Type="http://schemas.openxmlformats.org/officeDocument/2006/relationships/chart" Target="charts/chart64.xml"/><Relationship Id="rId19" Type="http://schemas.openxmlformats.org/officeDocument/2006/relationships/chart" Target="charts/chart4.xml"/><Relationship Id="rId14" Type="http://schemas.openxmlformats.org/officeDocument/2006/relationships/footer" Target="footer4.xml"/><Relationship Id="rId30" Type="http://schemas.openxmlformats.org/officeDocument/2006/relationships/chart" Target="charts/chart11.xml"/><Relationship Id="rId35" Type="http://schemas.openxmlformats.org/officeDocument/2006/relationships/chart" Target="charts/chart16.xml"/><Relationship Id="rId56" Type="http://schemas.openxmlformats.org/officeDocument/2006/relationships/header" Target="header5.xml"/><Relationship Id="rId77" Type="http://schemas.openxmlformats.org/officeDocument/2006/relationships/header" Target="header8.xml"/><Relationship Id="rId100" Type="http://schemas.openxmlformats.org/officeDocument/2006/relationships/header" Target="header18.xml"/><Relationship Id="rId105" Type="http://schemas.openxmlformats.org/officeDocument/2006/relationships/footer" Target="footer21.xml"/><Relationship Id="rId126" Type="http://schemas.openxmlformats.org/officeDocument/2006/relationships/footer" Target="footer30.xml"/><Relationship Id="rId147" Type="http://schemas.openxmlformats.org/officeDocument/2006/relationships/footer" Target="footer35.xml"/><Relationship Id="rId168" Type="http://schemas.openxmlformats.org/officeDocument/2006/relationships/header" Target="header39.xml"/><Relationship Id="rId8" Type="http://schemas.openxmlformats.org/officeDocument/2006/relationships/footer" Target="footer1.xml"/><Relationship Id="rId51" Type="http://schemas.openxmlformats.org/officeDocument/2006/relationships/chart" Target="charts/chart31.xml"/><Relationship Id="rId72" Type="http://schemas.openxmlformats.org/officeDocument/2006/relationships/chart" Target="charts/chart42.xml"/><Relationship Id="rId93" Type="http://schemas.openxmlformats.org/officeDocument/2006/relationships/header" Target="header15.xml"/><Relationship Id="rId98" Type="http://schemas.openxmlformats.org/officeDocument/2006/relationships/footer" Target="footer19.xml"/><Relationship Id="rId121" Type="http://schemas.openxmlformats.org/officeDocument/2006/relationships/footer" Target="footer27.xml"/><Relationship Id="rId142" Type="http://schemas.openxmlformats.org/officeDocument/2006/relationships/chart" Target="charts/chart58.xml"/><Relationship Id="rId163" Type="http://schemas.openxmlformats.org/officeDocument/2006/relationships/chart" Target="charts/chart75.xml"/><Relationship Id="rId3" Type="http://schemas.openxmlformats.org/officeDocument/2006/relationships/styles" Target="styles.xml"/><Relationship Id="rId25" Type="http://schemas.openxmlformats.org/officeDocument/2006/relationships/chart" Target="charts/chart6.xml"/><Relationship Id="rId46" Type="http://schemas.openxmlformats.org/officeDocument/2006/relationships/chart" Target="charts/chart27.xml"/><Relationship Id="rId67" Type="http://schemas.openxmlformats.org/officeDocument/2006/relationships/image" Target="media/image4.emf"/><Relationship Id="rId116" Type="http://schemas.openxmlformats.org/officeDocument/2006/relationships/footer" Target="footer26.xml"/><Relationship Id="rId137" Type="http://schemas.openxmlformats.org/officeDocument/2006/relationships/footer" Target="footer33.xml"/><Relationship Id="rId158" Type="http://schemas.openxmlformats.org/officeDocument/2006/relationships/chart" Target="charts/chart70.xml"/><Relationship Id="rId20" Type="http://schemas.openxmlformats.org/officeDocument/2006/relationships/header" Target="header3.xml"/><Relationship Id="rId41" Type="http://schemas.openxmlformats.org/officeDocument/2006/relationships/chart" Target="charts/chart22.xml"/><Relationship Id="rId62" Type="http://schemas.openxmlformats.org/officeDocument/2006/relationships/chart" Target="charts/chart37.xml"/><Relationship Id="rId83" Type="http://schemas.openxmlformats.org/officeDocument/2006/relationships/chart" Target="charts/chart48.xml"/><Relationship Id="rId88" Type="http://schemas.openxmlformats.org/officeDocument/2006/relationships/chart" Target="charts/chart49.xml"/><Relationship Id="rId111" Type="http://schemas.openxmlformats.org/officeDocument/2006/relationships/footer" Target="footer24.xml"/><Relationship Id="rId132" Type="http://schemas.openxmlformats.org/officeDocument/2006/relationships/header" Target="header32.xml"/><Relationship Id="rId153" Type="http://schemas.openxmlformats.org/officeDocument/2006/relationships/chart" Target="charts/chart65.xml"/><Relationship Id="rId15" Type="http://schemas.openxmlformats.org/officeDocument/2006/relationships/chart" Target="charts/chart1.xml"/><Relationship Id="rId36" Type="http://schemas.openxmlformats.org/officeDocument/2006/relationships/chart" Target="charts/chart17.xml"/><Relationship Id="rId57" Type="http://schemas.openxmlformats.org/officeDocument/2006/relationships/header" Target="header6.xml"/><Relationship Id="rId106" Type="http://schemas.openxmlformats.org/officeDocument/2006/relationships/footer" Target="footer22.xml"/><Relationship Id="rId127" Type="http://schemas.openxmlformats.org/officeDocument/2006/relationships/header" Target="header29.xml"/><Relationship Id="rId10" Type="http://schemas.openxmlformats.org/officeDocument/2006/relationships/image" Target="media/image1.gif"/><Relationship Id="rId31" Type="http://schemas.openxmlformats.org/officeDocument/2006/relationships/chart" Target="charts/chart12.xml"/><Relationship Id="rId52" Type="http://schemas.openxmlformats.org/officeDocument/2006/relationships/chart" Target="charts/chart32.xml"/><Relationship Id="rId73" Type="http://schemas.openxmlformats.org/officeDocument/2006/relationships/chart" Target="charts/chart43.xml"/><Relationship Id="rId78" Type="http://schemas.openxmlformats.org/officeDocument/2006/relationships/header" Target="header9.xml"/><Relationship Id="rId94" Type="http://schemas.openxmlformats.org/officeDocument/2006/relationships/footer" Target="footer17.xml"/><Relationship Id="rId99" Type="http://schemas.openxmlformats.org/officeDocument/2006/relationships/footer" Target="footer20.xml"/><Relationship Id="rId101" Type="http://schemas.openxmlformats.org/officeDocument/2006/relationships/chart" Target="charts/chart50.xml"/><Relationship Id="rId122" Type="http://schemas.openxmlformats.org/officeDocument/2006/relationships/footer" Target="footer28.xml"/><Relationship Id="rId143" Type="http://schemas.openxmlformats.org/officeDocument/2006/relationships/chart" Target="charts/chart59.xml"/><Relationship Id="rId148" Type="http://schemas.openxmlformats.org/officeDocument/2006/relationships/footer" Target="footer36.xml"/><Relationship Id="rId164" Type="http://schemas.openxmlformats.org/officeDocument/2006/relationships/chart" Target="charts/chart76.xml"/><Relationship Id="rId169" Type="http://schemas.openxmlformats.org/officeDocument/2006/relationships/footer" Target="footer39.xm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chart" Target="charts/chart7.xml"/><Relationship Id="rId47" Type="http://schemas.openxmlformats.org/officeDocument/2006/relationships/chart" Target="charts/chart28.xml"/><Relationship Id="rId68" Type="http://schemas.openxmlformats.org/officeDocument/2006/relationships/image" Target="media/image5.emf"/><Relationship Id="rId89" Type="http://schemas.openxmlformats.org/officeDocument/2006/relationships/header" Target="header13.xml"/><Relationship Id="rId112" Type="http://schemas.openxmlformats.org/officeDocument/2006/relationships/header" Target="header24.xml"/><Relationship Id="rId133" Type="http://schemas.openxmlformats.org/officeDocument/2006/relationships/footer" Target="footer31.xml"/><Relationship Id="rId154" Type="http://schemas.openxmlformats.org/officeDocument/2006/relationships/chart" Target="charts/chart66.xml"/><Relationship Id="rId16" Type="http://schemas.openxmlformats.org/officeDocument/2006/relationships/image" Target="media/image1.png"/><Relationship Id="rId37" Type="http://schemas.openxmlformats.org/officeDocument/2006/relationships/chart" Target="charts/chart18.xml"/><Relationship Id="rId58" Type="http://schemas.openxmlformats.org/officeDocument/2006/relationships/footer" Target="footer7.xml"/><Relationship Id="rId79" Type="http://schemas.openxmlformats.org/officeDocument/2006/relationships/footer" Target="footer11.xml"/><Relationship Id="rId102" Type="http://schemas.openxmlformats.org/officeDocument/2006/relationships/image" Target="media/image6.png"/><Relationship Id="rId123" Type="http://schemas.openxmlformats.org/officeDocument/2006/relationships/header" Target="header28.xml"/><Relationship Id="rId144" Type="http://schemas.openxmlformats.org/officeDocument/2006/relationships/chart" Target="charts/chart60.xml"/><Relationship Id="rId90" Type="http://schemas.openxmlformats.org/officeDocument/2006/relationships/footer" Target="footer15.xml"/><Relationship Id="rId165" Type="http://schemas.openxmlformats.org/officeDocument/2006/relationships/header" Target="header38.xml"/><Relationship Id="rId27" Type="http://schemas.openxmlformats.org/officeDocument/2006/relationships/chart" Target="charts/chart8.xml"/><Relationship Id="rId48" Type="http://schemas.openxmlformats.org/officeDocument/2006/relationships/image" Target="media/image2.png"/><Relationship Id="rId69" Type="http://schemas.openxmlformats.org/officeDocument/2006/relationships/chart" Target="charts/chart39.xml"/><Relationship Id="rId113" Type="http://schemas.openxmlformats.org/officeDocument/2006/relationships/header" Target="header25.xml"/><Relationship Id="rId134" Type="http://schemas.openxmlformats.org/officeDocument/2006/relationships/footer" Target="footer32.xml"/><Relationship Id="rId80" Type="http://schemas.openxmlformats.org/officeDocument/2006/relationships/footer" Target="footer12.xml"/><Relationship Id="rId155" Type="http://schemas.openxmlformats.org/officeDocument/2006/relationships/chart" Target="charts/chart67.xml"/><Relationship Id="rId17" Type="http://schemas.openxmlformats.org/officeDocument/2006/relationships/chart" Target="charts/chart2.xml"/><Relationship Id="rId38" Type="http://schemas.openxmlformats.org/officeDocument/2006/relationships/chart" Target="charts/chart19.xml"/><Relationship Id="rId59" Type="http://schemas.openxmlformats.org/officeDocument/2006/relationships/footer" Target="footer8.xml"/><Relationship Id="rId103" Type="http://schemas.openxmlformats.org/officeDocument/2006/relationships/header" Target="header19.xml"/><Relationship Id="rId124" Type="http://schemas.openxmlformats.org/officeDocument/2006/relationships/chart" Target="charts/chart54.xml"/></Relationships>
</file>

<file path=word/_rels/footnotes.xml.rels><?xml version="1.0" encoding="UTF-8" standalone="yes"?>
<Relationships xmlns="http://schemas.openxmlformats.org/package/2006/relationships"><Relationship Id="rId2" Type="http://schemas.openxmlformats.org/officeDocument/2006/relationships/hyperlink" Target="http://www.mfin.gov.rs/pages/article.php?id=8626" TargetMode="External"/><Relationship Id="rId1" Type="http://schemas.openxmlformats.org/officeDocument/2006/relationships/hyperlink" Target="https://www.mfin.gov.rs//upload/media/ZzkTpV_601696edb3a9a.pdf"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7.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8.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9.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10.xml"/><Relationship Id="rId2" Type="http://schemas.openxmlformats.org/officeDocument/2006/relationships/oleObject" Target="file:///C:\Users\jovana.djeric\Dropbox\Makro%20sektor\FISKALNA%20STRATEGIJA%202022-2024\Makro%20radni%20fajlovi\GRAFIKONI_MAKRO_apr21.xlsx"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3" Type="http://schemas.openxmlformats.org/officeDocument/2006/relationships/chartUserShapes" Target="../drawings/drawing11.xml"/><Relationship Id="rId2" Type="http://schemas.openxmlformats.org/officeDocument/2006/relationships/oleObject" Target="file:///C:\Users\jovana.djeric\Dropbox\Makro%20sektor\FISKALNA%20STRATEGIJA%202022-2024\Makro%20radni%20fajlovi\GRAFIKONI_MAKRO_apr21.xlsx" TargetMode="External"/><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C:\Users\rade.ciric\Dropbox\Makro%20sektor\FISKALNA%20STRATEGIJA%202022-2024\Makro%20radni%20fajlovi\GRAFIKONI_MAKRO_apr21.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5.xml"/><Relationship Id="rId1" Type="http://schemas.microsoft.com/office/2011/relationships/chartStyle" Target="style15.xml"/><Relationship Id="rId5" Type="http://schemas.openxmlformats.org/officeDocument/2006/relationships/chartUserShapes" Target="../drawings/drawing12.xml"/><Relationship Id="rId4" Type="http://schemas.openxmlformats.org/officeDocument/2006/relationships/oleObject" Target="file:///C:\Users\rade.ciric\Dropbox\Makro%20sektor\FISKALNA%20STRATEGIJA%202022-2024\Makro%20radni%20fajlovi\GRAFIKONI_MAKRO_apr21.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C:\Users\rade.ciric\Dropbox\Makro%20sektor\Sajt%20tabele%20i%20prezentacije\PREZENTACIJE\Makro\Grafikoni%20za%20prezentaciju%20-%20MAKRO\2.%20BDP.xlsx" TargetMode="External"/><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4.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25.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6.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24.xml"/><Relationship Id="rId1" Type="http://schemas.microsoft.com/office/2011/relationships/chartStyle" Target="style24.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29.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27.xml"/><Relationship Id="rId1" Type="http://schemas.microsoft.com/office/2011/relationships/chartStyle" Target="style27.xml"/><Relationship Id="rId4" Type="http://schemas.openxmlformats.org/officeDocument/2006/relationships/oleObject" Target="../embeddings/oleObject1.bin"/></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28.xml"/><Relationship Id="rId1" Type="http://schemas.microsoft.com/office/2011/relationships/chartStyle" Target="style28.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29.xml"/><Relationship Id="rId1" Type="http://schemas.microsoft.com/office/2011/relationships/chartStyle" Target="style29.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33.xml"/><Relationship Id="rId2" Type="http://schemas.microsoft.com/office/2011/relationships/chartColorStyle" Target="colors30.xml"/><Relationship Id="rId1" Type="http://schemas.microsoft.com/office/2011/relationships/chartStyle" Target="style30.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4.xml"/><Relationship Id="rId2" Type="http://schemas.microsoft.com/office/2011/relationships/chartColorStyle" Target="colors31.xml"/><Relationship Id="rId1" Type="http://schemas.microsoft.com/office/2011/relationships/chartStyle" Target="style31.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oleObject" Target="file:///C:\Users\rade.ciric\Desktop\Copy%20of%20BDP%20i%20industrija_graf%20(003).xlsx" TargetMode="External"/></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33.xml"/><Relationship Id="rId1" Type="http://schemas.microsoft.com/office/2011/relationships/chartStyle" Target="style33.xml"/><Relationship Id="rId5" Type="http://schemas.openxmlformats.org/officeDocument/2006/relationships/chartUserShapes" Target="../drawings/drawing13.xml"/><Relationship Id="rId4" Type="http://schemas.openxmlformats.org/officeDocument/2006/relationships/oleObject" Target="file:///C:\Users\rade.ciric\Dropbox\Makro%20sektor\FISKALNA%20STRATEGIJA%202022-2024\Makro%20radni%20fajlovi\GRAFIKONI_MAKRO_apr21.xlsx" TargetMode="External"/></Relationships>
</file>

<file path=word/charts/_rels/chart37.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34.xml"/><Relationship Id="rId1" Type="http://schemas.microsoft.com/office/2011/relationships/chartStyle" Target="style34.xml"/><Relationship Id="rId5" Type="http://schemas.openxmlformats.org/officeDocument/2006/relationships/chartUserShapes" Target="../drawings/drawing14.xml"/><Relationship Id="rId4" Type="http://schemas.openxmlformats.org/officeDocument/2006/relationships/oleObject" Target="file:///C:\Users\rade.ciric\Dropbox\Makro%20sektor\FISKALNA%20STRATEGIJA%202022-2024\Makro%20radni%20fajlovi\GRAFIKONI_MAKRO_apr21.xlsx" TargetMode="External"/></Relationships>
</file>

<file path=word/charts/_rels/chart38.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35.xml"/><Relationship Id="rId1" Type="http://schemas.microsoft.com/office/2011/relationships/chartStyle" Target="style35.xml"/><Relationship Id="rId5" Type="http://schemas.openxmlformats.org/officeDocument/2006/relationships/chartUserShapes" Target="../drawings/drawing15.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36.xml"/><Relationship Id="rId1" Type="http://schemas.microsoft.com/office/2011/relationships/chartStyle" Target="style36.xml"/><Relationship Id="rId5" Type="http://schemas.openxmlformats.org/officeDocument/2006/relationships/chartUserShapes" Target="../drawings/drawing16.xml"/><Relationship Id="rId4" Type="http://schemas.openxmlformats.org/officeDocument/2006/relationships/oleObject" Target="file:///C:\Users\marko.lisica\Dropbox\Makro%20sektor\FISKALNA%20STRATEGIJA%202022-2024\Makro%20radni%20fajlovi\GRAFIKONI_MAKRO_apr2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7.xml"/><Relationship Id="rId1" Type="http://schemas.microsoft.com/office/2011/relationships/chartStyle" Target="style37.xml"/><Relationship Id="rId4" Type="http://schemas.openxmlformats.org/officeDocument/2006/relationships/oleObject" Target="file:///C:\Users\marko.lisica\Dropbox\Makro%20sektor\FISKALNA%20STRATEGIJA%202022-2024\Makro%20radni%20fajlovi\GRAFIKONI_MAKRO_apr21.xlsx" TargetMode="External"/></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41.xml"/><Relationship Id="rId2" Type="http://schemas.microsoft.com/office/2011/relationships/chartColorStyle" Target="colors38.xml"/><Relationship Id="rId1" Type="http://schemas.microsoft.com/office/2011/relationships/chartStyle" Target="style38.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42.xml"/><Relationship Id="rId2" Type="http://schemas.microsoft.com/office/2011/relationships/chartColorStyle" Target="colors39.xml"/><Relationship Id="rId1" Type="http://schemas.microsoft.com/office/2011/relationships/chartStyle" Target="style39.xml"/><Relationship Id="rId5" Type="http://schemas.openxmlformats.org/officeDocument/2006/relationships/chartUserShapes" Target="../drawings/drawing17.xml"/><Relationship Id="rId4" Type="http://schemas.openxmlformats.org/officeDocument/2006/relationships/oleObject" Target="file:///C:\Users\marko.lisica\Dropbox\Makro%20sektor\FISKALNA%20STRATEGIJA%202022-2024\Makro%20radni%20fajlovi\GRAFIKONI_MAKRO_apr21.xlsx" TargetMode="External"/></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43.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oleObject" Target="file:///C:\Users\marko.lisica\Dropbox\Makro%20sektor\FISKALNA%20STRATEGIJA%202022-2024\Makro%20radni%20fajlovi\GRAFIKONI_MAKRO_apr21.xlsx" TargetMode="External"/></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4.xml"/><Relationship Id="rId2" Type="http://schemas.microsoft.com/office/2011/relationships/chartColorStyle" Target="colors41.xml"/><Relationship Id="rId1" Type="http://schemas.microsoft.com/office/2011/relationships/chartStyle" Target="style41.xml"/><Relationship Id="rId5" Type="http://schemas.openxmlformats.org/officeDocument/2006/relationships/chartUserShapes" Target="../drawings/drawing18.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5.xml.rels><?xml version="1.0" encoding="UTF-8" standalone="yes"?>
<Relationships xmlns="http://schemas.openxmlformats.org/package/2006/relationships"><Relationship Id="rId3" Type="http://schemas.openxmlformats.org/officeDocument/2006/relationships/themeOverride" Target="../theme/themeOverride45.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teodora.poledica\Dropbox\Makro%20sektor\FISKALNA%20STRATEGIJA%202022-2024\Makro%20radni%20fajlovi\GRAFIKONI_MAKRO_apr21.xlsx" TargetMode="External"/></Relationships>
</file>

<file path=word/charts/_rels/chart47.xml.rels><?xml version="1.0" encoding="UTF-8" standalone="yes"?>
<Relationships xmlns="http://schemas.openxmlformats.org/package/2006/relationships"><Relationship Id="rId3" Type="http://schemas.openxmlformats.org/officeDocument/2006/relationships/themeOverride" Target="../theme/themeOverride46.xml"/><Relationship Id="rId2" Type="http://schemas.microsoft.com/office/2011/relationships/chartColorStyle" Target="colors43.xml"/><Relationship Id="rId1" Type="http://schemas.microsoft.com/office/2011/relationships/chartStyle" Target="style43.xml"/><Relationship Id="rId5" Type="http://schemas.openxmlformats.org/officeDocument/2006/relationships/chartUserShapes" Target="../drawings/drawing19.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8.xml.rels><?xml version="1.0" encoding="UTF-8" standalone="yes"?>
<Relationships xmlns="http://schemas.openxmlformats.org/package/2006/relationships"><Relationship Id="rId3" Type="http://schemas.openxmlformats.org/officeDocument/2006/relationships/themeOverride" Target="../theme/themeOverride47.xml"/><Relationship Id="rId2" Type="http://schemas.microsoft.com/office/2011/relationships/chartColorStyle" Target="colors44.xml"/><Relationship Id="rId1" Type="http://schemas.microsoft.com/office/2011/relationships/chartStyle" Target="style44.xml"/><Relationship Id="rId5" Type="http://schemas.openxmlformats.org/officeDocument/2006/relationships/chartUserShapes" Target="../drawings/drawing20.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49.xml.rels><?xml version="1.0" encoding="UTF-8" standalone="yes"?>
<Relationships xmlns="http://schemas.openxmlformats.org/package/2006/relationships"><Relationship Id="rId2" Type="http://schemas.openxmlformats.org/officeDocument/2006/relationships/oleObject" Target="file:///C:\Users\rade.ciric\Dropbox\Makro%20sektor\FISKALNA%20STRATEGIJA%202022-2024\Makro%20radni%20fajlovi\GRAFIKONI_MAKRO_apr21.xlsx" TargetMode="External"/><Relationship Id="rId1" Type="http://schemas.openxmlformats.org/officeDocument/2006/relationships/themeOverride" Target="../theme/themeOverride48.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9.xml"/><Relationship Id="rId2" Type="http://schemas.microsoft.com/office/2011/relationships/chartColorStyle" Target="colors45.xml"/><Relationship Id="rId1" Type="http://schemas.microsoft.com/office/2011/relationships/chartStyle" Target="style45.xml"/><Relationship Id="rId4" Type="http://schemas.openxmlformats.org/officeDocument/2006/relationships/oleObject" Target="file:///C:\Users\vladimir.malbasic\Desktop\Za%20bazu-%20GFS,%20SS%20bs%20,%20MMF%20table\GFS%20CONSOLIDATION_za%20analizu%20radni%20fajl-2080mq1.xlsx" TargetMode="External"/></Relationships>
</file>

<file path=word/charts/_rels/chart51.xml.rels><?xml version="1.0" encoding="UTF-8" standalone="yes"?>
<Relationships xmlns="http://schemas.openxmlformats.org/package/2006/relationships"><Relationship Id="rId3" Type="http://schemas.openxmlformats.org/officeDocument/2006/relationships/themeOverride" Target="../theme/themeOverride50.xml"/><Relationship Id="rId2" Type="http://schemas.microsoft.com/office/2011/relationships/chartColorStyle" Target="colors46.xml"/><Relationship Id="rId1" Type="http://schemas.microsoft.com/office/2011/relationships/chartStyle" Target="style46.xml"/><Relationship Id="rId4" Type="http://schemas.openxmlformats.org/officeDocument/2006/relationships/package" Target="../embeddings/Microsoft_Excel_Worksheet.xlsx"/></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51.xml"/><Relationship Id="rId2" Type="http://schemas.microsoft.com/office/2011/relationships/chartColorStyle" Target="colors47.xml"/><Relationship Id="rId1" Type="http://schemas.microsoft.com/office/2011/relationships/chartStyle" Target="style47.xml"/><Relationship Id="rId5" Type="http://schemas.openxmlformats.org/officeDocument/2006/relationships/chartUserShapes" Target="../drawings/drawing21.xml"/><Relationship Id="rId4" Type="http://schemas.openxmlformats.org/officeDocument/2006/relationships/oleObject" Target="file:///C:\Users\valentina.osmajlic\Dropbox\Makro%20sektor\FISKALNA%20STRATEGIJA%202022-2024\Fiskal%20radni%20fajlovi\S0%202020.xlsx" TargetMode="Externa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48.xml"/><Relationship Id="rId1" Type="http://schemas.microsoft.com/office/2011/relationships/chartStyle" Target="style48.xml"/><Relationship Id="rId4" Type="http://schemas.openxmlformats.org/officeDocument/2006/relationships/chartUserShapes" Target="../drawings/drawing22.xml"/></Relationships>
</file>

<file path=word/charts/_rels/chart54.xml.rels><?xml version="1.0" encoding="UTF-8" standalone="yes"?>
<Relationships xmlns="http://schemas.openxmlformats.org/package/2006/relationships"><Relationship Id="rId2" Type="http://schemas.openxmlformats.org/officeDocument/2006/relationships/chartUserShapes" Target="../drawings/drawing23.xml"/><Relationship Id="rId1" Type="http://schemas.openxmlformats.org/officeDocument/2006/relationships/package" Target="../embeddings/Microsoft_Excel_Worksheet2.xlsx"/></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9.xml"/><Relationship Id="rId1" Type="http://schemas.microsoft.com/office/2011/relationships/chartStyle" Target="style49.xml"/></Relationships>
</file>

<file path=word/charts/_rels/chart56.xml.rels><?xml version="1.0" encoding="UTF-8" standalone="yes"?>
<Relationships xmlns="http://schemas.openxmlformats.org/package/2006/relationships"><Relationship Id="rId3" Type="http://schemas.openxmlformats.org/officeDocument/2006/relationships/themeOverride" Target="../theme/themeOverride52.xml"/><Relationship Id="rId2" Type="http://schemas.microsoft.com/office/2011/relationships/chartColorStyle" Target="colors50.xml"/><Relationship Id="rId1" Type="http://schemas.microsoft.com/office/2011/relationships/chartStyle" Target="style50.xml"/><Relationship Id="rId5" Type="http://schemas.openxmlformats.org/officeDocument/2006/relationships/chartUserShapes" Target="../drawings/drawing24.xml"/><Relationship Id="rId4" Type="http://schemas.openxmlformats.org/officeDocument/2006/relationships/oleObject" Target="file:///C:\Users\vladimir.malbasic\Dropbox\Makro%20sektor\FISKALNA%20STRATEGIJA%202022-2024\Fiskal%20radni%20fajlovi\Grafikoni%20ciklicnog%20deficita,%20poreske%20elasticnosti%20i%20osetljivost%20balansa%20april%202021.xlsx" TargetMode="External"/></Relationships>
</file>

<file path=word/charts/_rels/chart57.xml.rels><?xml version="1.0" encoding="UTF-8" standalone="yes"?>
<Relationships xmlns="http://schemas.openxmlformats.org/package/2006/relationships"><Relationship Id="rId3" Type="http://schemas.openxmlformats.org/officeDocument/2006/relationships/themeOverride" Target="../theme/themeOverride53.xml"/><Relationship Id="rId2" Type="http://schemas.microsoft.com/office/2011/relationships/chartColorStyle" Target="colors51.xml"/><Relationship Id="rId1" Type="http://schemas.microsoft.com/office/2011/relationships/chartStyle" Target="style51.xml"/><Relationship Id="rId5" Type="http://schemas.openxmlformats.org/officeDocument/2006/relationships/chartUserShapes" Target="../drawings/drawing25.xml"/><Relationship Id="rId4" Type="http://schemas.openxmlformats.org/officeDocument/2006/relationships/oleObject" Target="file:///C:\Users\vladimir.malbasic\Dropbox\Makro%20sektor\FISKALNA%20STRATEGIJA%202022-2024\Fiskal%20radni%20fajlovi\Grafikoni%20ciklicnog%20deficita,%20poreske%20elasticnosti%20i%20osetljivost%20balansa%20april%202021.xlsx" TargetMode="External"/></Relationships>
</file>

<file path=word/charts/_rels/chart58.xml.rels><?xml version="1.0" encoding="UTF-8" standalone="yes"?>
<Relationships xmlns="http://schemas.openxmlformats.org/package/2006/relationships"><Relationship Id="rId3" Type="http://schemas.openxmlformats.org/officeDocument/2006/relationships/themeOverride" Target="../theme/themeOverride54.xml"/><Relationship Id="rId2" Type="http://schemas.microsoft.com/office/2011/relationships/chartColorStyle" Target="colors52.xml"/><Relationship Id="rId1" Type="http://schemas.microsoft.com/office/2011/relationships/chartStyle" Target="style52.xml"/><Relationship Id="rId5" Type="http://schemas.openxmlformats.org/officeDocument/2006/relationships/chartUserShapes" Target="../drawings/drawing26.xml"/><Relationship Id="rId4" Type="http://schemas.openxmlformats.org/officeDocument/2006/relationships/oleObject" Target="file:///C:\Users\vladimir.malbasic\Dropbox\Makro%20sektor\FISKALNA%20STRATEGIJA%202022-2024\Fiskal%20radni%20fajlovi\Grafikoni%20ciklicnog%20deficita,%20poreske%20elasticnosti%20i%20osetljivost%20balansa%20april%202021.xlsx" TargetMode="External"/></Relationships>
</file>

<file path=word/charts/_rels/chart59.xml.rels><?xml version="1.0" encoding="UTF-8" standalone="yes"?>
<Relationships xmlns="http://schemas.openxmlformats.org/package/2006/relationships"><Relationship Id="rId3" Type="http://schemas.openxmlformats.org/officeDocument/2006/relationships/themeOverride" Target="../theme/themeOverride55.xml"/><Relationship Id="rId2" Type="http://schemas.microsoft.com/office/2011/relationships/chartColorStyle" Target="colors53.xml"/><Relationship Id="rId1" Type="http://schemas.microsoft.com/office/2011/relationships/chartStyle" Target="style53.xml"/><Relationship Id="rId4" Type="http://schemas.openxmlformats.org/officeDocument/2006/relationships/oleObject" Target="file:///C:\Users\vladimir.malbasic\Dropbox\Makro%20sektor\FISKALNA%20STRATEGIJA%202022-2024\Fiskal%20radni%20fajlovi\Scenarija%20javni%20dug%20fiskalno%20prilagodjavanje.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3.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60.xml.rels><?xml version="1.0" encoding="UTF-8" standalone="yes"?>
<Relationships xmlns="http://schemas.openxmlformats.org/package/2006/relationships"><Relationship Id="rId3" Type="http://schemas.openxmlformats.org/officeDocument/2006/relationships/themeOverride" Target="../theme/themeOverride56.xm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oleObject" Target="file:///C:\Users\vladimir.malbasic\Desktop\Za%20bazu-%20GFS,%20SS%20bs%20,%20MMF%20table\GFS%20CONSOLIDATION_za%20analizu%20radni%20fajl-2080mq1.xlsx" TargetMode="External"/></Relationships>
</file>

<file path=word/charts/_rels/chart61.xml.rels><?xml version="1.0" encoding="UTF-8" standalone="yes"?>
<Relationships xmlns="http://schemas.openxmlformats.org/package/2006/relationships"><Relationship Id="rId3" Type="http://schemas.openxmlformats.org/officeDocument/2006/relationships/themeOverride" Target="../theme/themeOverride57.xml"/><Relationship Id="rId2" Type="http://schemas.microsoft.com/office/2011/relationships/chartColorStyle" Target="colors55.xml"/><Relationship Id="rId1" Type="http://schemas.microsoft.com/office/2011/relationships/chartStyle" Target="style55.xml"/><Relationship Id="rId5" Type="http://schemas.openxmlformats.org/officeDocument/2006/relationships/chartUserShapes" Target="../drawings/drawing27.xml"/><Relationship Id="rId4" Type="http://schemas.openxmlformats.org/officeDocument/2006/relationships/oleObject" Target="file:///C:\Users\vladimir.malbasic\Dropbox\Makro%20sektor\FISKALNA%20STRATEGIJA%202022-2024\Fiskal%20radni%20fajlovi\Scenarija%20javni%20dug%20fiskalno%20prilagodjavanje.xlsx" TargetMode="Externa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8.xml"/></Relationships>
</file>

<file path=word/charts/_rels/chart63.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59.xml"/></Relationships>
</file>

<file path=word/charts/_rels/chart64.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60.xml"/></Relationships>
</file>

<file path=word/charts/_rels/chart65.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61.xml"/></Relationships>
</file>

<file path=word/charts/_rels/chart66.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62.xml"/></Relationships>
</file>

<file path=word/charts/_rels/chart67.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3.xml"/></Relationships>
</file>

<file path=word/charts/_rels/chart68.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64.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65.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4.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66.xml"/></Relationships>
</file>

<file path=word/charts/_rels/chart7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67.xml"/></Relationships>
</file>

<file path=word/charts/_rels/chart72.xml.rels><?xml version="1.0" encoding="UTF-8" standalone="yes"?>
<Relationships xmlns="http://schemas.openxmlformats.org/package/2006/relationships"><Relationship Id="rId2" Type="http://schemas.openxmlformats.org/officeDocument/2006/relationships/oleObject" Target="file:///C:\Users\milena\Desktop\MTDS%202021-2024%20&#1074;1.xlsm" TargetMode="External"/><Relationship Id="rId1" Type="http://schemas.openxmlformats.org/officeDocument/2006/relationships/themeOverride" Target="../theme/themeOverride68.xml"/></Relationships>
</file>

<file path=word/charts/_rels/chart73.xml.rels><?xml version="1.0" encoding="UTF-8" standalone="yes"?>
<Relationships xmlns="http://schemas.openxmlformats.org/package/2006/relationships"><Relationship Id="rId2" Type="http://schemas.openxmlformats.org/officeDocument/2006/relationships/oleObject" Target="file:///C:\Users\milena\Desktop\MTDS%202021-2024%20&#1074;1.xlsm" TargetMode="External"/><Relationship Id="rId1" Type="http://schemas.openxmlformats.org/officeDocument/2006/relationships/themeOverride" Target="../theme/themeOverride69.xm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70.xml"/><Relationship Id="rId2" Type="http://schemas.microsoft.com/office/2011/relationships/chartColorStyle" Target="colors56.xml"/><Relationship Id="rId1" Type="http://schemas.microsoft.com/office/2011/relationships/chartStyle" Target="style56.xml"/><Relationship Id="rId4" Type="http://schemas.openxmlformats.org/officeDocument/2006/relationships/oleObject" Target="file:///C:\Users\Oliver\Desktop\STRATEGIJA%202022-2024\STRAT2022-2024.xlsx" TargetMode="External"/></Relationships>
</file>

<file path=word/charts/_rels/chart75.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71.xml"/></Relationships>
</file>

<file path=word/charts/_rels/chart76.xml.rels><?xml version="1.0" encoding="UTF-8" standalone="yes"?>
<Relationships xmlns="http://schemas.openxmlformats.org/package/2006/relationships"><Relationship Id="rId3" Type="http://schemas.openxmlformats.org/officeDocument/2006/relationships/themeOverride" Target="../theme/themeOverride72.xml"/><Relationship Id="rId2" Type="http://schemas.microsoft.com/office/2011/relationships/chartColorStyle" Target="colors57.xml"/><Relationship Id="rId1" Type="http://schemas.microsoft.com/office/2011/relationships/chartStyle" Target="style57.xml"/><Relationship Id="rId4" Type="http://schemas.openxmlformats.org/officeDocument/2006/relationships/oleObject" Target="file:///C:\Users\Dragana%20Tesic\Desktop\Grafikoni%20Strategija.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5.xml"/><Relationship Id="rId4" Type="http://schemas.openxmlformats.org/officeDocument/2006/relationships/oleObject" Target="file:///C:\Users\jovana.djeric\Dropbox\Makro%20sektor\FISKALNA%20STRATEGIJA%202022-2024\Makro%20radni%20fajlovi\GRAFIKONI_MAKRO_apr2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6.xml"/><Relationship Id="rId4" Type="http://schemas.openxmlformats.org/officeDocument/2006/relationships/oleObject" Target="file:///C:\Users\jovana.djeric\Dropbox\Makro%20sektor\FISKALNA%20STRATEGIJA%202022-2024\Makro%20radni%20fajlovi\GRAFIKONI_MAKRO_apr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5979221347331585E-2"/>
          <c:y val="5.0925925925925923E-2"/>
          <c:w val="0.91179855643044616"/>
          <c:h val="0.55948245614035086"/>
        </c:manualLayout>
      </c:layout>
      <c:barChart>
        <c:barDir val="col"/>
        <c:grouping val="stacked"/>
        <c:varyColors val="0"/>
        <c:ser>
          <c:idx val="0"/>
          <c:order val="0"/>
          <c:tx>
            <c:strRef>
              <c:f>'WEO_ekon. rast'!$B$25</c:f>
              <c:strCache>
                <c:ptCount val="1"/>
                <c:pt idx="0">
                  <c:v>Развијене економије искључујући САД и ЕУ</c:v>
                </c:pt>
              </c:strCache>
            </c:strRef>
          </c:tx>
          <c:spPr>
            <a:solidFill>
              <a:srgbClr val="10103C"/>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rast'!$F$25:$L$25</c:f>
              <c:numCache>
                <c:formatCode>0.00</c:formatCode>
                <c:ptCount val="7"/>
                <c:pt idx="0">
                  <c:v>0.16228106000000003</c:v>
                </c:pt>
                <c:pt idx="1">
                  <c:v>9.5266599999999868E-2</c:v>
                </c:pt>
                <c:pt idx="2">
                  <c:v>-0.53040160000000014</c:v>
                </c:pt>
                <c:pt idx="3">
                  <c:v>0.50386953000000001</c:v>
                </c:pt>
                <c:pt idx="4">
                  <c:v>0.38445106000000018</c:v>
                </c:pt>
                <c:pt idx="5">
                  <c:v>0.18612847000000002</c:v>
                </c:pt>
                <c:pt idx="6">
                  <c:v>0.15514799000000004</c:v>
                </c:pt>
              </c:numCache>
            </c:numRef>
          </c:val>
          <c:extLst>
            <c:ext xmlns:c16="http://schemas.microsoft.com/office/drawing/2014/chart" uri="{C3380CC4-5D6E-409C-BE32-E72D297353CC}">
              <c16:uniqueId val="{00000000-6FE1-4F21-A0C5-5B8664FD149B}"/>
            </c:ext>
          </c:extLst>
        </c:ser>
        <c:ser>
          <c:idx val="1"/>
          <c:order val="1"/>
          <c:tx>
            <c:strRef>
              <c:f>'WEO_ekon. rast'!$B$26</c:f>
              <c:strCache>
                <c:ptCount val="1"/>
                <c:pt idx="0">
                  <c:v>САД</c:v>
                </c:pt>
              </c:strCache>
            </c:strRef>
          </c:tx>
          <c:spPr>
            <a:solidFill>
              <a:srgbClr val="2A489A"/>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rast'!$F$26:$L$26</c:f>
              <c:numCache>
                <c:formatCode>0.00</c:formatCode>
                <c:ptCount val="7"/>
                <c:pt idx="0">
                  <c:v>0.47898053999999995</c:v>
                </c:pt>
                <c:pt idx="1">
                  <c:v>0.34364222</c:v>
                </c:pt>
                <c:pt idx="2">
                  <c:v>-0.55729499999999998</c:v>
                </c:pt>
                <c:pt idx="3">
                  <c:v>1.0200357799999999</c:v>
                </c:pt>
                <c:pt idx="4">
                  <c:v>0.55677599999999994</c:v>
                </c:pt>
                <c:pt idx="5">
                  <c:v>0.21887429999999999</c:v>
                </c:pt>
                <c:pt idx="6">
                  <c:v>0.22577844999999999</c:v>
                </c:pt>
              </c:numCache>
            </c:numRef>
          </c:val>
          <c:extLst>
            <c:ext xmlns:c16="http://schemas.microsoft.com/office/drawing/2014/chart" uri="{C3380CC4-5D6E-409C-BE32-E72D297353CC}">
              <c16:uniqueId val="{00000001-6FE1-4F21-A0C5-5B8664FD149B}"/>
            </c:ext>
          </c:extLst>
        </c:ser>
        <c:ser>
          <c:idx val="2"/>
          <c:order val="2"/>
          <c:tx>
            <c:strRef>
              <c:f>'WEO_ekon. rast'!$B$27</c:f>
              <c:strCache>
                <c:ptCount val="1"/>
                <c:pt idx="0">
                  <c:v>ЕУ</c:v>
                </c:pt>
              </c:strCache>
            </c:strRef>
          </c:tx>
          <c:spPr>
            <a:solidFill>
              <a:srgbClr val="2183C4"/>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rast'!$F$27:$L$27</c:f>
              <c:numCache>
                <c:formatCode>0.00</c:formatCode>
                <c:ptCount val="7"/>
                <c:pt idx="0">
                  <c:v>0.36034239999999995</c:v>
                </c:pt>
                <c:pt idx="1">
                  <c:v>0.26711832000000002</c:v>
                </c:pt>
                <c:pt idx="2">
                  <c:v>-0.91542265999999994</c:v>
                </c:pt>
                <c:pt idx="3">
                  <c:v>0.64303540000000003</c:v>
                </c:pt>
                <c:pt idx="4">
                  <c:v>0.57774397999999993</c:v>
                </c:pt>
                <c:pt idx="5">
                  <c:v>0.32927228999999997</c:v>
                </c:pt>
                <c:pt idx="6">
                  <c:v>0.27266286000000001</c:v>
                </c:pt>
              </c:numCache>
            </c:numRef>
          </c:val>
          <c:extLst>
            <c:ext xmlns:c16="http://schemas.microsoft.com/office/drawing/2014/chart" uri="{C3380CC4-5D6E-409C-BE32-E72D297353CC}">
              <c16:uniqueId val="{00000002-6FE1-4F21-A0C5-5B8664FD149B}"/>
            </c:ext>
          </c:extLst>
        </c:ser>
        <c:ser>
          <c:idx val="3"/>
          <c:order val="3"/>
          <c:tx>
            <c:strRef>
              <c:f>'WEO_ekon. rast'!$B$28</c:f>
              <c:strCache>
                <c:ptCount val="1"/>
                <c:pt idx="0">
                  <c:v>Земље у успону Азијског континента без Кине</c:v>
                </c:pt>
              </c:strCache>
            </c:strRef>
          </c:tx>
          <c:spPr>
            <a:solidFill>
              <a:srgbClr val="51BBE7"/>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rast'!$F$28:$L$28</c:f>
              <c:numCache>
                <c:formatCode>0.00</c:formatCode>
                <c:ptCount val="7"/>
                <c:pt idx="0">
                  <c:v>0.83884175000000005</c:v>
                </c:pt>
                <c:pt idx="1">
                  <c:v>0.65257999000000022</c:v>
                </c:pt>
                <c:pt idx="2">
                  <c:v>-0.74620341999999995</c:v>
                </c:pt>
                <c:pt idx="3">
                  <c:v>1.2398299100000001</c:v>
                </c:pt>
                <c:pt idx="4">
                  <c:v>0.93698546999999976</c:v>
                </c:pt>
                <c:pt idx="5">
                  <c:v>0.93462866999999972</c:v>
                </c:pt>
                <c:pt idx="6">
                  <c:v>0.93647650000000016</c:v>
                </c:pt>
              </c:numCache>
            </c:numRef>
          </c:val>
          <c:extLst>
            <c:ext xmlns:c16="http://schemas.microsoft.com/office/drawing/2014/chart" uri="{C3380CC4-5D6E-409C-BE32-E72D297353CC}">
              <c16:uniqueId val="{00000003-6FE1-4F21-A0C5-5B8664FD149B}"/>
            </c:ext>
          </c:extLst>
        </c:ser>
        <c:ser>
          <c:idx val="4"/>
          <c:order val="4"/>
          <c:tx>
            <c:strRef>
              <c:f>'WEO_ekon. rast'!$B$29</c:f>
              <c:strCache>
                <c:ptCount val="1"/>
                <c:pt idx="0">
                  <c:v>Кина</c:v>
                </c:pt>
              </c:strCache>
            </c:strRef>
          </c:tx>
          <c:spPr>
            <a:solidFill>
              <a:srgbClr val="90CAE2"/>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rast'!$F$29:$L$29</c:f>
              <c:numCache>
                <c:formatCode>0.00</c:formatCode>
                <c:ptCount val="7"/>
                <c:pt idx="0">
                  <c:v>1.1291947499999999</c:v>
                </c:pt>
                <c:pt idx="1">
                  <c:v>1.0074970999999999</c:v>
                </c:pt>
                <c:pt idx="2">
                  <c:v>0.41627259999999999</c:v>
                </c:pt>
                <c:pt idx="3">
                  <c:v>1.5842154900000001</c:v>
                </c:pt>
                <c:pt idx="4">
                  <c:v>1.05855834</c:v>
                </c:pt>
                <c:pt idx="5">
                  <c:v>1.0525008900000001</c:v>
                </c:pt>
                <c:pt idx="6">
                  <c:v>1.0395192199999999</c:v>
                </c:pt>
              </c:numCache>
            </c:numRef>
          </c:val>
          <c:extLst>
            <c:ext xmlns:c16="http://schemas.microsoft.com/office/drawing/2014/chart" uri="{C3380CC4-5D6E-409C-BE32-E72D297353CC}">
              <c16:uniqueId val="{00000004-6FE1-4F21-A0C5-5B8664FD149B}"/>
            </c:ext>
          </c:extLst>
        </c:ser>
        <c:ser>
          <c:idx val="5"/>
          <c:order val="5"/>
          <c:tx>
            <c:strRef>
              <c:f>'WEO_ekon. rast'!$B$30</c:f>
              <c:strCache>
                <c:ptCount val="1"/>
                <c:pt idx="0">
                  <c:v>Остале земље у успону</c:v>
                </c:pt>
              </c:strCache>
            </c:strRef>
          </c:tx>
          <c:spPr>
            <a:solidFill>
              <a:srgbClr val="C9E4EB"/>
            </a:solidFill>
            <a:ln>
              <a:noFill/>
            </a:ln>
            <a:effectLst/>
          </c:spPr>
          <c:invertIfNegative val="0"/>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rast'!$F$30:$L$30</c:f>
              <c:numCache>
                <c:formatCode>0.00</c:formatCode>
                <c:ptCount val="7"/>
                <c:pt idx="0">
                  <c:v>0.59835950000000038</c:v>
                </c:pt>
                <c:pt idx="1">
                  <c:v>0.39789576999999943</c:v>
                </c:pt>
                <c:pt idx="2">
                  <c:v>-0.93394991999999988</c:v>
                </c:pt>
                <c:pt idx="3">
                  <c:v>1.0350138900000001</c:v>
                </c:pt>
                <c:pt idx="4">
                  <c:v>0.90048514999999973</c:v>
                </c:pt>
                <c:pt idx="5">
                  <c:v>0.79159537999999996</c:v>
                </c:pt>
                <c:pt idx="6">
                  <c:v>0.74441498000000017</c:v>
                </c:pt>
              </c:numCache>
            </c:numRef>
          </c:val>
          <c:extLst>
            <c:ext xmlns:c16="http://schemas.microsoft.com/office/drawing/2014/chart" uri="{C3380CC4-5D6E-409C-BE32-E72D297353CC}">
              <c16:uniqueId val="{00000005-6FE1-4F21-A0C5-5B8664FD149B}"/>
            </c:ext>
          </c:extLst>
        </c:ser>
        <c:dLbls>
          <c:showLegendKey val="0"/>
          <c:showVal val="0"/>
          <c:showCatName val="0"/>
          <c:showSerName val="0"/>
          <c:showPercent val="0"/>
          <c:showBubbleSize val="0"/>
        </c:dLbls>
        <c:gapWidth val="30"/>
        <c:overlap val="100"/>
        <c:axId val="1642271680"/>
        <c:axId val="1642274400"/>
      </c:barChart>
      <c:lineChart>
        <c:grouping val="standard"/>
        <c:varyColors val="0"/>
        <c:ser>
          <c:idx val="6"/>
          <c:order val="6"/>
          <c:tx>
            <c:strRef>
              <c:f>'WEO_ekon. rast'!$B$31</c:f>
              <c:strCache>
                <c:ptCount val="1"/>
                <c:pt idx="0">
                  <c:v>Светски раст</c:v>
                </c:pt>
              </c:strCache>
            </c:strRef>
          </c:tx>
          <c:spPr>
            <a:ln w="25400" cap="rnd">
              <a:solidFill>
                <a:srgbClr val="FF0000"/>
              </a:solidFill>
              <a:round/>
            </a:ln>
            <a:effectLst/>
          </c:spPr>
          <c:marker>
            <c:symbol val="none"/>
          </c:marker>
          <c:dLbls>
            <c:dLbl>
              <c:idx val="2"/>
              <c:layout>
                <c:manualLayout>
                  <c:x val="-6.6898148148148151E-2"/>
                  <c:y val="4.55033416875522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FE1-4F21-A0C5-5B8664FD149B}"/>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rast'!$F$31:$L$31</c:f>
              <c:numCache>
                <c:formatCode>0.0</c:formatCode>
                <c:ptCount val="7"/>
                <c:pt idx="0">
                  <c:v>3.5680000000000001</c:v>
                </c:pt>
                <c:pt idx="1">
                  <c:v>2.7639999999999998</c:v>
                </c:pt>
                <c:pt idx="2">
                  <c:v>-3.2669999999999999</c:v>
                </c:pt>
                <c:pt idx="3">
                  <c:v>6.0259999999999998</c:v>
                </c:pt>
                <c:pt idx="4">
                  <c:v>4.415</c:v>
                </c:pt>
                <c:pt idx="5">
                  <c:v>3.5129999999999999</c:v>
                </c:pt>
                <c:pt idx="6">
                  <c:v>3.3740000000000001</c:v>
                </c:pt>
              </c:numCache>
            </c:numRef>
          </c:val>
          <c:smooth val="0"/>
          <c:extLst>
            <c:ext xmlns:c16="http://schemas.microsoft.com/office/drawing/2014/chart" uri="{C3380CC4-5D6E-409C-BE32-E72D297353CC}">
              <c16:uniqueId val="{00000007-6FE1-4F21-A0C5-5B8664FD149B}"/>
            </c:ext>
          </c:extLst>
        </c:ser>
        <c:ser>
          <c:idx val="7"/>
          <c:order val="7"/>
          <c:tx>
            <c:strRef>
              <c:f>'WEO_ekon. rast'!$B$32</c:f>
              <c:strCache>
                <c:ptCount val="1"/>
              </c:strCache>
            </c:strRef>
          </c:tx>
          <c:spPr>
            <a:ln w="28575" cap="rnd">
              <a:noFill/>
              <a:round/>
            </a:ln>
            <a:effectLst/>
          </c:spPr>
          <c:marker>
            <c:symbol val="none"/>
          </c:marker>
          <c:dLbls>
            <c:dLbl>
              <c:idx val="2"/>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b"/>
              <c:showLegendKey val="0"/>
              <c:showVal val="0"/>
              <c:showCatName val="1"/>
              <c:showSerName val="0"/>
              <c:showPercent val="0"/>
              <c:showBubbleSize val="0"/>
              <c:extLst>
                <c:ext xmlns:c16="http://schemas.microsoft.com/office/drawing/2014/chart" uri="{C3380CC4-5D6E-409C-BE32-E72D297353CC}">
                  <c16:uniqueId val="{00000008-6FE1-4F21-A0C5-5B8664FD149B}"/>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'WEO_ekon. rast'!$F$24:$L$24</c:f>
              <c:numCache>
                <c:formatCode>General</c:formatCode>
                <c:ptCount val="7"/>
                <c:pt idx="0">
                  <c:v>2018</c:v>
                </c:pt>
                <c:pt idx="1">
                  <c:v>2019</c:v>
                </c:pt>
                <c:pt idx="2">
                  <c:v>2020</c:v>
                </c:pt>
                <c:pt idx="3">
                  <c:v>2021</c:v>
                </c:pt>
                <c:pt idx="4">
                  <c:v>2022</c:v>
                </c:pt>
                <c:pt idx="5">
                  <c:v>2023</c:v>
                </c:pt>
                <c:pt idx="6">
                  <c:v>2024</c:v>
                </c:pt>
              </c:numCache>
            </c:numRef>
          </c:cat>
          <c:val>
            <c:numRef>
              <c:f>'WEO_ekon. rast'!$F$32:$L$32</c:f>
              <c:numCache>
                <c:formatCode>General</c:formatCode>
                <c:ptCount val="7"/>
                <c:pt idx="0">
                  <c:v>0</c:v>
                </c:pt>
                <c:pt idx="1">
                  <c:v>0</c:v>
                </c:pt>
                <c:pt idx="2">
                  <c:v>0</c:v>
                </c:pt>
                <c:pt idx="3">
                  <c:v>0</c:v>
                </c:pt>
                <c:pt idx="4">
                  <c:v>0</c:v>
                </c:pt>
                <c:pt idx="5">
                  <c:v>0</c:v>
                </c:pt>
                <c:pt idx="6">
                  <c:v>0</c:v>
                </c:pt>
              </c:numCache>
            </c:numRef>
          </c:val>
          <c:smooth val="0"/>
          <c:extLst>
            <c:ext xmlns:c16="http://schemas.microsoft.com/office/drawing/2014/chart" uri="{C3380CC4-5D6E-409C-BE32-E72D297353CC}">
              <c16:uniqueId val="{00000009-6FE1-4F21-A0C5-5B8664FD149B}"/>
            </c:ext>
          </c:extLst>
        </c:ser>
        <c:dLbls>
          <c:showLegendKey val="0"/>
          <c:showVal val="0"/>
          <c:showCatName val="0"/>
          <c:showSerName val="0"/>
          <c:showPercent val="0"/>
          <c:showBubbleSize val="0"/>
        </c:dLbls>
        <c:marker val="1"/>
        <c:smooth val="0"/>
        <c:axId val="1642271680"/>
        <c:axId val="1642274400"/>
      </c:lineChart>
      <c:catAx>
        <c:axId val="164227168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642274400"/>
        <c:crosses val="autoZero"/>
        <c:auto val="1"/>
        <c:lblAlgn val="ctr"/>
        <c:lblOffset val="100"/>
        <c:noMultiLvlLbl val="0"/>
      </c:catAx>
      <c:valAx>
        <c:axId val="1642274400"/>
        <c:scaling>
          <c:orientation val="minMax"/>
          <c:min val="-4.5"/>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642271680"/>
        <c:crosses val="autoZero"/>
        <c:crossBetween val="between"/>
        <c:majorUnit val="1.5"/>
      </c:valAx>
      <c:spPr>
        <a:noFill/>
        <a:ln>
          <a:noFill/>
        </a:ln>
        <a:effectLst/>
      </c:spPr>
    </c:plotArea>
    <c:legend>
      <c:legendPos val="b"/>
      <c:legendEntry>
        <c:idx val="7"/>
        <c:delete val="1"/>
      </c:legendEntry>
      <c:layout>
        <c:manualLayout>
          <c:xMode val="edge"/>
          <c:yMode val="edge"/>
          <c:x val="2.7777777777777776E-2"/>
          <c:y val="0.68199498746867171"/>
          <c:w val="0.94944444444444465"/>
          <c:h val="0.3180050125313283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592-44AD-A43A-12D177E847CD}"/>
              </c:ext>
            </c:extLst>
          </c:dPt>
          <c:dPt>
            <c:idx val="1"/>
            <c:invertIfNegative val="0"/>
            <c:bubble3D val="0"/>
            <c:spPr>
              <a:solidFill>
                <a:srgbClr val="ED1C24"/>
              </a:solidFill>
              <a:ln>
                <a:noFill/>
              </a:ln>
              <a:effectLst/>
            </c:spPr>
            <c:extLst>
              <c:ext xmlns:c16="http://schemas.microsoft.com/office/drawing/2014/chart" uri="{C3380CC4-5D6E-409C-BE32-E72D297353CC}">
                <c16:uniqueId val="{00000003-2592-44AD-A43A-12D177E847CD}"/>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2592-44AD-A43A-12D177E847CD}"/>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2592-44AD-A43A-12D177E847C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agregati'!$E$7,'Osn. makroekon. agregati'!$F$7)</c:f>
              <c:numCache>
                <c:formatCode>0.0</c:formatCode>
                <c:ptCount val="2"/>
                <c:pt idx="0">
                  <c:v>2.2000000000000002</c:v>
                </c:pt>
                <c:pt idx="1">
                  <c:v>2.5</c:v>
                </c:pt>
              </c:numCache>
            </c:numRef>
          </c:val>
          <c:extLst>
            <c:ext xmlns:c16="http://schemas.microsoft.com/office/drawing/2014/chart" uri="{C3380CC4-5D6E-409C-BE32-E72D297353CC}">
              <c16:uniqueId val="{00000004-2592-44AD-A43A-12D177E847CD}"/>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323F-48D7-8F4C-89FD42C916CB}"/>
              </c:ext>
            </c:extLst>
          </c:dPt>
          <c:dPt>
            <c:idx val="1"/>
            <c:invertIfNegative val="0"/>
            <c:bubble3D val="0"/>
            <c:spPr>
              <a:solidFill>
                <a:srgbClr val="ED1C24"/>
              </a:solidFill>
              <a:ln>
                <a:noFill/>
              </a:ln>
              <a:effectLst/>
            </c:spPr>
            <c:extLst>
              <c:ext xmlns:c16="http://schemas.microsoft.com/office/drawing/2014/chart" uri="{C3380CC4-5D6E-409C-BE32-E72D297353CC}">
                <c16:uniqueId val="{00000003-323F-48D7-8F4C-89FD42C916CB}"/>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323F-48D7-8F4C-89FD42C916CB}"/>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323F-48D7-8F4C-89FD42C916C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agregati'!$C$8,'Osn. makroekon. agregati'!$D$8)</c:f>
              <c:numCache>
                <c:formatCode>0.0</c:formatCode>
                <c:ptCount val="2"/>
                <c:pt idx="0">
                  <c:v>-3</c:v>
                </c:pt>
                <c:pt idx="1">
                  <c:v>-6.9</c:v>
                </c:pt>
              </c:numCache>
            </c:numRef>
          </c:val>
          <c:extLst>
            <c:ext xmlns:c16="http://schemas.microsoft.com/office/drawing/2014/chart" uri="{C3380CC4-5D6E-409C-BE32-E72D297353CC}">
              <c16:uniqueId val="{00000004-323F-48D7-8F4C-89FD42C916C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0274673202614379"/>
        </c:manualLayout>
      </c:layout>
      <c:barChart>
        <c:barDir val="col"/>
        <c:grouping val="clustered"/>
        <c:varyColors val="0"/>
        <c:ser>
          <c:idx val="0"/>
          <c:order val="0"/>
          <c:tx>
            <c:strRef>
              <c:f>'Osn. makroekon. agregati'!$B$8</c:f>
              <c:strCache>
                <c:ptCount val="1"/>
                <c:pt idx="0">
                  <c:v>Фискални резултат,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CBDB-4493-94C1-87F317A8CC43}"/>
              </c:ext>
            </c:extLst>
          </c:dPt>
          <c:dPt>
            <c:idx val="1"/>
            <c:invertIfNegative val="0"/>
            <c:bubble3D val="0"/>
            <c:spPr>
              <a:solidFill>
                <a:srgbClr val="ED1C24"/>
              </a:solidFill>
              <a:ln>
                <a:noFill/>
              </a:ln>
              <a:effectLst/>
            </c:spPr>
            <c:extLst>
              <c:ext xmlns:c16="http://schemas.microsoft.com/office/drawing/2014/chart" uri="{C3380CC4-5D6E-409C-BE32-E72D297353CC}">
                <c16:uniqueId val="{00000003-CBDB-4493-94C1-87F317A8CC43}"/>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CBDB-4493-94C1-87F317A8CC43}"/>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agregati'!$E$8,'Osn. makroekon. agregati'!$F$8)</c:f>
              <c:numCache>
                <c:formatCode>0.0</c:formatCode>
                <c:ptCount val="2"/>
                <c:pt idx="0">
                  <c:v>-1.6</c:v>
                </c:pt>
                <c:pt idx="1">
                  <c:v>-3</c:v>
                </c:pt>
              </c:numCache>
            </c:numRef>
          </c:val>
          <c:extLst>
            <c:ext xmlns:c16="http://schemas.microsoft.com/office/drawing/2014/chart" uri="{C3380CC4-5D6E-409C-BE32-E72D297353CC}">
              <c16:uniqueId val="{00000004-CBDB-4493-94C1-87F317A8CC43}"/>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9"/>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9272-4B4D-94D8-E1ED5226F60C}"/>
              </c:ext>
            </c:extLst>
          </c:dPt>
          <c:dPt>
            <c:idx val="1"/>
            <c:invertIfNegative val="0"/>
            <c:bubble3D val="0"/>
            <c:spPr>
              <a:solidFill>
                <a:srgbClr val="ED1C24"/>
              </a:solidFill>
              <a:ln>
                <a:noFill/>
              </a:ln>
              <a:effectLst/>
            </c:spPr>
            <c:extLst>
              <c:ext xmlns:c16="http://schemas.microsoft.com/office/drawing/2014/chart" uri="{C3380CC4-5D6E-409C-BE32-E72D297353CC}">
                <c16:uniqueId val="{00000003-9272-4B4D-94D8-E1ED5226F60C}"/>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9272-4B4D-94D8-E1ED5226F60C}"/>
                </c:ext>
              </c:extLst>
            </c:dLbl>
            <c:dLbl>
              <c:idx val="1"/>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9272-4B4D-94D8-E1ED5226F60C}"/>
                </c:ext>
              </c:extLst>
            </c:dLbl>
            <c:spPr>
              <a:noFill/>
              <a:ln>
                <a:noFill/>
              </a:ln>
              <a:effectLst/>
            </c:spPr>
            <c:txPr>
              <a:bodyPr rot="0" spcFirstLastPara="1" vertOverflow="ellipsis" vert="horz" wrap="non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agregati'!$C$9,'Osn. makroekon. agregati'!$D$9)</c:f>
              <c:numCache>
                <c:formatCode>0.0</c:formatCode>
                <c:ptCount val="2"/>
                <c:pt idx="0">
                  <c:v>58.7</c:v>
                </c:pt>
                <c:pt idx="1">
                  <c:v>60</c:v>
                </c:pt>
              </c:numCache>
            </c:numRef>
          </c:val>
          <c:extLst>
            <c:ext xmlns:c16="http://schemas.microsoft.com/office/drawing/2014/chart" uri="{C3380CC4-5D6E-409C-BE32-E72D297353CC}">
              <c16:uniqueId val="{00000004-9272-4B4D-94D8-E1ED5226F60C}"/>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5"/>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agregati'!$B$9</c:f>
              <c:strCache>
                <c:ptCount val="1"/>
                <c:pt idx="0">
                  <c:v>Јавни дуг,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82BC-45F1-B9B8-F4C85FE0A43B}"/>
              </c:ext>
            </c:extLst>
          </c:dPt>
          <c:dPt>
            <c:idx val="1"/>
            <c:invertIfNegative val="0"/>
            <c:bubble3D val="0"/>
            <c:spPr>
              <a:solidFill>
                <a:srgbClr val="ED1C24"/>
              </a:solidFill>
              <a:ln>
                <a:noFill/>
              </a:ln>
              <a:effectLst/>
            </c:spPr>
            <c:extLst>
              <c:ext xmlns:c16="http://schemas.microsoft.com/office/drawing/2014/chart" uri="{C3380CC4-5D6E-409C-BE32-E72D297353CC}">
                <c16:uniqueId val="{00000003-82BC-45F1-B9B8-F4C85FE0A43B}"/>
              </c:ext>
            </c:extLst>
          </c:dPt>
          <c:dLbls>
            <c:dLbl>
              <c:idx val="0"/>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82BC-45F1-B9B8-F4C85FE0A43B}"/>
                </c:ext>
              </c:extLst>
            </c:dLbl>
            <c:spPr>
              <a:noFill/>
              <a:ln>
                <a:noFill/>
              </a:ln>
              <a:effectLst/>
            </c:spPr>
            <c:txPr>
              <a:bodyPr rot="0" spcFirstLastPara="1" vertOverflow="ellipsis" vert="horz" wrap="non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val>
            <c:numRef>
              <c:f>('Osn. makroekon. agregati'!$E$9,'Osn. makroekon. agregati'!$F$9)</c:f>
              <c:numCache>
                <c:formatCode>0.0</c:formatCode>
                <c:ptCount val="2"/>
                <c:pt idx="0">
                  <c:v>57.9</c:v>
                </c:pt>
                <c:pt idx="1">
                  <c:v>59.3</c:v>
                </c:pt>
              </c:numCache>
            </c:numRef>
          </c:val>
          <c:extLst>
            <c:ext xmlns:c16="http://schemas.microsoft.com/office/drawing/2014/chart" uri="{C3380CC4-5D6E-409C-BE32-E72D297353CC}">
              <c16:uniqueId val="{00000004-82BC-45F1-B9B8-F4C85FE0A43B}"/>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overlay val="0"/>
          <c:spPr>
            <a:noFill/>
            <a:ln>
              <a:noFill/>
            </a:ln>
            <a:effectLst/>
          </c:sp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5"/>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2">
    <c:autoUpdate val="0"/>
  </c:externalData>
  <c:userShapes r:id="rId3"/>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2091256084322588"/>
        </c:manualLayout>
      </c:layout>
      <c:barChart>
        <c:barDir val="col"/>
        <c:grouping val="stacked"/>
        <c:varyColors val="0"/>
        <c:ser>
          <c:idx val="0"/>
          <c:order val="0"/>
          <c:tx>
            <c:strRef>
              <c:f>BDPQ_doprinosi!$R$34</c:f>
              <c:strCache>
                <c:ptCount val="1"/>
                <c:pt idx="0">
                  <c:v>Пољопривреда</c:v>
                </c:pt>
              </c:strCache>
            </c:strRef>
          </c:tx>
          <c:spPr>
            <a:solidFill>
              <a:srgbClr val="10103C"/>
            </a:solidFill>
            <a:ln>
              <a:noFill/>
            </a:ln>
            <a:effectLst/>
          </c:spPr>
          <c:invertIfNegative val="0"/>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BDPQ_doprinosi!$AU$34:$BC$34</c:f>
              <c:numCache>
                <c:formatCode>0.0</c:formatCode>
                <c:ptCount val="9"/>
                <c:pt idx="0">
                  <c:v>-2.4750147138573667E-2</c:v>
                </c:pt>
                <c:pt idx="1">
                  <c:v>-7.6508265554604299E-2</c:v>
                </c:pt>
                <c:pt idx="2">
                  <c:v>-0.18956455482949233</c:v>
                </c:pt>
                <c:pt idx="3">
                  <c:v>-0.11030386759649317</c:v>
                </c:pt>
                <c:pt idx="4">
                  <c:v>0.21052277834643063</c:v>
                </c:pt>
                <c:pt idx="5">
                  <c:v>0.23782884607751689</c:v>
                </c:pt>
                <c:pt idx="6">
                  <c:v>0.29711317184285058</c:v>
                </c:pt>
                <c:pt idx="7">
                  <c:v>0.25423182055060062</c:v>
                </c:pt>
                <c:pt idx="8">
                  <c:v>-0.20643051975576174</c:v>
                </c:pt>
              </c:numCache>
            </c:numRef>
          </c:val>
          <c:extLst>
            <c:ext xmlns:c16="http://schemas.microsoft.com/office/drawing/2014/chart" uri="{C3380CC4-5D6E-409C-BE32-E72D297353CC}">
              <c16:uniqueId val="{00000000-564D-46A0-BD6A-A1EF2DCB4C50}"/>
            </c:ext>
          </c:extLst>
        </c:ser>
        <c:ser>
          <c:idx val="1"/>
          <c:order val="1"/>
          <c:tx>
            <c:strRef>
              <c:f>BDPQ_doprinosi!$R$35</c:f>
              <c:strCache>
                <c:ptCount val="1"/>
                <c:pt idx="0">
                  <c:v>Индустрија</c:v>
                </c:pt>
              </c:strCache>
            </c:strRef>
          </c:tx>
          <c:spPr>
            <a:solidFill>
              <a:srgbClr val="29489A"/>
            </a:solidFill>
            <a:ln>
              <a:noFill/>
            </a:ln>
            <a:effectLst/>
          </c:spPr>
          <c:invertIfNegative val="0"/>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BDPQ_doprinosi!$AU$35:$BC$35</c:f>
              <c:numCache>
                <c:formatCode>0.0</c:formatCode>
                <c:ptCount val="9"/>
                <c:pt idx="0">
                  <c:v>-0.36987014107101301</c:v>
                </c:pt>
                <c:pt idx="1">
                  <c:v>-0.44181804452117857</c:v>
                </c:pt>
                <c:pt idx="2">
                  <c:v>0.44137300751309511</c:v>
                </c:pt>
                <c:pt idx="3">
                  <c:v>0.64121968393411655</c:v>
                </c:pt>
                <c:pt idx="4">
                  <c:v>0.85639722579285149</c:v>
                </c:pt>
                <c:pt idx="5">
                  <c:v>-1.5244301412704939</c:v>
                </c:pt>
                <c:pt idx="6">
                  <c:v>0.64582867883093797</c:v>
                </c:pt>
                <c:pt idx="7">
                  <c:v>0.29858555011606963</c:v>
                </c:pt>
                <c:pt idx="8">
                  <c:v>0.79790319848666669</c:v>
                </c:pt>
              </c:numCache>
            </c:numRef>
          </c:val>
          <c:extLst>
            <c:ext xmlns:c16="http://schemas.microsoft.com/office/drawing/2014/chart" uri="{C3380CC4-5D6E-409C-BE32-E72D297353CC}">
              <c16:uniqueId val="{00000001-564D-46A0-BD6A-A1EF2DCB4C50}"/>
            </c:ext>
          </c:extLst>
        </c:ser>
        <c:ser>
          <c:idx val="2"/>
          <c:order val="2"/>
          <c:tx>
            <c:strRef>
              <c:f>BDPQ_doprinosi!$R$36</c:f>
              <c:strCache>
                <c:ptCount val="1"/>
                <c:pt idx="0">
                  <c:v>Грађевинарство</c:v>
                </c:pt>
              </c:strCache>
            </c:strRef>
          </c:tx>
          <c:spPr>
            <a:solidFill>
              <a:srgbClr val="2183C4"/>
            </a:solidFill>
            <a:ln>
              <a:noFill/>
            </a:ln>
            <a:effectLst/>
          </c:spPr>
          <c:invertIfNegative val="0"/>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BDPQ_doprinosi!$AU$36:$BC$36</c:f>
              <c:numCache>
                <c:formatCode>0.0</c:formatCode>
                <c:ptCount val="9"/>
                <c:pt idx="0">
                  <c:v>0.40184253352351818</c:v>
                </c:pt>
                <c:pt idx="1">
                  <c:v>0.89963998812998824</c:v>
                </c:pt>
                <c:pt idx="2">
                  <c:v>1.9489639582389202</c:v>
                </c:pt>
                <c:pt idx="3">
                  <c:v>2.6197791175430774</c:v>
                </c:pt>
                <c:pt idx="4">
                  <c:v>0.81580617695287005</c:v>
                </c:pt>
                <c:pt idx="5">
                  <c:v>-0.10178296365341177</c:v>
                </c:pt>
                <c:pt idx="6">
                  <c:v>-1.0918784802167094</c:v>
                </c:pt>
                <c:pt idx="7">
                  <c:v>-0.65472673688597482</c:v>
                </c:pt>
                <c:pt idx="8">
                  <c:v>0.72992710736691024</c:v>
                </c:pt>
              </c:numCache>
            </c:numRef>
          </c:val>
          <c:extLst>
            <c:ext xmlns:c16="http://schemas.microsoft.com/office/drawing/2014/chart" uri="{C3380CC4-5D6E-409C-BE32-E72D297353CC}">
              <c16:uniqueId val="{00000002-564D-46A0-BD6A-A1EF2DCB4C50}"/>
            </c:ext>
          </c:extLst>
        </c:ser>
        <c:ser>
          <c:idx val="3"/>
          <c:order val="3"/>
          <c:tx>
            <c:strRef>
              <c:f>BDPQ_doprinosi!$R$37</c:f>
              <c:strCache>
                <c:ptCount val="1"/>
                <c:pt idx="0">
                  <c:v>Услуге</c:v>
                </c:pt>
              </c:strCache>
            </c:strRef>
          </c:tx>
          <c:spPr>
            <a:solidFill>
              <a:srgbClr val="51BBE7"/>
            </a:solidFill>
            <a:ln>
              <a:noFill/>
            </a:ln>
            <a:effectLst/>
          </c:spPr>
          <c:invertIfNegative val="0"/>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BDPQ_doprinosi!$AU$37:$BC$37</c:f>
              <c:numCache>
                <c:formatCode>0.0</c:formatCode>
                <c:ptCount val="9"/>
                <c:pt idx="0">
                  <c:v>2.0223501100189925</c:v>
                </c:pt>
                <c:pt idx="1">
                  <c:v>1.948598140702686</c:v>
                </c:pt>
                <c:pt idx="2">
                  <c:v>2.0953636523721433</c:v>
                </c:pt>
                <c:pt idx="3">
                  <c:v>2.5510594719820658</c:v>
                </c:pt>
                <c:pt idx="4">
                  <c:v>2.6050301326111227</c:v>
                </c:pt>
                <c:pt idx="5">
                  <c:v>-3.6299644372682365</c:v>
                </c:pt>
                <c:pt idx="6">
                  <c:v>-1.0430216069576277</c:v>
                </c:pt>
                <c:pt idx="7">
                  <c:v>-0.6589458156939707</c:v>
                </c:pt>
                <c:pt idx="8">
                  <c:v>-0.16680100170608733</c:v>
                </c:pt>
              </c:numCache>
            </c:numRef>
          </c:val>
          <c:extLst>
            <c:ext xmlns:c16="http://schemas.microsoft.com/office/drawing/2014/chart" uri="{C3380CC4-5D6E-409C-BE32-E72D297353CC}">
              <c16:uniqueId val="{00000003-564D-46A0-BD6A-A1EF2DCB4C50}"/>
            </c:ext>
          </c:extLst>
        </c:ser>
        <c:ser>
          <c:idx val="4"/>
          <c:order val="4"/>
          <c:tx>
            <c:strRef>
              <c:f>BDPQ_doprinosi!$R$38</c:f>
              <c:strCache>
                <c:ptCount val="1"/>
                <c:pt idx="0">
                  <c:v>Нето порези</c:v>
                </c:pt>
              </c:strCache>
            </c:strRef>
          </c:tx>
          <c:spPr>
            <a:solidFill>
              <a:srgbClr val="9ED1E6"/>
            </a:solidFill>
            <a:ln>
              <a:noFill/>
            </a:ln>
            <a:effectLst/>
          </c:spPr>
          <c:invertIfNegative val="0"/>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BDPQ_doprinosi!$AU$38:$BC$38</c:f>
              <c:numCache>
                <c:formatCode>0.0</c:formatCode>
                <c:ptCount val="9"/>
                <c:pt idx="0">
                  <c:v>0.59841193074270327</c:v>
                </c:pt>
                <c:pt idx="1">
                  <c:v>0.60858342239238017</c:v>
                </c:pt>
                <c:pt idx="2">
                  <c:v>0.58979350335464675</c:v>
                </c:pt>
                <c:pt idx="3">
                  <c:v>0.60753828135253862</c:v>
                </c:pt>
                <c:pt idx="4">
                  <c:v>0.72465196035833945</c:v>
                </c:pt>
                <c:pt idx="5">
                  <c:v>-1.2267099150397043</c:v>
                </c:pt>
                <c:pt idx="6">
                  <c:v>-0.2071094549797699</c:v>
                </c:pt>
                <c:pt idx="7">
                  <c:v>-0.31294793645266838</c:v>
                </c:pt>
                <c:pt idx="8">
                  <c:v>3.2455206404027742E-2</c:v>
                </c:pt>
              </c:numCache>
            </c:numRef>
          </c:val>
          <c:extLst>
            <c:ext xmlns:c16="http://schemas.microsoft.com/office/drawing/2014/chart" uri="{C3380CC4-5D6E-409C-BE32-E72D297353CC}">
              <c16:uniqueId val="{00000004-564D-46A0-BD6A-A1EF2DCB4C50}"/>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BDPQ_doprinosi!$R$39</c:f>
              <c:strCache>
                <c:ptCount val="1"/>
                <c:pt idx="0">
                  <c:v>Реални раст БДП</c:v>
                </c:pt>
              </c:strCache>
            </c:strRef>
          </c:tx>
          <c:spPr>
            <a:ln w="28575" cap="rnd">
              <a:solidFill>
                <a:srgbClr val="FF0000"/>
              </a:solidFill>
              <a:round/>
            </a:ln>
            <a:effectLst/>
          </c:spPr>
          <c:marker>
            <c:symbol val="none"/>
          </c:marker>
          <c:dLbls>
            <c:dLbl>
              <c:idx val="5"/>
              <c:layout>
                <c:manualLayout>
                  <c:x val="-6.6736293379994163E-2"/>
                  <c:y val="3.9002696361662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4D-46A0-BD6A-A1EF2DCB4C50}"/>
                </c:ext>
              </c:extLst>
            </c:dLbl>
            <c:dLbl>
              <c:idx val="6"/>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4D-46A0-BD6A-A1EF2DCB4C50}"/>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4D-46A0-BD6A-A1EF2DCB4C50}"/>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BDPQ_doprinosi!$AU$32:$BC$33</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BDPQ_doprinosi!$AU$39:$BC$39</c:f>
              <c:numCache>
                <c:formatCode>0.0</c:formatCode>
                <c:ptCount val="9"/>
                <c:pt idx="0">
                  <c:v>2.627984286075673</c:v>
                </c:pt>
                <c:pt idx="1">
                  <c:v>2.9384952411493259</c:v>
                </c:pt>
                <c:pt idx="2">
                  <c:v>4.8859295666493523</c:v>
                </c:pt>
                <c:pt idx="3">
                  <c:v>6.3092926872153328</c:v>
                </c:pt>
                <c:pt idx="4">
                  <c:v>5.2124082740616871</c:v>
                </c:pt>
                <c:pt idx="5">
                  <c:v>-6.245058611154306</c:v>
                </c:pt>
                <c:pt idx="6">
                  <c:v>-1.3990676914802691</c:v>
                </c:pt>
                <c:pt idx="7">
                  <c:v>-1.0738031183659302</c:v>
                </c:pt>
                <c:pt idx="8">
                  <c:v>1.2</c:v>
                </c:pt>
              </c:numCache>
            </c:numRef>
          </c:val>
          <c:smooth val="0"/>
          <c:extLst>
            <c:ext xmlns:c16="http://schemas.microsoft.com/office/drawing/2014/chart" uri="{C3380CC4-5D6E-409C-BE32-E72D297353CC}">
              <c16:uniqueId val="{00000008-564D-46A0-BD6A-A1EF2DCB4C50}"/>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8336"/>
        <c:crosses val="autoZero"/>
        <c:auto val="1"/>
        <c:lblAlgn val="ctr"/>
        <c:lblOffset val="0"/>
        <c:noMultiLvlLbl val="0"/>
      </c:catAx>
      <c:valAx>
        <c:axId val="1768858336"/>
        <c:scaling>
          <c:orientation val="minMax"/>
          <c:max val="8"/>
          <c:min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3880572945331671"/>
        </c:manualLayout>
      </c:layout>
      <c:barChart>
        <c:barDir val="col"/>
        <c:grouping val="stacked"/>
        <c:varyColors val="0"/>
        <c:ser>
          <c:idx val="2"/>
          <c:order val="0"/>
          <c:tx>
            <c:strRef>
              <c:f>BDPQ_doprinosi!$R$8</c:f>
              <c:strCache>
                <c:ptCount val="1"/>
                <c:pt idx="0">
                  <c:v>Приватна потрошња</c:v>
                </c:pt>
              </c:strCache>
            </c:strRef>
          </c:tx>
          <c:spPr>
            <a:solidFill>
              <a:srgbClr val="10103C"/>
            </a:solidFill>
            <a:ln>
              <a:noFill/>
            </a:ln>
            <a:effectLst/>
          </c:spPr>
          <c:invertIfNegative val="0"/>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BDPQ_doprinosi!$AU$8:$BC$8</c:f>
              <c:numCache>
                <c:formatCode>0.0</c:formatCode>
                <c:ptCount val="9"/>
                <c:pt idx="0">
                  <c:v>2.5001891041327675</c:v>
                </c:pt>
                <c:pt idx="1">
                  <c:v>2.7426175004766939</c:v>
                </c:pt>
                <c:pt idx="2">
                  <c:v>2.2146959505596437</c:v>
                </c:pt>
                <c:pt idx="3">
                  <c:v>2.4319190432710935</c:v>
                </c:pt>
                <c:pt idx="4">
                  <c:v>1.9241350256480445</c:v>
                </c:pt>
                <c:pt idx="5">
                  <c:v>-5.9032320340828131</c:v>
                </c:pt>
                <c:pt idx="6">
                  <c:v>-0.77824360629907441</c:v>
                </c:pt>
                <c:pt idx="7">
                  <c:v>-1.8232107570154319</c:v>
                </c:pt>
                <c:pt idx="8">
                  <c:v>-1.3468321609070961</c:v>
                </c:pt>
              </c:numCache>
            </c:numRef>
          </c:val>
          <c:extLst>
            <c:ext xmlns:c16="http://schemas.microsoft.com/office/drawing/2014/chart" uri="{C3380CC4-5D6E-409C-BE32-E72D297353CC}">
              <c16:uniqueId val="{00000000-AC5A-4225-9F4D-55CA3C384982}"/>
            </c:ext>
          </c:extLst>
        </c:ser>
        <c:ser>
          <c:idx val="3"/>
          <c:order val="1"/>
          <c:tx>
            <c:strRef>
              <c:f>BDPQ_doprinosi!$R$9</c:f>
              <c:strCache>
                <c:ptCount val="1"/>
                <c:pt idx="0">
                  <c:v>Државна потрошња</c:v>
                </c:pt>
              </c:strCache>
            </c:strRef>
          </c:tx>
          <c:spPr>
            <a:solidFill>
              <a:srgbClr val="29489A"/>
            </a:solidFill>
            <a:ln>
              <a:noFill/>
            </a:ln>
            <a:effectLst/>
          </c:spPr>
          <c:invertIfNegative val="0"/>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BDPQ_doprinosi!$AU$9:$BC$9</c:f>
              <c:numCache>
                <c:formatCode>0.0</c:formatCode>
                <c:ptCount val="9"/>
                <c:pt idx="0">
                  <c:v>0.33131120590200813</c:v>
                </c:pt>
                <c:pt idx="1">
                  <c:v>0.22217676218031432</c:v>
                </c:pt>
                <c:pt idx="2">
                  <c:v>0.57675871238522236</c:v>
                </c:pt>
                <c:pt idx="3">
                  <c:v>0.19244426659887864</c:v>
                </c:pt>
                <c:pt idx="4">
                  <c:v>1.8823060822330997</c:v>
                </c:pt>
                <c:pt idx="5">
                  <c:v>1.4234342706731504</c:v>
                </c:pt>
                <c:pt idx="6">
                  <c:v>-0.19055966393430665</c:v>
                </c:pt>
                <c:pt idx="7">
                  <c:v>0.77056284058539681</c:v>
                </c:pt>
                <c:pt idx="8">
                  <c:v>-6.6104378424514262E-2</c:v>
                </c:pt>
              </c:numCache>
            </c:numRef>
          </c:val>
          <c:extLst>
            <c:ext xmlns:c16="http://schemas.microsoft.com/office/drawing/2014/chart" uri="{C3380CC4-5D6E-409C-BE32-E72D297353CC}">
              <c16:uniqueId val="{00000001-AC5A-4225-9F4D-55CA3C384982}"/>
            </c:ext>
          </c:extLst>
        </c:ser>
        <c:ser>
          <c:idx val="1"/>
          <c:order val="2"/>
          <c:tx>
            <c:strRef>
              <c:f>BDPQ_doprinosi!$R$10</c:f>
              <c:strCache>
                <c:ptCount val="1"/>
                <c:pt idx="0">
                  <c:v>Инвестиције</c:v>
                </c:pt>
              </c:strCache>
            </c:strRef>
          </c:tx>
          <c:spPr>
            <a:solidFill>
              <a:srgbClr val="2183C4"/>
            </a:solidFill>
            <a:ln>
              <a:noFill/>
            </a:ln>
            <a:effectLst/>
          </c:spPr>
          <c:invertIfNegative val="0"/>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BDPQ_doprinosi!$AU$10:$BC$10</c:f>
              <c:numCache>
                <c:formatCode>0.0</c:formatCode>
                <c:ptCount val="9"/>
                <c:pt idx="0">
                  <c:v>1.3776839091980539</c:v>
                </c:pt>
                <c:pt idx="1">
                  <c:v>1.8123751758044537</c:v>
                </c:pt>
                <c:pt idx="2">
                  <c:v>3.795106061655642</c:v>
                </c:pt>
                <c:pt idx="3">
                  <c:v>6.4603691890835497</c:v>
                </c:pt>
                <c:pt idx="4">
                  <c:v>2.3107198298487064</c:v>
                </c:pt>
                <c:pt idx="5">
                  <c:v>-2.512521619158075</c:v>
                </c:pt>
                <c:pt idx="6">
                  <c:v>-1.0286253995101762</c:v>
                </c:pt>
                <c:pt idx="7">
                  <c:v>-1.0721071063902046</c:v>
                </c:pt>
                <c:pt idx="8">
                  <c:v>1.8993046717339794</c:v>
                </c:pt>
              </c:numCache>
            </c:numRef>
          </c:val>
          <c:extLst>
            <c:ext xmlns:c16="http://schemas.microsoft.com/office/drawing/2014/chart" uri="{C3380CC4-5D6E-409C-BE32-E72D297353CC}">
              <c16:uniqueId val="{00000002-AC5A-4225-9F4D-55CA3C384982}"/>
            </c:ext>
          </c:extLst>
        </c:ser>
        <c:ser>
          <c:idx val="0"/>
          <c:order val="3"/>
          <c:tx>
            <c:strRef>
              <c:f>BDPQ_doprinosi!$R$11</c:f>
              <c:strCache>
                <c:ptCount val="1"/>
                <c:pt idx="0">
                  <c:v>Нето извоз</c:v>
                </c:pt>
              </c:strCache>
            </c:strRef>
          </c:tx>
          <c:spPr>
            <a:solidFill>
              <a:srgbClr val="51BBE7"/>
            </a:solidFill>
            <a:ln>
              <a:noFill/>
            </a:ln>
            <a:effectLst/>
          </c:spPr>
          <c:invertIfNegative val="0"/>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BDPQ_doprinosi!$AU$11:$BC$11</c:f>
              <c:numCache>
                <c:formatCode>0.0</c:formatCode>
                <c:ptCount val="9"/>
                <c:pt idx="0">
                  <c:v>-1.6526623348271903</c:v>
                </c:pt>
                <c:pt idx="1">
                  <c:v>-2.2879204339299792</c:v>
                </c:pt>
                <c:pt idx="2">
                  <c:v>-2.1819137541640368</c:v>
                </c:pt>
                <c:pt idx="3">
                  <c:v>-3.5061571026826632</c:v>
                </c:pt>
                <c:pt idx="4">
                  <c:v>-2.9952448448851108</c:v>
                </c:pt>
                <c:pt idx="5">
                  <c:v>1.348195560422857</c:v>
                </c:pt>
                <c:pt idx="6">
                  <c:v>-2.7704449242101514</c:v>
                </c:pt>
                <c:pt idx="7">
                  <c:v>0.62194684280580526</c:v>
                </c:pt>
                <c:pt idx="8">
                  <c:v>4.0827589012945884</c:v>
                </c:pt>
              </c:numCache>
            </c:numRef>
          </c:val>
          <c:extLst>
            <c:ext xmlns:c16="http://schemas.microsoft.com/office/drawing/2014/chart" uri="{C3380CC4-5D6E-409C-BE32-E72D297353CC}">
              <c16:uniqueId val="{00000003-AC5A-4225-9F4D-55CA3C384982}"/>
            </c:ext>
          </c:extLst>
        </c:ser>
        <c:ser>
          <c:idx val="4"/>
          <c:order val="4"/>
          <c:tx>
            <c:strRef>
              <c:f>BDPQ_doprinosi!$R$12</c:f>
              <c:strCache>
                <c:ptCount val="1"/>
                <c:pt idx="0">
                  <c:v>Промена у залихама</c:v>
                </c:pt>
              </c:strCache>
            </c:strRef>
          </c:tx>
          <c:spPr>
            <a:solidFill>
              <a:srgbClr val="9ED1E6"/>
            </a:solidFill>
            <a:ln>
              <a:noFill/>
            </a:ln>
            <a:effectLst/>
          </c:spPr>
          <c:invertIfNegative val="0"/>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BDPQ_doprinosi!$AU$12:$BC$12</c:f>
              <c:numCache>
                <c:formatCode>0.0</c:formatCode>
                <c:ptCount val="9"/>
                <c:pt idx="0">
                  <c:v>7.1462401670022935E-2</c:v>
                </c:pt>
                <c:pt idx="1">
                  <c:v>0.44924623661783691</c:v>
                </c:pt>
                <c:pt idx="2">
                  <c:v>0.48128259621287928</c:v>
                </c:pt>
                <c:pt idx="3">
                  <c:v>0.730717290944491</c:v>
                </c:pt>
                <c:pt idx="4">
                  <c:v>2.0904921812169457</c:v>
                </c:pt>
                <c:pt idx="5">
                  <c:v>-0.60093478900942365</c:v>
                </c:pt>
                <c:pt idx="6">
                  <c:v>3.3688059024734338</c:v>
                </c:pt>
                <c:pt idx="7">
                  <c:v>0.42900506164850621</c:v>
                </c:pt>
                <c:pt idx="8">
                  <c:v>-3.3691270336969552</c:v>
                </c:pt>
              </c:numCache>
            </c:numRef>
          </c:val>
          <c:extLst>
            <c:ext xmlns:c16="http://schemas.microsoft.com/office/drawing/2014/chart" uri="{C3380CC4-5D6E-409C-BE32-E72D297353CC}">
              <c16:uniqueId val="{00000004-AC5A-4225-9F4D-55CA3C384982}"/>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BDPQ_doprinosi!$R$13</c:f>
              <c:strCache>
                <c:ptCount val="1"/>
                <c:pt idx="0">
                  <c:v>Реални раст БДП</c:v>
                </c:pt>
              </c:strCache>
            </c:strRef>
          </c:tx>
          <c:spPr>
            <a:ln w="28575" cap="rnd">
              <a:solidFill>
                <a:srgbClr val="FF0000"/>
              </a:solidFill>
              <a:round/>
            </a:ln>
            <a:effectLst/>
          </c:spPr>
          <c:marker>
            <c:symbol val="none"/>
          </c:marker>
          <c:dLbls>
            <c:dLbl>
              <c:idx val="5"/>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C5A-4225-9F4D-55CA3C384982}"/>
                </c:ext>
              </c:extLst>
            </c:dLbl>
            <c:dLbl>
              <c:idx val="6"/>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5A-4225-9F4D-55CA3C384982}"/>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C5A-4225-9F4D-55CA3C384982}"/>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BDPQ_doprinosi!$AU$5:$BC$6</c:f>
              <c:multiLvlStrCache>
                <c:ptCount val="9"/>
                <c:lvl>
                  <c:pt idx="0">
                    <c:v>Q1</c:v>
                  </c:pt>
                  <c:pt idx="1">
                    <c:v>Q2</c:v>
                  </c:pt>
                  <c:pt idx="2">
                    <c:v>Q3</c:v>
                  </c:pt>
                  <c:pt idx="3">
                    <c:v>Q4</c:v>
                  </c:pt>
                  <c:pt idx="4">
                    <c:v>Q1</c:v>
                  </c:pt>
                  <c:pt idx="5">
                    <c:v>Q2</c:v>
                  </c:pt>
                  <c:pt idx="6">
                    <c:v>Q3</c:v>
                  </c:pt>
                  <c:pt idx="7">
                    <c:v>Q4</c:v>
                  </c:pt>
                  <c:pt idx="8">
                    <c:v>Q1*</c:v>
                  </c:pt>
                </c:lvl>
                <c:lvl>
                  <c:pt idx="0">
                    <c:v>2019</c:v>
                  </c:pt>
                  <c:pt idx="4">
                    <c:v>2020</c:v>
                  </c:pt>
                  <c:pt idx="8">
                    <c:v>2021</c:v>
                  </c:pt>
                </c:lvl>
              </c:multiLvlStrCache>
            </c:multiLvlStrRef>
          </c:cat>
          <c:val>
            <c:numRef>
              <c:f>BDPQ_doprinosi!$AU$13:$BC$13</c:f>
              <c:numCache>
                <c:formatCode>0.0</c:formatCode>
                <c:ptCount val="9"/>
                <c:pt idx="0">
                  <c:v>2.627984286075673</c:v>
                </c:pt>
                <c:pt idx="1">
                  <c:v>2.9384952411493259</c:v>
                </c:pt>
                <c:pt idx="2">
                  <c:v>4.8859295666493523</c:v>
                </c:pt>
                <c:pt idx="3">
                  <c:v>6.3092926872153328</c:v>
                </c:pt>
                <c:pt idx="4">
                  <c:v>5.2124082740616871</c:v>
                </c:pt>
                <c:pt idx="5">
                  <c:v>-6.245058611154306</c:v>
                </c:pt>
                <c:pt idx="6">
                  <c:v>-1.3990676914802691</c:v>
                </c:pt>
                <c:pt idx="7">
                  <c:v>-1.0738031183659302</c:v>
                </c:pt>
                <c:pt idx="8">
                  <c:v>1.2</c:v>
                </c:pt>
              </c:numCache>
            </c:numRef>
          </c:val>
          <c:smooth val="0"/>
          <c:extLst>
            <c:ext xmlns:c16="http://schemas.microsoft.com/office/drawing/2014/chart" uri="{C3380CC4-5D6E-409C-BE32-E72D297353CC}">
              <c16:uniqueId val="{00000008-AC5A-4225-9F4D-55CA3C384982}"/>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5072"/>
        <c:crosses val="autoZero"/>
        <c:auto val="1"/>
        <c:lblAlgn val="ctr"/>
        <c:lblOffset val="0"/>
        <c:noMultiLvlLbl val="0"/>
      </c:catAx>
      <c:valAx>
        <c:axId val="1768855072"/>
        <c:scaling>
          <c:orientation val="minMax"/>
          <c:max val="10"/>
          <c:min val="-1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248"/>
        <c:crosses val="autoZero"/>
        <c:crossBetween val="between"/>
        <c:majorUnit val="2"/>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5459160052910048"/>
        </c:manualLayout>
      </c:layout>
      <c:barChart>
        <c:barDir val="col"/>
        <c:grouping val="stacked"/>
        <c:varyColors val="0"/>
        <c:ser>
          <c:idx val="0"/>
          <c:order val="1"/>
          <c:tx>
            <c:strRef>
              <c:f>IPAS_doprinosi!$D$11</c:f>
              <c:strCache>
                <c:ptCount val="1"/>
                <c:pt idx="0">
                  <c:v>Пољопривреда</c:v>
                </c:pt>
              </c:strCache>
            </c:strRef>
          </c:tx>
          <c:spPr>
            <a:solidFill>
              <a:srgbClr val="10103C"/>
            </a:solidFill>
            <a:ln>
              <a:noFill/>
            </a:ln>
            <a:effectLst/>
          </c:spPr>
          <c:invertIfNegative val="0"/>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IPAS_doprinosi!$D$24:$D$38</c:f>
              <c:numCache>
                <c:formatCode>0.0</c:formatCode>
                <c:ptCount val="15"/>
                <c:pt idx="0">
                  <c:v>0.10099378283002498</c:v>
                </c:pt>
                <c:pt idx="1">
                  <c:v>0.20061274928240541</c:v>
                </c:pt>
                <c:pt idx="2">
                  <c:v>0.32403028138965301</c:v>
                </c:pt>
                <c:pt idx="3">
                  <c:v>0.31676021434734014</c:v>
                </c:pt>
                <c:pt idx="4">
                  <c:v>0.23477059053475846</c:v>
                </c:pt>
                <c:pt idx="5">
                  <c:v>0.16532057923766338</c:v>
                </c:pt>
                <c:pt idx="6">
                  <c:v>0.31322533386937423</c:v>
                </c:pt>
                <c:pt idx="7">
                  <c:v>0.29708620489177207</c:v>
                </c:pt>
                <c:pt idx="8">
                  <c:v>0.28144904892973038</c:v>
                </c:pt>
                <c:pt idx="9">
                  <c:v>0.30614926073732862</c:v>
                </c:pt>
                <c:pt idx="10">
                  <c:v>0.28391395610949605</c:v>
                </c:pt>
                <c:pt idx="11">
                  <c:v>0.17281370828006892</c:v>
                </c:pt>
                <c:pt idx="12">
                  <c:v>-0.19729435911672705</c:v>
                </c:pt>
                <c:pt idx="13">
                  <c:v>-0.20201501712622771</c:v>
                </c:pt>
                <c:pt idx="14">
                  <c:v>-0.18622318614676675</c:v>
                </c:pt>
              </c:numCache>
            </c:numRef>
          </c:val>
          <c:extLst>
            <c:ext xmlns:c16="http://schemas.microsoft.com/office/drawing/2014/chart" uri="{C3380CC4-5D6E-409C-BE32-E72D297353CC}">
              <c16:uniqueId val="{00000000-B19A-4351-A65C-5B147768F79C}"/>
            </c:ext>
          </c:extLst>
        </c:ser>
        <c:ser>
          <c:idx val="1"/>
          <c:order val="2"/>
          <c:tx>
            <c:strRef>
              <c:f>IPAS_doprinosi!$E$11</c:f>
              <c:strCache>
                <c:ptCount val="1"/>
                <c:pt idx="0">
                  <c:v>Индустрија</c:v>
                </c:pt>
              </c:strCache>
            </c:strRef>
          </c:tx>
          <c:spPr>
            <a:solidFill>
              <a:srgbClr val="2183C4"/>
            </a:solidFill>
            <a:ln>
              <a:noFill/>
            </a:ln>
            <a:effectLst/>
          </c:spPr>
          <c:invertIfNegative val="0"/>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IPAS_doprinosi!$E$24:$E$38</c:f>
              <c:numCache>
                <c:formatCode>0.0</c:formatCode>
                <c:ptCount val="15"/>
                <c:pt idx="0">
                  <c:v>1.2395598188087036</c:v>
                </c:pt>
                <c:pt idx="1">
                  <c:v>1.493511367210494</c:v>
                </c:pt>
                <c:pt idx="2">
                  <c:v>-0.12054565573420122</c:v>
                </c:pt>
                <c:pt idx="3">
                  <c:v>-3.5695465298637146</c:v>
                </c:pt>
                <c:pt idx="4">
                  <c:v>-1.574586942099671</c:v>
                </c:pt>
                <c:pt idx="5">
                  <c:v>0.48314265624099029</c:v>
                </c:pt>
                <c:pt idx="6">
                  <c:v>0.15886240919401343</c:v>
                </c:pt>
                <c:pt idx="7">
                  <c:v>0.83802643384085429</c:v>
                </c:pt>
                <c:pt idx="8">
                  <c:v>0.9328460753680049</c:v>
                </c:pt>
                <c:pt idx="9">
                  <c:v>0.39915119996150278</c:v>
                </c:pt>
                <c:pt idx="10">
                  <c:v>-3.3642622154410003E-2</c:v>
                </c:pt>
                <c:pt idx="11">
                  <c:v>0.5301120021049438</c:v>
                </c:pt>
                <c:pt idx="12">
                  <c:v>0.50515517304297664</c:v>
                </c:pt>
                <c:pt idx="13">
                  <c:v>0.56749931799538655</c:v>
                </c:pt>
                <c:pt idx="14">
                  <c:v>1.2561655623245738</c:v>
                </c:pt>
              </c:numCache>
            </c:numRef>
          </c:val>
          <c:extLst>
            <c:ext xmlns:c16="http://schemas.microsoft.com/office/drawing/2014/chart" uri="{C3380CC4-5D6E-409C-BE32-E72D297353CC}">
              <c16:uniqueId val="{00000001-B19A-4351-A65C-5B147768F79C}"/>
            </c:ext>
          </c:extLst>
        </c:ser>
        <c:ser>
          <c:idx val="2"/>
          <c:order val="3"/>
          <c:tx>
            <c:strRef>
              <c:f>IPAS_doprinosi!$F$11</c:f>
              <c:strCache>
                <c:ptCount val="1"/>
                <c:pt idx="0">
                  <c:v>Грађевинарство</c:v>
                </c:pt>
              </c:strCache>
            </c:strRef>
          </c:tx>
          <c:spPr>
            <a:solidFill>
              <a:srgbClr val="51BBE7"/>
            </a:solidFill>
            <a:ln>
              <a:noFill/>
            </a:ln>
            <a:effectLst/>
          </c:spPr>
          <c:invertIfNegative val="0"/>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IPAS_doprinosi!$F$24:$F$38</c:f>
              <c:numCache>
                <c:formatCode>0.0</c:formatCode>
                <c:ptCount val="15"/>
                <c:pt idx="0">
                  <c:v>1.6404001076439663</c:v>
                </c:pt>
                <c:pt idx="1">
                  <c:v>0.78673228938269824</c:v>
                </c:pt>
                <c:pt idx="2">
                  <c:v>6.1055321337708184E-2</c:v>
                </c:pt>
                <c:pt idx="3">
                  <c:v>-0.66449746801667964</c:v>
                </c:pt>
                <c:pt idx="4">
                  <c:v>-0.12401432419814115</c:v>
                </c:pt>
                <c:pt idx="5">
                  <c:v>0.45899843452865363</c:v>
                </c:pt>
                <c:pt idx="6">
                  <c:v>-0.89995294732833298</c:v>
                </c:pt>
                <c:pt idx="7">
                  <c:v>-1.2486313340588977</c:v>
                </c:pt>
                <c:pt idx="8">
                  <c:v>-1.1261018225114894</c:v>
                </c:pt>
                <c:pt idx="9">
                  <c:v>-0.99163321108435309</c:v>
                </c:pt>
                <c:pt idx="10">
                  <c:v>-0.97220542088581396</c:v>
                </c:pt>
                <c:pt idx="11">
                  <c:v>-1.6752840341690244E-3</c:v>
                </c:pt>
                <c:pt idx="12">
                  <c:v>-0.51284924473494653</c:v>
                </c:pt>
                <c:pt idx="13">
                  <c:v>0.70917783041752613</c:v>
                </c:pt>
                <c:pt idx="14">
                  <c:v>2.0609999048575696</c:v>
                </c:pt>
              </c:numCache>
            </c:numRef>
          </c:val>
          <c:extLst>
            <c:ext xmlns:c16="http://schemas.microsoft.com/office/drawing/2014/chart" uri="{C3380CC4-5D6E-409C-BE32-E72D297353CC}">
              <c16:uniqueId val="{00000002-B19A-4351-A65C-5B147768F79C}"/>
            </c:ext>
          </c:extLst>
        </c:ser>
        <c:ser>
          <c:idx val="3"/>
          <c:order val="4"/>
          <c:tx>
            <c:strRef>
              <c:f>IPAS_doprinosi!$G$11</c:f>
              <c:strCache>
                <c:ptCount val="1"/>
                <c:pt idx="0">
                  <c:v>Услуге</c:v>
                </c:pt>
              </c:strCache>
            </c:strRef>
          </c:tx>
          <c:spPr>
            <a:solidFill>
              <a:srgbClr val="90CAE2"/>
            </a:solidFill>
            <a:ln>
              <a:noFill/>
            </a:ln>
            <a:effectLst/>
          </c:spPr>
          <c:invertIfNegative val="0"/>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IPAS_doprinosi!$G$24:$G$38</c:f>
              <c:numCache>
                <c:formatCode>0.0</c:formatCode>
                <c:ptCount val="15"/>
                <c:pt idx="0">
                  <c:v>3.5737882775237799</c:v>
                </c:pt>
                <c:pt idx="1">
                  <c:v>1.9909449717973318</c:v>
                </c:pt>
                <c:pt idx="2">
                  <c:v>2.27651460459913</c:v>
                </c:pt>
                <c:pt idx="3">
                  <c:v>-6.8290309898865225</c:v>
                </c:pt>
                <c:pt idx="4">
                  <c:v>-3.887513470668237</c:v>
                </c:pt>
                <c:pt idx="5">
                  <c:v>-0.31124989428159067</c:v>
                </c:pt>
                <c:pt idx="6">
                  <c:v>-1.8164964774608834</c:v>
                </c:pt>
                <c:pt idx="7">
                  <c:v>-0.66355527459771491</c:v>
                </c:pt>
                <c:pt idx="8">
                  <c:v>-0.65939630777964231</c:v>
                </c:pt>
                <c:pt idx="9">
                  <c:v>-0.5857030404876713</c:v>
                </c:pt>
                <c:pt idx="10">
                  <c:v>-0.27101965914806675</c:v>
                </c:pt>
                <c:pt idx="11">
                  <c:v>-1.1194259105321589</c:v>
                </c:pt>
                <c:pt idx="12">
                  <c:v>-0.89326072218673724</c:v>
                </c:pt>
                <c:pt idx="13">
                  <c:v>-0.74781601129554698</c:v>
                </c:pt>
                <c:pt idx="14">
                  <c:v>1.0819765788917617</c:v>
                </c:pt>
              </c:numCache>
            </c:numRef>
          </c:val>
          <c:extLst>
            <c:ext xmlns:c16="http://schemas.microsoft.com/office/drawing/2014/chart" uri="{C3380CC4-5D6E-409C-BE32-E72D297353CC}">
              <c16:uniqueId val="{00000003-B19A-4351-A65C-5B147768F79C}"/>
            </c:ext>
          </c:extLst>
        </c:ser>
        <c:ser>
          <c:idx val="4"/>
          <c:order val="5"/>
          <c:tx>
            <c:strRef>
              <c:f>IPAS_doprinosi!$H$11</c:f>
              <c:strCache>
                <c:ptCount val="1"/>
                <c:pt idx="0">
                  <c:v>Нето порези</c:v>
                </c:pt>
              </c:strCache>
            </c:strRef>
          </c:tx>
          <c:spPr>
            <a:solidFill>
              <a:srgbClr val="C9E4EB"/>
            </a:solidFill>
            <a:ln>
              <a:noFill/>
            </a:ln>
            <a:effectLst/>
          </c:spPr>
          <c:invertIfNegative val="0"/>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IPAS_doprinosi!$H$24:$H$38</c:f>
              <c:numCache>
                <c:formatCode>0.0</c:formatCode>
                <c:ptCount val="15"/>
                <c:pt idx="0">
                  <c:v>0.75509733895678954</c:v>
                </c:pt>
                <c:pt idx="1">
                  <c:v>0.66103096984717558</c:v>
                </c:pt>
                <c:pt idx="2">
                  <c:v>0.75698820960463065</c:v>
                </c:pt>
                <c:pt idx="3">
                  <c:v>-2.4020110117020703</c:v>
                </c:pt>
                <c:pt idx="4">
                  <c:v>-1.0074039471170861</c:v>
                </c:pt>
                <c:pt idx="5">
                  <c:v>-0.32012305971038518</c:v>
                </c:pt>
                <c:pt idx="6">
                  <c:v>-0.1721008041436019</c:v>
                </c:pt>
                <c:pt idx="7">
                  <c:v>-0.22025553125023359</c:v>
                </c:pt>
                <c:pt idx="8">
                  <c:v>-0.2283973377977794</c:v>
                </c:pt>
                <c:pt idx="9">
                  <c:v>-0.42118227857233931</c:v>
                </c:pt>
                <c:pt idx="10">
                  <c:v>-0.37612755449779089</c:v>
                </c:pt>
                <c:pt idx="11">
                  <c:v>-0.14191387457578042</c:v>
                </c:pt>
                <c:pt idx="12">
                  <c:v>-0.31369443065640562</c:v>
                </c:pt>
                <c:pt idx="13">
                  <c:v>0.14752639984723256</c:v>
                </c:pt>
                <c:pt idx="14">
                  <c:v>0.26269388640044833</c:v>
                </c:pt>
              </c:numCache>
            </c:numRef>
          </c:val>
          <c:extLst>
            <c:ext xmlns:c16="http://schemas.microsoft.com/office/drawing/2014/chart" uri="{C3380CC4-5D6E-409C-BE32-E72D297353CC}">
              <c16:uniqueId val="{00000004-B19A-4351-A65C-5B147768F79C}"/>
            </c:ext>
          </c:extLst>
        </c:ser>
        <c:dLbls>
          <c:showLegendKey val="0"/>
          <c:showVal val="0"/>
          <c:showCatName val="0"/>
          <c:showSerName val="0"/>
          <c:showPercent val="0"/>
          <c:showBubbleSize val="0"/>
        </c:dLbls>
        <c:gapWidth val="60"/>
        <c:overlap val="100"/>
        <c:axId val="1961434128"/>
        <c:axId val="1961419984"/>
      </c:barChart>
      <c:lineChart>
        <c:grouping val="standard"/>
        <c:varyColors val="0"/>
        <c:ser>
          <c:idx val="5"/>
          <c:order val="0"/>
          <c:tx>
            <c:strRef>
              <c:f>IPAS_doprinosi!$C$11</c:f>
              <c:strCache>
                <c:ptCount val="1"/>
                <c:pt idx="0">
                  <c:v>БДП</c:v>
                </c:pt>
              </c:strCache>
            </c:strRef>
          </c:tx>
          <c:spPr>
            <a:ln w="22225" cap="rnd">
              <a:solidFill>
                <a:srgbClr val="FF0000"/>
              </a:solidFill>
              <a:round/>
            </a:ln>
            <a:effectLst/>
          </c:spPr>
          <c:marker>
            <c:symbol val="none"/>
          </c:marker>
          <c:dLbls>
            <c:dLbl>
              <c:idx val="3"/>
              <c:layout>
                <c:manualLayout>
                  <c:x val="-1.3949432027456583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19A-4351-A65C-5B147768F79C}"/>
                </c:ext>
              </c:extLst>
            </c:dLbl>
            <c:dLbl>
              <c:idx val="4"/>
              <c:layout>
                <c:manualLayout>
                  <c:x val="-1.3949432027456583E-2"/>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19A-4351-A65C-5B147768F79C}"/>
                </c:ext>
              </c:extLst>
            </c:dLbl>
            <c:dLbl>
              <c:idx val="6"/>
              <c:layout>
                <c:manualLayout>
                  <c:x val="-6.7189764265582541E-2"/>
                  <c:y val="5.97268283868280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19A-4351-A65C-5B147768F79C}"/>
                </c:ext>
              </c:extLst>
            </c:dLbl>
            <c:dLbl>
              <c:idx val="7"/>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19A-4351-A65C-5B147768F79C}"/>
                </c:ext>
              </c:extLst>
            </c:dLbl>
            <c:dLbl>
              <c:idx val="8"/>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19A-4351-A65C-5B147768F79C}"/>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IPAS_doprinosi!$A$24:$B$38</c:f>
              <c:multiLvlStrCache>
                <c:ptCount val="15"/>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lvl>
                <c:lvl>
                  <c:pt idx="0">
                    <c:v>2020</c:v>
                  </c:pt>
                  <c:pt idx="12">
                    <c:v>2021</c:v>
                  </c:pt>
                </c:lvl>
              </c:multiLvlStrCache>
            </c:multiLvlStrRef>
          </c:cat>
          <c:val>
            <c:numRef>
              <c:f>IPAS_doprinosi!$C$24:$C$38</c:f>
              <c:numCache>
                <c:formatCode>0.0</c:formatCode>
                <c:ptCount val="15"/>
                <c:pt idx="0">
                  <c:v>7.3098390850478117</c:v>
                </c:pt>
                <c:pt idx="1">
                  <c:v>5.1328321393974381</c:v>
                </c:pt>
                <c:pt idx="2">
                  <c:v>3.2980425602715213</c:v>
                </c:pt>
                <c:pt idx="3">
                  <c:v>-13.148325757806578</c:v>
                </c:pt>
                <c:pt idx="4">
                  <c:v>-6.3587478857941315</c:v>
                </c:pt>
                <c:pt idx="5">
                  <c:v>0.4760887778426432</c:v>
                </c:pt>
                <c:pt idx="6">
                  <c:v>-2.4164627739081026</c:v>
                </c:pt>
                <c:pt idx="7">
                  <c:v>-0.99732980035499574</c:v>
                </c:pt>
                <c:pt idx="8">
                  <c:v>-0.79960049819788204</c:v>
                </c:pt>
                <c:pt idx="9">
                  <c:v>-1.2932181088943511</c:v>
                </c:pt>
                <c:pt idx="10">
                  <c:v>-1.3690812043414973</c:v>
                </c:pt>
                <c:pt idx="11">
                  <c:v>-0.56008923043864711</c:v>
                </c:pt>
                <c:pt idx="12">
                  <c:v>-1.4171856352903549</c:v>
                </c:pt>
                <c:pt idx="13">
                  <c:v>0.57935695031384382</c:v>
                </c:pt>
                <c:pt idx="14">
                  <c:v>4.4579158498824825</c:v>
                </c:pt>
              </c:numCache>
            </c:numRef>
          </c:val>
          <c:smooth val="0"/>
          <c:extLst>
            <c:ext xmlns:c16="http://schemas.microsoft.com/office/drawing/2014/chart" uri="{C3380CC4-5D6E-409C-BE32-E72D297353CC}">
              <c16:uniqueId val="{0000000A-B19A-4351-A65C-5B147768F79C}"/>
            </c:ext>
          </c:extLst>
        </c:ser>
        <c:dLbls>
          <c:showLegendKey val="0"/>
          <c:showVal val="0"/>
          <c:showCatName val="0"/>
          <c:showSerName val="0"/>
          <c:showPercent val="0"/>
          <c:showBubbleSize val="0"/>
        </c:dLbls>
        <c:marker val="1"/>
        <c:smooth val="0"/>
        <c:axId val="1961434128"/>
        <c:axId val="1961419984"/>
      </c:lineChart>
      <c:catAx>
        <c:axId val="196143412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19984"/>
        <c:crosses val="autoZero"/>
        <c:auto val="1"/>
        <c:lblAlgn val="ctr"/>
        <c:lblOffset val="0"/>
        <c:noMultiLvlLbl val="0"/>
      </c:catAx>
      <c:valAx>
        <c:axId val="1961419984"/>
        <c:scaling>
          <c:orientation val="minMax"/>
          <c:min val="-1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34128"/>
        <c:crosses val="autoZero"/>
        <c:crossBetween val="between"/>
        <c:majorUnit val="2"/>
        <c:minorUnit val="0.4"/>
      </c:valAx>
      <c:spPr>
        <a:noFill/>
        <a:ln>
          <a:noFill/>
        </a:ln>
        <a:effectLst/>
      </c:spPr>
    </c:plotArea>
    <c:legend>
      <c:legendPos val="b"/>
      <c:layout>
        <c:manualLayout>
          <c:xMode val="edge"/>
          <c:yMode val="edge"/>
          <c:x val="7.1965223097112854E-2"/>
          <c:y val="0.84188729654707517"/>
          <c:w val="0.88171770195392241"/>
          <c:h val="0.15250475684372333"/>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24305555555574E-2"/>
          <c:y val="2.2302910052910054E-2"/>
          <c:w val="0.88431506235448831"/>
          <c:h val="0.66990630891830882"/>
        </c:manualLayout>
      </c:layout>
      <c:lineChart>
        <c:grouping val="standard"/>
        <c:varyColors val="0"/>
        <c:ser>
          <c:idx val="0"/>
          <c:order val="0"/>
          <c:tx>
            <c:strRef>
              <c:f>IPAS_trend!$R$2</c:f>
              <c:strCache>
                <c:ptCount val="1"/>
                <c:pt idx="0">
                  <c:v>Оригинални подаци</c:v>
                </c:pt>
              </c:strCache>
            </c:strRef>
          </c:tx>
          <c:spPr>
            <a:ln w="15875" cap="rnd">
              <a:solidFill>
                <a:srgbClr val="4472C4"/>
              </a:solidFill>
              <a:prstDash val="sysDot"/>
              <a:round/>
            </a:ln>
            <a:effectLst/>
          </c:spPr>
          <c:marker>
            <c:symbol val="none"/>
          </c:marker>
          <c:cat>
            <c:multiLvlStrRef>
              <c:f>IPAS_trend!$P$87:$Q$161</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2018</c:v>
                  </c:pt>
                  <c:pt idx="12">
                    <c:v>2019</c:v>
                  </c:pt>
                  <c:pt idx="24">
                    <c:v>2020</c:v>
                  </c:pt>
                  <c:pt idx="36">
                    <c:v>2021</c:v>
                  </c:pt>
                </c:lvl>
              </c:multiLvlStrCache>
              <c:extLst/>
            </c:multiLvlStrRef>
          </c:cat>
          <c:val>
            <c:numRef>
              <c:f>IPAS_trend!$R$87:$R$161</c:f>
              <c:numCache>
                <c:formatCode>0.0</c:formatCode>
                <c:ptCount val="39"/>
                <c:pt idx="0">
                  <c:v>366916.41120649199</c:v>
                </c:pt>
                <c:pt idx="1">
                  <c:v>362219.05385781598</c:v>
                </c:pt>
                <c:pt idx="2">
                  <c:v>381815.10309584899</c:v>
                </c:pt>
                <c:pt idx="3">
                  <c:v>383898.62373638101</c:v>
                </c:pt>
                <c:pt idx="4">
                  <c:v>396785.75375454198</c:v>
                </c:pt>
                <c:pt idx="5">
                  <c:v>399961.38904343202</c:v>
                </c:pt>
                <c:pt idx="6">
                  <c:v>404406.17090277898</c:v>
                </c:pt>
                <c:pt idx="7">
                  <c:v>403943.211768676</c:v>
                </c:pt>
                <c:pt idx="8">
                  <c:v>410264.346660754</c:v>
                </c:pt>
                <c:pt idx="9">
                  <c:v>421672.543509638</c:v>
                </c:pt>
                <c:pt idx="10">
                  <c:v>413612.49416334397</c:v>
                </c:pt>
                <c:pt idx="11">
                  <c:v>411931.16111385002</c:v>
                </c:pt>
                <c:pt idx="12">
                  <c:v>371690.102353808</c:v>
                </c:pt>
                <c:pt idx="13">
                  <c:v>376888.76335226197</c:v>
                </c:pt>
                <c:pt idx="14">
                  <c:v>391567.305257881</c:v>
                </c:pt>
                <c:pt idx="15">
                  <c:v>393923.24774736201</c:v>
                </c:pt>
                <c:pt idx="16">
                  <c:v>409885.27194998797</c:v>
                </c:pt>
                <c:pt idx="17">
                  <c:v>411530.463738925</c:v>
                </c:pt>
                <c:pt idx="18">
                  <c:v>422241.70286339801</c:v>
                </c:pt>
                <c:pt idx="19">
                  <c:v>422321.16365050199</c:v>
                </c:pt>
                <c:pt idx="20">
                  <c:v>433591.47000387602</c:v>
                </c:pt>
                <c:pt idx="21">
                  <c:v>441333.31919321802</c:v>
                </c:pt>
                <c:pt idx="22">
                  <c:v>442009.88260731997</c:v>
                </c:pt>
                <c:pt idx="23">
                  <c:v>442563.51340120099</c:v>
                </c:pt>
                <c:pt idx="24">
                  <c:v>398860.05073092098</c:v>
                </c:pt>
                <c:pt idx="25">
                  <c:v>396233.83092738502</c:v>
                </c:pt>
                <c:pt idx="26">
                  <c:v>404481.36163739499</c:v>
                </c:pt>
                <c:pt idx="27">
                  <c:v>342128.93589780701</c:v>
                </c:pt>
                <c:pt idx="28">
                  <c:v>383821.70088568598</c:v>
                </c:pt>
                <c:pt idx="29">
                  <c:v>413489.71409418999</c:v>
                </c:pt>
                <c:pt idx="30">
                  <c:v>412038.38929778902</c:v>
                </c:pt>
                <c:pt idx="31">
                  <c:v>418109.22883220902</c:v>
                </c:pt>
                <c:pt idx="32">
                  <c:v>430124.47044958099</c:v>
                </c:pt>
                <c:pt idx="33">
                  <c:v>435625.91678882699</c:v>
                </c:pt>
                <c:pt idx="34">
                  <c:v>435958.408383211</c:v>
                </c:pt>
                <c:pt idx="35">
                  <c:v>440084.76282479003</c:v>
                </c:pt>
                <c:pt idx="36" formatCode="General">
                  <c:v>393207.46338705003</c:v>
                </c:pt>
                <c:pt idx="37" formatCode="General">
                  <c:v>398529.43916635698</c:v>
                </c:pt>
                <c:pt idx="38" formatCode="General">
                  <c:v>422512.80036764801</c:v>
                </c:pt>
              </c:numCache>
              <c:extLst/>
            </c:numRef>
          </c:val>
          <c:smooth val="0"/>
          <c:extLst>
            <c:ext xmlns:c16="http://schemas.microsoft.com/office/drawing/2014/chart" uri="{C3380CC4-5D6E-409C-BE32-E72D297353CC}">
              <c16:uniqueId val="{00000000-C1BC-4F3A-93BF-341E22188714}"/>
            </c:ext>
          </c:extLst>
        </c:ser>
        <c:ser>
          <c:idx val="1"/>
          <c:order val="1"/>
          <c:tx>
            <c:strRef>
              <c:f>IPAS_trend!$S$2</c:f>
              <c:strCache>
                <c:ptCount val="1"/>
                <c:pt idx="0">
                  <c:v>Тренд циклус</c:v>
                </c:pt>
              </c:strCache>
            </c:strRef>
          </c:tx>
          <c:spPr>
            <a:ln w="25400" cap="rnd">
              <a:solidFill>
                <a:srgbClr val="FF0000"/>
              </a:solidFill>
              <a:round/>
            </a:ln>
            <a:effectLst/>
          </c:spPr>
          <c:marker>
            <c:symbol val="none"/>
          </c:marker>
          <c:cat>
            <c:multiLvlStrRef>
              <c:f>IPAS_trend!$P$87:$Q$161</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2018</c:v>
                  </c:pt>
                  <c:pt idx="12">
                    <c:v>2019</c:v>
                  </c:pt>
                  <c:pt idx="24">
                    <c:v>2020</c:v>
                  </c:pt>
                  <c:pt idx="36">
                    <c:v>2021</c:v>
                  </c:pt>
                </c:lvl>
              </c:multiLvlStrCache>
              <c:extLst/>
            </c:multiLvlStrRef>
          </c:cat>
          <c:val>
            <c:numRef>
              <c:f>IPAS_trend!$S$87:$S$161</c:f>
              <c:numCache>
                <c:formatCode>0.0</c:formatCode>
                <c:ptCount val="39"/>
                <c:pt idx="0">
                  <c:v>388907.334585423</c:v>
                </c:pt>
                <c:pt idx="1">
                  <c:v>391059.03639795602</c:v>
                </c:pt>
                <c:pt idx="2">
                  <c:v>393815.86952443799</c:v>
                </c:pt>
                <c:pt idx="3">
                  <c:v>395900.31102757202</c:v>
                </c:pt>
                <c:pt idx="4">
                  <c:v>396725.50289577298</c:v>
                </c:pt>
                <c:pt idx="5">
                  <c:v>397963.24659775401</c:v>
                </c:pt>
                <c:pt idx="6">
                  <c:v>398708.14587621001</c:v>
                </c:pt>
                <c:pt idx="7">
                  <c:v>398578.13734172098</c:v>
                </c:pt>
                <c:pt idx="8">
                  <c:v>398757.49460636399</c:v>
                </c:pt>
                <c:pt idx="9">
                  <c:v>398414.049667363</c:v>
                </c:pt>
                <c:pt idx="10">
                  <c:v>397510.23699853802</c:v>
                </c:pt>
                <c:pt idx="11">
                  <c:v>397496.60999402998</c:v>
                </c:pt>
                <c:pt idx="12">
                  <c:v>399339.05028891499</c:v>
                </c:pt>
                <c:pt idx="13">
                  <c:v>402802.78443181701</c:v>
                </c:pt>
                <c:pt idx="14">
                  <c:v>404829.42245677998</c:v>
                </c:pt>
                <c:pt idx="15">
                  <c:v>405973.043341754</c:v>
                </c:pt>
                <c:pt idx="16">
                  <c:v>409147.61253814102</c:v>
                </c:pt>
                <c:pt idx="17">
                  <c:v>412969.49751844798</c:v>
                </c:pt>
                <c:pt idx="18">
                  <c:v>415561.87438023399</c:v>
                </c:pt>
                <c:pt idx="19">
                  <c:v>417608.90975903103</c:v>
                </c:pt>
                <c:pt idx="20">
                  <c:v>419447.08484362002</c:v>
                </c:pt>
                <c:pt idx="21">
                  <c:v>420678.36326816701</c:v>
                </c:pt>
                <c:pt idx="22">
                  <c:v>422485.21038174402</c:v>
                </c:pt>
                <c:pt idx="23">
                  <c:v>424496.79643447598</c:v>
                </c:pt>
                <c:pt idx="24">
                  <c:v>424890.382286785</c:v>
                </c:pt>
                <c:pt idx="25">
                  <c:v>422553.38376346102</c:v>
                </c:pt>
                <c:pt idx="26">
                  <c:v>418549.81055704301</c:v>
                </c:pt>
                <c:pt idx="27">
                  <c:v>415682.262284895</c:v>
                </c:pt>
                <c:pt idx="28">
                  <c:v>413920.76113380201</c:v>
                </c:pt>
                <c:pt idx="29">
                  <c:v>411815.16750818997</c:v>
                </c:pt>
                <c:pt idx="30">
                  <c:v>411182.05748786603</c:v>
                </c:pt>
                <c:pt idx="31">
                  <c:v>413398.95878032001</c:v>
                </c:pt>
                <c:pt idx="32">
                  <c:v>415229.77220680099</c:v>
                </c:pt>
                <c:pt idx="33">
                  <c:v>416380.08840440703</c:v>
                </c:pt>
                <c:pt idx="34">
                  <c:v>418937.36280968803</c:v>
                </c:pt>
                <c:pt idx="35">
                  <c:v>421144.26455840003</c:v>
                </c:pt>
                <c:pt idx="36" formatCode="General">
                  <c:v>422734.82501710299</c:v>
                </c:pt>
                <c:pt idx="37" formatCode="General">
                  <c:v>426403.01065203297</c:v>
                </c:pt>
                <c:pt idx="38" formatCode="General">
                  <c:v>431047.97507483402</c:v>
                </c:pt>
              </c:numCache>
              <c:extLst/>
            </c:numRef>
          </c:val>
          <c:smooth val="0"/>
          <c:extLst>
            <c:ext xmlns:c16="http://schemas.microsoft.com/office/drawing/2014/chart" uri="{C3380CC4-5D6E-409C-BE32-E72D297353CC}">
              <c16:uniqueId val="{00000001-C1BC-4F3A-93BF-341E22188714}"/>
            </c:ext>
          </c:extLst>
        </c:ser>
        <c:ser>
          <c:idx val="2"/>
          <c:order val="2"/>
          <c:tx>
            <c:strRef>
              <c:f>IPAS_trend!$T$2</c:f>
              <c:strCache>
                <c:ptCount val="1"/>
                <c:pt idx="0">
                  <c:v>Десезонирани подаци</c:v>
                </c:pt>
              </c:strCache>
            </c:strRef>
          </c:tx>
          <c:spPr>
            <a:ln w="22225" cap="rnd">
              <a:solidFill>
                <a:srgbClr val="002060"/>
              </a:solidFill>
              <a:round/>
            </a:ln>
            <a:effectLst/>
          </c:spPr>
          <c:marker>
            <c:symbol val="none"/>
          </c:marker>
          <c:cat>
            <c:multiLvlStrRef>
              <c:f>IPAS_trend!$P$87:$Q$161</c:f>
              <c:multiLvlStrCache>
                <c:ptCount val="39"/>
                <c:lvl>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pt idx="27">
                    <c:v>IV</c:v>
                  </c:pt>
                  <c:pt idx="28">
                    <c:v>V</c:v>
                  </c:pt>
                  <c:pt idx="29">
                    <c:v>VI</c:v>
                  </c:pt>
                  <c:pt idx="30">
                    <c:v>VII</c:v>
                  </c:pt>
                  <c:pt idx="31">
                    <c:v>VIII</c:v>
                  </c:pt>
                  <c:pt idx="32">
                    <c:v>IX</c:v>
                  </c:pt>
                  <c:pt idx="33">
                    <c:v>X</c:v>
                  </c:pt>
                  <c:pt idx="34">
                    <c:v>XI</c:v>
                  </c:pt>
                  <c:pt idx="35">
                    <c:v>XII</c:v>
                  </c:pt>
                  <c:pt idx="36">
                    <c:v>I</c:v>
                  </c:pt>
                  <c:pt idx="37">
                    <c:v>II</c:v>
                  </c:pt>
                  <c:pt idx="38">
                    <c:v>III</c:v>
                  </c:pt>
                </c:lvl>
                <c:lvl>
                  <c:pt idx="0">
                    <c:v>2018</c:v>
                  </c:pt>
                  <c:pt idx="12">
                    <c:v>2019</c:v>
                  </c:pt>
                  <c:pt idx="24">
                    <c:v>2020</c:v>
                  </c:pt>
                  <c:pt idx="36">
                    <c:v>2021</c:v>
                  </c:pt>
                </c:lvl>
              </c:multiLvlStrCache>
              <c:extLst/>
            </c:multiLvlStrRef>
          </c:cat>
          <c:val>
            <c:numRef>
              <c:f>IPAS_trend!$T$87:$T$161</c:f>
              <c:numCache>
                <c:formatCode>0.0</c:formatCode>
                <c:ptCount val="39"/>
                <c:pt idx="0">
                  <c:v>391039.49026911001</c:v>
                </c:pt>
                <c:pt idx="1">
                  <c:v>389000.10405289702</c:v>
                </c:pt>
                <c:pt idx="2">
                  <c:v>395201.36516490602</c:v>
                </c:pt>
                <c:pt idx="3">
                  <c:v>395929.04983541899</c:v>
                </c:pt>
                <c:pt idx="4">
                  <c:v>396595.96290879301</c:v>
                </c:pt>
                <c:pt idx="5">
                  <c:v>397758.51560116903</c:v>
                </c:pt>
                <c:pt idx="6">
                  <c:v>399763.50824821898</c:v>
                </c:pt>
                <c:pt idx="7">
                  <c:v>397587.79228558397</c:v>
                </c:pt>
                <c:pt idx="8">
                  <c:v>399360.81086863799</c:v>
                </c:pt>
                <c:pt idx="9">
                  <c:v>398746.01025929401</c:v>
                </c:pt>
                <c:pt idx="10">
                  <c:v>396835.25734155998</c:v>
                </c:pt>
                <c:pt idx="11">
                  <c:v>397591.15147078602</c:v>
                </c:pt>
                <c:pt idx="12">
                  <c:v>397890.56905084202</c:v>
                </c:pt>
                <c:pt idx="13">
                  <c:v>403950.413347347</c:v>
                </c:pt>
                <c:pt idx="14">
                  <c:v>405531.062616034</c:v>
                </c:pt>
                <c:pt idx="15">
                  <c:v>404347.92074726202</c:v>
                </c:pt>
                <c:pt idx="16">
                  <c:v>409592.87291507301</c:v>
                </c:pt>
                <c:pt idx="17">
                  <c:v>413070.09780333599</c:v>
                </c:pt>
                <c:pt idx="18">
                  <c:v>416218.976804626</c:v>
                </c:pt>
                <c:pt idx="19">
                  <c:v>416761.60243834701</c:v>
                </c:pt>
                <c:pt idx="20">
                  <c:v>420702.94038422097</c:v>
                </c:pt>
                <c:pt idx="21">
                  <c:v>419644.13337957498</c:v>
                </c:pt>
                <c:pt idx="22">
                  <c:v>422684.96816457901</c:v>
                </c:pt>
                <c:pt idx="23">
                  <c:v>424914.67258250399</c:v>
                </c:pt>
                <c:pt idx="24">
                  <c:v>425532.38771324302</c:v>
                </c:pt>
                <c:pt idx="25">
                  <c:v>423691.90102801198</c:v>
                </c:pt>
                <c:pt idx="26">
                  <c:v>417407.78660943097</c:v>
                </c:pt>
                <c:pt idx="27">
                  <c:v>352592.60816312098</c:v>
                </c:pt>
                <c:pt idx="28">
                  <c:v>385298.57223305799</c:v>
                </c:pt>
                <c:pt idx="29">
                  <c:v>412196.16688426898</c:v>
                </c:pt>
                <c:pt idx="30">
                  <c:v>408912.51474122202</c:v>
                </c:pt>
                <c:pt idx="31">
                  <c:v>414622.27292103902</c:v>
                </c:pt>
                <c:pt idx="32">
                  <c:v>415508.03526690701</c:v>
                </c:pt>
                <c:pt idx="33">
                  <c:v>415329.23017488502</c:v>
                </c:pt>
                <c:pt idx="34">
                  <c:v>419318.49483861198</c:v>
                </c:pt>
                <c:pt idx="35">
                  <c:v>421839.219607873</c:v>
                </c:pt>
                <c:pt idx="36" formatCode="General">
                  <c:v>421625.63022355299</c:v>
                </c:pt>
                <c:pt idx="37" formatCode="General">
                  <c:v>425777.89429793903</c:v>
                </c:pt>
                <c:pt idx="38" formatCode="General">
                  <c:v>432462.86646158301</c:v>
                </c:pt>
              </c:numCache>
              <c:extLst/>
            </c:numRef>
          </c:val>
          <c:smooth val="0"/>
          <c:extLst>
            <c:ext xmlns:c16="http://schemas.microsoft.com/office/drawing/2014/chart" uri="{C3380CC4-5D6E-409C-BE32-E72D297353CC}">
              <c16:uniqueId val="{00000002-C1BC-4F3A-93BF-341E22188714}"/>
            </c:ext>
          </c:extLst>
        </c:ser>
        <c:dLbls>
          <c:showLegendKey val="0"/>
          <c:showVal val="0"/>
          <c:showCatName val="0"/>
          <c:showSerName val="0"/>
          <c:showPercent val="0"/>
          <c:showBubbleSize val="0"/>
        </c:dLbls>
        <c:smooth val="0"/>
        <c:axId val="761081920"/>
        <c:axId val="761082480"/>
      </c:lineChart>
      <c:catAx>
        <c:axId val="76108192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0" vert="horz"/>
          <a:lstStyle/>
          <a:p>
            <a:pPr>
              <a:defRPr sz="750">
                <a:latin typeface="+mn-lt"/>
              </a:defRPr>
            </a:pPr>
            <a:endParaRPr lang="sr-Latn-RS"/>
          </a:p>
        </c:txPr>
        <c:crossAx val="761082480"/>
        <c:crosses val="autoZero"/>
        <c:auto val="1"/>
        <c:lblAlgn val="ctr"/>
        <c:lblOffset val="100"/>
        <c:tickMarkSkip val="1"/>
        <c:noMultiLvlLbl val="1"/>
      </c:catAx>
      <c:valAx>
        <c:axId val="761082480"/>
        <c:scaling>
          <c:orientation val="minMax"/>
          <c:max val="450000"/>
          <c:min val="340000"/>
        </c:scaling>
        <c:delete val="0"/>
        <c:axPos val="l"/>
        <c:numFmt formatCode="#,##0" sourceLinked="0"/>
        <c:majorTickMark val="none"/>
        <c:minorTickMark val="none"/>
        <c:tickLblPos val="nextTo"/>
        <c:spPr>
          <a:noFill/>
          <a:ln>
            <a:noFill/>
          </a:ln>
          <a:effectLst/>
        </c:spPr>
        <c:txPr>
          <a:bodyPr rot="-60000000" vert="horz"/>
          <a:lstStyle/>
          <a:p>
            <a:pPr>
              <a:defRPr sz="750">
                <a:latin typeface="+mn-lt"/>
              </a:defRPr>
            </a:pPr>
            <a:endParaRPr lang="sr-Latn-RS"/>
          </a:p>
        </c:txPr>
        <c:crossAx val="761081920"/>
        <c:crossesAt val="1"/>
        <c:crossBetween val="between"/>
        <c:majorUnit val="50000"/>
      </c:valAx>
      <c:spPr>
        <a:noFill/>
        <a:ln>
          <a:noFill/>
        </a:ln>
        <a:effectLst/>
      </c:spPr>
    </c:plotArea>
    <c:legend>
      <c:legendPos val="b"/>
      <c:layout>
        <c:manualLayout>
          <c:xMode val="edge"/>
          <c:yMode val="edge"/>
          <c:x val="0"/>
          <c:y val="0.84769592628616153"/>
          <c:w val="1"/>
          <c:h val="0.12083279125907845"/>
        </c:manualLayout>
      </c:layout>
      <c:overlay val="0"/>
      <c:spPr>
        <a:noFill/>
        <a:ln>
          <a:noFill/>
        </a:ln>
        <a:effectLst/>
      </c:spPr>
      <c:txPr>
        <a:bodyPr rot="0" vert="horz"/>
        <a:lstStyle/>
        <a:p>
          <a:pPr>
            <a:defRPr sz="750">
              <a:latin typeface="+mn-lt"/>
            </a:defRPr>
          </a:pPr>
          <a:endParaRPr lang="sr-Latn-RS"/>
        </a:p>
      </c:txPr>
    </c:legend>
    <c:plotVisOnly val="1"/>
    <c:dispBlanksAs val="gap"/>
    <c:showDLblsOverMax val="0"/>
  </c:chart>
  <c:spPr>
    <a:noFill/>
    <a:ln w="9525" cap="flat" cmpd="sng" algn="ctr">
      <a:noFill/>
      <a:round/>
    </a:ln>
    <a:effectLst/>
  </c:spPr>
  <c:txPr>
    <a:bodyPr/>
    <a:lstStyle/>
    <a:p>
      <a:pPr>
        <a:defRPr sz="800">
          <a:solidFill>
            <a:schemeClr val="tx2"/>
          </a:solidFill>
          <a:latin typeface="Arial" panose="020B0604020202020204" pitchFamily="34" charset="0"/>
          <a:cs typeface="Arial" panose="020B0604020202020204" pitchFamily="34" charset="0"/>
        </a:defRPr>
      </a:pPr>
      <a:endParaRPr lang="sr-Latn-R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graf'!$G$7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427126607500026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DC-41B4-B8D7-CCBFF4EBBA2C}"/>
                </c:ext>
              </c:extLst>
            </c:dLbl>
            <c:dLbl>
              <c:idx val="12"/>
              <c:layout>
                <c:manualLayout>
                  <c:x val="0.13839875978824051"/>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DC-41B4-B8D7-CCBFF4EBBA2C}"/>
                </c:ext>
              </c:extLst>
            </c:dLbl>
            <c:dLbl>
              <c:idx val="24"/>
              <c:layout>
                <c:manualLayout>
                  <c:x val="-8.313264878632089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DC-41B4-B8D7-CCBFF4EBBA2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graf'!$G$44:$G$70</c:f>
              <c:numCache>
                <c:formatCode>General</c:formatCode>
                <c:ptCount val="27"/>
                <c:pt idx="0">
                  <c:v>70</c:v>
                </c:pt>
                <c:pt idx="12">
                  <c:v>70</c:v>
                </c:pt>
                <c:pt idx="24">
                  <c:v>70</c:v>
                </c:pt>
              </c:numCache>
            </c:numRef>
          </c:val>
          <c:smooth val="0"/>
          <c:extLst>
            <c:ext xmlns:c16="http://schemas.microsoft.com/office/drawing/2014/chart" uri="{C3380CC4-5D6E-409C-BE32-E72D297353CC}">
              <c16:uniqueId val="{00000003-86DC-41B4-B8D7-CCBFF4EBBA2C}"/>
            </c:ext>
          </c:extLst>
        </c:ser>
        <c:ser>
          <c:idx val="4"/>
          <c:order val="1"/>
          <c:tx>
            <c:strRef>
              <c:f>'Prerađivačka_6 graf'!$H$7</c:f>
              <c:strCache>
                <c:ptCount val="1"/>
                <c:pt idx="0">
                  <c:v>Series5</c:v>
                </c:pt>
              </c:strCache>
            </c:strRef>
          </c:tx>
          <c:spPr>
            <a:ln w="25400" cap="rnd">
              <a:noFill/>
              <a:round/>
            </a:ln>
            <a:effectLst/>
          </c:spPr>
          <c:marker>
            <c:symbol val="none"/>
          </c:marker>
          <c:dLbls>
            <c:dLbl>
              <c:idx val="0"/>
              <c:tx>
                <c:rich>
                  <a:bodyPr/>
                  <a:lstStyle/>
                  <a:p>
                    <a:fld id="{784154CC-7CAD-4EB4-9F5C-FF07117352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86DC-41B4-B8D7-CCBFF4EBBA2C}"/>
                </c:ext>
              </c:extLst>
            </c:dLbl>
            <c:dLbl>
              <c:idx val="1"/>
              <c:tx>
                <c:rich>
                  <a:bodyPr/>
                  <a:lstStyle/>
                  <a:p>
                    <a:fld id="{0ACF3851-B516-426F-B48B-AA788C413EF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86DC-41B4-B8D7-CCBFF4EBBA2C}"/>
                </c:ext>
              </c:extLst>
            </c:dLbl>
            <c:dLbl>
              <c:idx val="2"/>
              <c:tx>
                <c:rich>
                  <a:bodyPr/>
                  <a:lstStyle/>
                  <a:p>
                    <a:fld id="{4E490FC3-DF27-4554-A16B-E1756AC1222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86DC-41B4-B8D7-CCBFF4EBBA2C}"/>
                </c:ext>
              </c:extLst>
            </c:dLbl>
            <c:dLbl>
              <c:idx val="3"/>
              <c:tx>
                <c:rich>
                  <a:bodyPr/>
                  <a:lstStyle/>
                  <a:p>
                    <a:fld id="{85D50792-DA77-4BA9-8BE7-DC55CDDB09E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86DC-41B4-B8D7-CCBFF4EBBA2C}"/>
                </c:ext>
              </c:extLst>
            </c:dLbl>
            <c:dLbl>
              <c:idx val="4"/>
              <c:tx>
                <c:rich>
                  <a:bodyPr/>
                  <a:lstStyle/>
                  <a:p>
                    <a:fld id="{93143BE7-4CD9-47C5-935D-423C931AEB7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86DC-41B4-B8D7-CCBFF4EBBA2C}"/>
                </c:ext>
              </c:extLst>
            </c:dLbl>
            <c:dLbl>
              <c:idx val="5"/>
              <c:tx>
                <c:rich>
                  <a:bodyPr/>
                  <a:lstStyle/>
                  <a:p>
                    <a:fld id="{9051E559-39F7-4869-BBCD-0D90481B81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86DC-41B4-B8D7-CCBFF4EBBA2C}"/>
                </c:ext>
              </c:extLst>
            </c:dLbl>
            <c:dLbl>
              <c:idx val="6"/>
              <c:tx>
                <c:rich>
                  <a:bodyPr/>
                  <a:lstStyle/>
                  <a:p>
                    <a:fld id="{18829DE7-3975-4978-B7D0-0CD91F4540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86DC-41B4-B8D7-CCBFF4EBBA2C}"/>
                </c:ext>
              </c:extLst>
            </c:dLbl>
            <c:dLbl>
              <c:idx val="7"/>
              <c:tx>
                <c:rich>
                  <a:bodyPr/>
                  <a:lstStyle/>
                  <a:p>
                    <a:fld id="{98B7B9D7-DE57-4354-803E-81AE7562CEC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86DC-41B4-B8D7-CCBFF4EBBA2C}"/>
                </c:ext>
              </c:extLst>
            </c:dLbl>
            <c:dLbl>
              <c:idx val="8"/>
              <c:tx>
                <c:rich>
                  <a:bodyPr/>
                  <a:lstStyle/>
                  <a:p>
                    <a:fld id="{115F899F-BD7C-4175-9EFD-24036232DAA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86DC-41B4-B8D7-CCBFF4EBBA2C}"/>
                </c:ext>
              </c:extLst>
            </c:dLbl>
            <c:dLbl>
              <c:idx val="9"/>
              <c:tx>
                <c:rich>
                  <a:bodyPr/>
                  <a:lstStyle/>
                  <a:p>
                    <a:fld id="{40749F06-15C4-4042-924C-08C5BCC23D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86DC-41B4-B8D7-CCBFF4EBBA2C}"/>
                </c:ext>
              </c:extLst>
            </c:dLbl>
            <c:dLbl>
              <c:idx val="10"/>
              <c:tx>
                <c:rich>
                  <a:bodyPr/>
                  <a:lstStyle/>
                  <a:p>
                    <a:fld id="{C670FB23-88DF-47EE-BFB8-5AB7E789F4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86DC-41B4-B8D7-CCBFF4EBBA2C}"/>
                </c:ext>
              </c:extLst>
            </c:dLbl>
            <c:dLbl>
              <c:idx val="11"/>
              <c:tx>
                <c:rich>
                  <a:bodyPr/>
                  <a:lstStyle/>
                  <a:p>
                    <a:fld id="{4F5B854C-89F3-43AD-A446-185DCD0A083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86DC-41B4-B8D7-CCBFF4EBBA2C}"/>
                </c:ext>
              </c:extLst>
            </c:dLbl>
            <c:dLbl>
              <c:idx val="12"/>
              <c:tx>
                <c:rich>
                  <a:bodyPr/>
                  <a:lstStyle/>
                  <a:p>
                    <a:fld id="{5A030519-2A10-4C54-843E-6872D610A68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86DC-41B4-B8D7-CCBFF4EBBA2C}"/>
                </c:ext>
              </c:extLst>
            </c:dLbl>
            <c:dLbl>
              <c:idx val="13"/>
              <c:tx>
                <c:rich>
                  <a:bodyPr/>
                  <a:lstStyle/>
                  <a:p>
                    <a:fld id="{AF027337-E99D-47B7-9DD1-3C73CA0E86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86DC-41B4-B8D7-CCBFF4EBBA2C}"/>
                </c:ext>
              </c:extLst>
            </c:dLbl>
            <c:dLbl>
              <c:idx val="14"/>
              <c:tx>
                <c:rich>
                  <a:bodyPr/>
                  <a:lstStyle/>
                  <a:p>
                    <a:fld id="{B8EF3A99-5718-4D89-A135-DE4F9C1C139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86DC-41B4-B8D7-CCBFF4EBBA2C}"/>
                </c:ext>
              </c:extLst>
            </c:dLbl>
            <c:dLbl>
              <c:idx val="15"/>
              <c:tx>
                <c:rich>
                  <a:bodyPr/>
                  <a:lstStyle/>
                  <a:p>
                    <a:fld id="{3C8A7B44-D3AD-4476-BD3B-476C752E91C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86DC-41B4-B8D7-CCBFF4EBBA2C}"/>
                </c:ext>
              </c:extLst>
            </c:dLbl>
            <c:dLbl>
              <c:idx val="16"/>
              <c:tx>
                <c:rich>
                  <a:bodyPr/>
                  <a:lstStyle/>
                  <a:p>
                    <a:fld id="{8EFCFFBA-4208-4FB2-8733-F09D1AC68B7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86DC-41B4-B8D7-CCBFF4EBBA2C}"/>
                </c:ext>
              </c:extLst>
            </c:dLbl>
            <c:dLbl>
              <c:idx val="17"/>
              <c:tx>
                <c:rich>
                  <a:bodyPr/>
                  <a:lstStyle/>
                  <a:p>
                    <a:fld id="{B596EA2C-D648-4550-B58E-E2B7586BCE5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86DC-41B4-B8D7-CCBFF4EBBA2C}"/>
                </c:ext>
              </c:extLst>
            </c:dLbl>
            <c:dLbl>
              <c:idx val="18"/>
              <c:tx>
                <c:rich>
                  <a:bodyPr/>
                  <a:lstStyle/>
                  <a:p>
                    <a:fld id="{CE7D5C75-1739-4F40-B26E-C603BA35397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86DC-41B4-B8D7-CCBFF4EBBA2C}"/>
                </c:ext>
              </c:extLst>
            </c:dLbl>
            <c:dLbl>
              <c:idx val="19"/>
              <c:tx>
                <c:rich>
                  <a:bodyPr/>
                  <a:lstStyle/>
                  <a:p>
                    <a:fld id="{C9A5CDF7-4D7A-4457-AD88-25D8FDDB33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86DC-41B4-B8D7-CCBFF4EBBA2C}"/>
                </c:ext>
              </c:extLst>
            </c:dLbl>
            <c:dLbl>
              <c:idx val="20"/>
              <c:tx>
                <c:rich>
                  <a:bodyPr/>
                  <a:lstStyle/>
                  <a:p>
                    <a:fld id="{2441CE7C-DEEB-4CC6-952A-A0FC099B639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86DC-41B4-B8D7-CCBFF4EBBA2C}"/>
                </c:ext>
              </c:extLst>
            </c:dLbl>
            <c:dLbl>
              <c:idx val="21"/>
              <c:tx>
                <c:rich>
                  <a:bodyPr/>
                  <a:lstStyle/>
                  <a:p>
                    <a:fld id="{8678E427-7A37-4184-A4D9-679112B631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86DC-41B4-B8D7-CCBFF4EBBA2C}"/>
                </c:ext>
              </c:extLst>
            </c:dLbl>
            <c:dLbl>
              <c:idx val="22"/>
              <c:tx>
                <c:rich>
                  <a:bodyPr/>
                  <a:lstStyle/>
                  <a:p>
                    <a:fld id="{459A5B2F-662E-41D9-8A34-9B9E27555F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86DC-41B4-B8D7-CCBFF4EBBA2C}"/>
                </c:ext>
              </c:extLst>
            </c:dLbl>
            <c:dLbl>
              <c:idx val="23"/>
              <c:tx>
                <c:rich>
                  <a:bodyPr/>
                  <a:lstStyle/>
                  <a:p>
                    <a:fld id="{DA9F5F6B-8F70-423B-B4C2-FA826CF7F3B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86DC-41B4-B8D7-CCBFF4EBBA2C}"/>
                </c:ext>
              </c:extLst>
            </c:dLbl>
            <c:dLbl>
              <c:idx val="24"/>
              <c:tx>
                <c:rich>
                  <a:bodyPr/>
                  <a:lstStyle/>
                  <a:p>
                    <a:fld id="{31BA268C-7FEE-4A16-8680-5460E6B42AD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86DC-41B4-B8D7-CCBFF4EBBA2C}"/>
                </c:ext>
              </c:extLst>
            </c:dLbl>
            <c:dLbl>
              <c:idx val="25"/>
              <c:tx>
                <c:rich>
                  <a:bodyPr/>
                  <a:lstStyle/>
                  <a:p>
                    <a:fld id="{65BE0F8F-7E66-47C0-89FE-E011B24521E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86DC-41B4-B8D7-CCBFF4EBBA2C}"/>
                </c:ext>
              </c:extLst>
            </c:dLbl>
            <c:dLbl>
              <c:idx val="26"/>
              <c:tx>
                <c:rich>
                  <a:bodyPr/>
                  <a:lstStyle/>
                  <a:p>
                    <a:fld id="{C846A623-6308-43AA-9241-FFDAC01DE7D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86DC-41B4-B8D7-CCBFF4EBBA2C}"/>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graf'!$H$44:$H$70</c:f>
              <c:numCache>
                <c:formatCode>General</c:formatCode>
                <c:ptCount val="27"/>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86DC-41B4-B8D7-CCBFF4EBBA2C}"/>
            </c:ext>
          </c:extLst>
        </c:ser>
        <c:ser>
          <c:idx val="0"/>
          <c:order val="2"/>
          <c:tx>
            <c:strRef>
              <c:f>'Prerađivačka_6 graf'!$I$7</c:f>
              <c:strCache>
                <c:ptCount val="1"/>
                <c:pt idx="0">
                  <c:v>y</c:v>
                </c:pt>
              </c:strCache>
            </c:strRef>
          </c:tx>
          <c:spPr>
            <a:ln w="12700" cap="rnd">
              <a:solidFill>
                <a:srgbClr val="7F3F98"/>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graf'!$I$44:$I$70</c:f>
              <c:numCache>
                <c:formatCode>0.0</c:formatCode>
                <c:ptCount val="27"/>
                <c:pt idx="0">
                  <c:v>82.04683423710712</c:v>
                </c:pt>
                <c:pt idx="1">
                  <c:v>88.92560891798243</c:v>
                </c:pt>
                <c:pt idx="2">
                  <c:v>95.904075985537105</c:v>
                </c:pt>
                <c:pt idx="3">
                  <c:v>94.00992063862941</c:v>
                </c:pt>
                <c:pt idx="4">
                  <c:v>102.98223543977115</c:v>
                </c:pt>
                <c:pt idx="5">
                  <c:v>99.293617132635092</c:v>
                </c:pt>
                <c:pt idx="6">
                  <c:v>105.77362226679298</c:v>
                </c:pt>
                <c:pt idx="7">
                  <c:v>96.00376837221647</c:v>
                </c:pt>
                <c:pt idx="8">
                  <c:v>107.16931568030394</c:v>
                </c:pt>
                <c:pt idx="9">
                  <c:v>114.54655229457605</c:v>
                </c:pt>
                <c:pt idx="10">
                  <c:v>108.96377864053228</c:v>
                </c:pt>
                <c:pt idx="11">
                  <c:v>102.88254305309179</c:v>
                </c:pt>
                <c:pt idx="12">
                  <c:v>87.612387612387622</c:v>
                </c:pt>
                <c:pt idx="13">
                  <c:v>95.759368836291898</c:v>
                </c:pt>
                <c:pt idx="14">
                  <c:v>99.342723004694832</c:v>
                </c:pt>
                <c:pt idx="15">
                  <c:v>75.106117353308349</c:v>
                </c:pt>
                <c:pt idx="16">
                  <c:v>93.383270911360768</c:v>
                </c:pt>
                <c:pt idx="17">
                  <c:v>104.16978776529335</c:v>
                </c:pt>
                <c:pt idx="18">
                  <c:v>105.26841448189764</c:v>
                </c:pt>
                <c:pt idx="19">
                  <c:v>99.575530586766519</c:v>
                </c:pt>
                <c:pt idx="20">
                  <c:v>112.05992509363294</c:v>
                </c:pt>
                <c:pt idx="21">
                  <c:v>113.95755305867664</c:v>
                </c:pt>
                <c:pt idx="22">
                  <c:v>105.06866416978775</c:v>
                </c:pt>
                <c:pt idx="23">
                  <c:v>108.56429463171034</c:v>
                </c:pt>
                <c:pt idx="24">
                  <c:v>87.7</c:v>
                </c:pt>
                <c:pt idx="25">
                  <c:v>97.1</c:v>
                </c:pt>
                <c:pt idx="26">
                  <c:v>105.8</c:v>
                </c:pt>
              </c:numCache>
            </c:numRef>
          </c:val>
          <c:smooth val="0"/>
          <c:extLst>
            <c:ext xmlns:c16="http://schemas.microsoft.com/office/drawing/2014/chart" uri="{C3380CC4-5D6E-409C-BE32-E72D297353CC}">
              <c16:uniqueId val="{00000020-86DC-41B4-B8D7-CCBFF4EBBA2C}"/>
            </c:ext>
          </c:extLst>
        </c:ser>
        <c:ser>
          <c:idx val="1"/>
          <c:order val="3"/>
          <c:tx>
            <c:strRef>
              <c:f>'Prerađivačka_6 graf'!$J$7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graf'!$J$44:$J$70</c:f>
              <c:numCache>
                <c:formatCode>0.0</c:formatCode>
                <c:ptCount val="27"/>
                <c:pt idx="0">
                  <c:v>97.792117399854632</c:v>
                </c:pt>
                <c:pt idx="1">
                  <c:v>99.548798300190711</c:v>
                </c:pt>
                <c:pt idx="2">
                  <c:v>96.719166514866558</c:v>
                </c:pt>
                <c:pt idx="3">
                  <c:v>97.329280383232714</c:v>
                </c:pt>
                <c:pt idx="4">
                  <c:v>100.13134826148608</c:v>
                </c:pt>
                <c:pt idx="5">
                  <c:v>97.169251809784001</c:v>
                </c:pt>
                <c:pt idx="6">
                  <c:v>103.06575375008524</c:v>
                </c:pt>
                <c:pt idx="7">
                  <c:v>99.169569953732363</c:v>
                </c:pt>
                <c:pt idx="8">
                  <c:v>100.84698798044832</c:v>
                </c:pt>
                <c:pt idx="9">
                  <c:v>102.19037493030507</c:v>
                </c:pt>
                <c:pt idx="10">
                  <c:v>103.4368408026203</c:v>
                </c:pt>
                <c:pt idx="11">
                  <c:v>101.42562351611991</c:v>
                </c:pt>
                <c:pt idx="12">
                  <c:v>103.90218004152949</c:v>
                </c:pt>
                <c:pt idx="13">
                  <c:v>100.20536196921623</c:v>
                </c:pt>
                <c:pt idx="14">
                  <c:v>99.664721023048344</c:v>
                </c:pt>
                <c:pt idx="15">
                  <c:v>78.156639841635325</c:v>
                </c:pt>
                <c:pt idx="16">
                  <c:v>92.377761863517733</c:v>
                </c:pt>
                <c:pt idx="17">
                  <c:v>99.706988542103076</c:v>
                </c:pt>
                <c:pt idx="18">
                  <c:v>102.39319480093604</c:v>
                </c:pt>
                <c:pt idx="19">
                  <c:v>104.14111008725365</c:v>
                </c:pt>
                <c:pt idx="20">
                  <c:v>103.71581296071666</c:v>
                </c:pt>
                <c:pt idx="21">
                  <c:v>102.73467233988777</c:v>
                </c:pt>
                <c:pt idx="22">
                  <c:v>99.650780109893248</c:v>
                </c:pt>
                <c:pt idx="23">
                  <c:v>105.57903977988836</c:v>
                </c:pt>
                <c:pt idx="24">
                  <c:v>105.16838770643997</c:v>
                </c:pt>
                <c:pt idx="25">
                  <c:v>108.73336259638026</c:v>
                </c:pt>
                <c:pt idx="26">
                  <c:v>105.35017894595489</c:v>
                </c:pt>
              </c:numCache>
            </c:numRef>
          </c:val>
          <c:smooth val="0"/>
          <c:extLst>
            <c:ext xmlns:c16="http://schemas.microsoft.com/office/drawing/2014/chart" uri="{C3380CC4-5D6E-409C-BE32-E72D297353CC}">
              <c16:uniqueId val="{00000021-86DC-41B4-B8D7-CCBFF4EBBA2C}"/>
            </c:ext>
          </c:extLst>
        </c:ser>
        <c:ser>
          <c:idx val="2"/>
          <c:order val="4"/>
          <c:tx>
            <c:strRef>
              <c:f>'Prerađivačka_6 graf'!$K$7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graf'!$K$44:$K$70</c:f>
              <c:numCache>
                <c:formatCode>0.0</c:formatCode>
                <c:ptCount val="27"/>
                <c:pt idx="0">
                  <c:v>97.794755275138399</c:v>
                </c:pt>
                <c:pt idx="1">
                  <c:v>97.585773093678654</c:v>
                </c:pt>
                <c:pt idx="2">
                  <c:v>97.756872650468523</c:v>
                </c:pt>
                <c:pt idx="3">
                  <c:v>98.159923411895278</c:v>
                </c:pt>
                <c:pt idx="4">
                  <c:v>98.617095766202354</c:v>
                </c:pt>
                <c:pt idx="5">
                  <c:v>99.148001195205723</c:v>
                </c:pt>
                <c:pt idx="6">
                  <c:v>99.778555111565993</c:v>
                </c:pt>
                <c:pt idx="7">
                  <c:v>100.56087539064559</c:v>
                </c:pt>
                <c:pt idx="8">
                  <c:v>101.35541789584946</c:v>
                </c:pt>
                <c:pt idx="9">
                  <c:v>101.98136476939138</c:v>
                </c:pt>
                <c:pt idx="10">
                  <c:v>102.3363188239031</c:v>
                </c:pt>
                <c:pt idx="11">
                  <c:v>102.30301949395853</c:v>
                </c:pt>
                <c:pt idx="12">
                  <c:v>101.82325453762773</c:v>
                </c:pt>
                <c:pt idx="13">
                  <c:v>101.07559309133711</c:v>
                </c:pt>
                <c:pt idx="14">
                  <c:v>100.32116236242992</c:v>
                </c:pt>
                <c:pt idx="15">
                  <c:v>100.00364722813633</c:v>
                </c:pt>
                <c:pt idx="16">
                  <c:v>100.25916126197527</c:v>
                </c:pt>
                <c:pt idx="17">
                  <c:v>100.92956497432762</c:v>
                </c:pt>
                <c:pt idx="18">
                  <c:v>101.78270556975394</c:v>
                </c:pt>
                <c:pt idx="19">
                  <c:v>102.55359999964081</c:v>
                </c:pt>
                <c:pt idx="20">
                  <c:v>103.17100070415265</c:v>
                </c:pt>
                <c:pt idx="21">
                  <c:v>103.72098378331398</c:v>
                </c:pt>
                <c:pt idx="22">
                  <c:v>104.34422824967847</c:v>
                </c:pt>
                <c:pt idx="23">
                  <c:v>105.02797215342001</c:v>
                </c:pt>
                <c:pt idx="24">
                  <c:v>105.73234142439154</c:v>
                </c:pt>
                <c:pt idx="25">
                  <c:v>106.34886991073003</c:v>
                </c:pt>
                <c:pt idx="26">
                  <c:v>106.74335396705281</c:v>
                </c:pt>
              </c:numCache>
            </c:numRef>
          </c:val>
          <c:smooth val="0"/>
          <c:extLst>
            <c:ext xmlns:c16="http://schemas.microsoft.com/office/drawing/2014/chart" uri="{C3380CC4-5D6E-409C-BE32-E72D297353CC}">
              <c16:uniqueId val="{00000022-86DC-41B4-B8D7-CCBFF4EBBA2C}"/>
            </c:ext>
          </c:extLst>
        </c:ser>
        <c:dLbls>
          <c:showLegendKey val="0"/>
          <c:showVal val="0"/>
          <c:showCatName val="0"/>
          <c:showSerName val="0"/>
          <c:showPercent val="0"/>
          <c:showBubbleSize val="0"/>
        </c:dLbls>
        <c:marker val="1"/>
        <c:smooth val="0"/>
        <c:axId val="2092180112"/>
        <c:axId val="2092170320"/>
      </c:lineChart>
      <c:dateAx>
        <c:axId val="20921801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0320"/>
        <c:crosses val="autoZero"/>
        <c:auto val="1"/>
        <c:lblOffset val="0"/>
        <c:baseTimeUnit val="months"/>
        <c:majorUnit val="12"/>
        <c:majorTimeUnit val="months"/>
      </c:dateAx>
      <c:valAx>
        <c:axId val="2092170320"/>
        <c:scaling>
          <c:orientation val="minMax"/>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1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652245513160466E-2"/>
          <c:y val="3.6405005688282137E-2"/>
          <c:w val="0.87031860600758237"/>
          <c:h val="0.79774475289564895"/>
        </c:manualLayout>
      </c:layout>
      <c:lineChart>
        <c:grouping val="standard"/>
        <c:varyColors val="0"/>
        <c:ser>
          <c:idx val="0"/>
          <c:order val="0"/>
          <c:tx>
            <c:strRef>
              <c:f>Commodities!$O$6</c:f>
              <c:strCache>
                <c:ptCount val="1"/>
                <c:pt idx="0">
                  <c:v>Храна</c:v>
                </c:pt>
              </c:strCache>
            </c:strRef>
          </c:tx>
          <c:spPr>
            <a:ln w="22225" cap="rnd">
              <a:solidFill>
                <a:srgbClr val="00A651"/>
              </a:solidFill>
              <a:round/>
            </a:ln>
            <a:effectLst/>
          </c:spPr>
          <c:marker>
            <c:symbol val="none"/>
          </c:marker>
          <c:cat>
            <c:numRef>
              <c:f>Commodities!$I$8:$I$94</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Commodities!$O$8:$O$94</c:f>
              <c:numCache>
                <c:formatCode>0.00</c:formatCode>
                <c:ptCount val="87"/>
                <c:pt idx="0">
                  <c:v>99.894050149667123</c:v>
                </c:pt>
                <c:pt idx="1">
                  <c:v>102.57223833211279</c:v>
                </c:pt>
                <c:pt idx="2">
                  <c:v>108.32227826613683</c:v>
                </c:pt>
                <c:pt idx="3">
                  <c:v>110.26429488578556</c:v>
                </c:pt>
                <c:pt idx="4">
                  <c:v>105.62549987124828</c:v>
                </c:pt>
                <c:pt idx="5">
                  <c:v>103.07177770307341</c:v>
                </c:pt>
                <c:pt idx="6">
                  <c:v>100.6678895313798</c:v>
                </c:pt>
                <c:pt idx="7">
                  <c:v>95.989254279214038</c:v>
                </c:pt>
                <c:pt idx="8">
                  <c:v>94.152787867724371</c:v>
                </c:pt>
                <c:pt idx="9">
                  <c:v>93.620995277736867</c:v>
                </c:pt>
                <c:pt idx="10">
                  <c:v>93.578670739595154</c:v>
                </c:pt>
                <c:pt idx="11">
                  <c:v>92.240263096325862</c:v>
                </c:pt>
                <c:pt idx="12">
                  <c:v>88.880471596291088</c:v>
                </c:pt>
                <c:pt idx="13">
                  <c:v>86.106192017315394</c:v>
                </c:pt>
                <c:pt idx="14">
                  <c:v>83.695227464959743</c:v>
                </c:pt>
                <c:pt idx="15">
                  <c:v>85.238654385660666</c:v>
                </c:pt>
                <c:pt idx="16">
                  <c:v>84.859582038702115</c:v>
                </c:pt>
                <c:pt idx="17">
                  <c:v>84.235282988178582</c:v>
                </c:pt>
                <c:pt idx="18">
                  <c:v>83.979449722288322</c:v>
                </c:pt>
                <c:pt idx="19">
                  <c:v>81.406206120818268</c:v>
                </c:pt>
                <c:pt idx="20">
                  <c:v>80.92026192521773</c:v>
                </c:pt>
                <c:pt idx="21">
                  <c:v>81.288680776089265</c:v>
                </c:pt>
                <c:pt idx="22">
                  <c:v>77.79355276637871</c:v>
                </c:pt>
                <c:pt idx="23">
                  <c:v>77.525863962444348</c:v>
                </c:pt>
                <c:pt idx="24">
                  <c:v>77.533138228154996</c:v>
                </c:pt>
                <c:pt idx="25">
                  <c:v>78.737670083010798</c:v>
                </c:pt>
                <c:pt idx="26">
                  <c:v>81.387173647036761</c:v>
                </c:pt>
                <c:pt idx="27">
                  <c:v>83.570427614948088</c:v>
                </c:pt>
                <c:pt idx="28">
                  <c:v>84.516547749030096</c:v>
                </c:pt>
                <c:pt idx="29">
                  <c:v>86.058114477115396</c:v>
                </c:pt>
                <c:pt idx="30">
                  <c:v>86.354720978587835</c:v>
                </c:pt>
                <c:pt idx="31">
                  <c:v>84.736351282085948</c:v>
                </c:pt>
                <c:pt idx="32">
                  <c:v>84.168811321824464</c:v>
                </c:pt>
                <c:pt idx="33">
                  <c:v>83.094260313340598</c:v>
                </c:pt>
                <c:pt idx="34">
                  <c:v>83.451916016565519</c:v>
                </c:pt>
                <c:pt idx="35">
                  <c:v>84.172087003428956</c:v>
                </c:pt>
                <c:pt idx="36">
                  <c:v>87.281450845590854</c:v>
                </c:pt>
                <c:pt idx="37">
                  <c:v>87.589140541806088</c:v>
                </c:pt>
                <c:pt idx="38">
                  <c:v>84.689924393739943</c:v>
                </c:pt>
                <c:pt idx="39">
                  <c:v>83.998535077557094</c:v>
                </c:pt>
                <c:pt idx="40">
                  <c:v>86.042940908708289</c:v>
                </c:pt>
                <c:pt idx="41">
                  <c:v>85.417513274771693</c:v>
                </c:pt>
                <c:pt idx="42">
                  <c:v>87.313116905139395</c:v>
                </c:pt>
                <c:pt idx="43">
                  <c:v>83.090409231954624</c:v>
                </c:pt>
                <c:pt idx="44">
                  <c:v>81.63976267740037</c:v>
                </c:pt>
                <c:pt idx="45">
                  <c:v>82.254390691257967</c:v>
                </c:pt>
                <c:pt idx="46">
                  <c:v>82.529763117298998</c:v>
                </c:pt>
                <c:pt idx="47">
                  <c:v>82.403351160148063</c:v>
                </c:pt>
                <c:pt idx="48">
                  <c:v>84.914449045899843</c:v>
                </c:pt>
                <c:pt idx="49">
                  <c:v>84.777836691624032</c:v>
                </c:pt>
                <c:pt idx="50">
                  <c:v>85.513668588480996</c:v>
                </c:pt>
                <c:pt idx="51">
                  <c:v>85.105922236864785</c:v>
                </c:pt>
                <c:pt idx="52">
                  <c:v>86.24060167607287</c:v>
                </c:pt>
                <c:pt idx="53">
                  <c:v>82.711715528144936</c:v>
                </c:pt>
                <c:pt idx="54">
                  <c:v>80.464503386373622</c:v>
                </c:pt>
                <c:pt idx="55">
                  <c:v>77.19317516514576</c:v>
                </c:pt>
                <c:pt idx="56">
                  <c:v>78.057486295014513</c:v>
                </c:pt>
                <c:pt idx="57">
                  <c:v>79.252872226054535</c:v>
                </c:pt>
                <c:pt idx="58">
                  <c:v>75.672288731482951</c:v>
                </c:pt>
                <c:pt idx="59">
                  <c:v>78.011643425435722</c:v>
                </c:pt>
                <c:pt idx="60">
                  <c:v>79.432367241520865</c:v>
                </c:pt>
                <c:pt idx="61">
                  <c:v>77.929769224474043</c:v>
                </c:pt>
                <c:pt idx="62">
                  <c:v>77.011683682860379</c:v>
                </c:pt>
                <c:pt idx="63">
                  <c:v>79.396789284823839</c:v>
                </c:pt>
                <c:pt idx="64">
                  <c:v>76.666933288327272</c:v>
                </c:pt>
                <c:pt idx="65">
                  <c:v>78.306771595339157</c:v>
                </c:pt>
                <c:pt idx="66">
                  <c:v>78.199287702434177</c:v>
                </c:pt>
                <c:pt idx="67">
                  <c:v>76.572795469035995</c:v>
                </c:pt>
                <c:pt idx="68">
                  <c:v>74.731825727837972</c:v>
                </c:pt>
                <c:pt idx="69">
                  <c:v>74.738808785643087</c:v>
                </c:pt>
                <c:pt idx="70">
                  <c:v>77.578052622184586</c:v>
                </c:pt>
                <c:pt idx="71">
                  <c:v>80.405857220906242</c:v>
                </c:pt>
                <c:pt idx="72">
                  <c:v>81.322835170410158</c:v>
                </c:pt>
                <c:pt idx="73">
                  <c:v>77.970774481407432</c:v>
                </c:pt>
                <c:pt idx="74">
                  <c:v>75.197074280379695</c:v>
                </c:pt>
                <c:pt idx="75">
                  <c:v>72.400785841276857</c:v>
                </c:pt>
                <c:pt idx="76">
                  <c:v>75.265660345906213</c:v>
                </c:pt>
                <c:pt idx="77">
                  <c:v>77.425094912823411</c:v>
                </c:pt>
                <c:pt idx="78">
                  <c:v>75.354540990273847</c:v>
                </c:pt>
                <c:pt idx="79">
                  <c:v>75.85101129404714</c:v>
                </c:pt>
                <c:pt idx="80">
                  <c:v>76.720650498205728</c:v>
                </c:pt>
                <c:pt idx="81">
                  <c:v>80.726941289674357</c:v>
                </c:pt>
                <c:pt idx="82">
                  <c:v>82.928801993150131</c:v>
                </c:pt>
                <c:pt idx="83">
                  <c:v>83.552727584352851</c:v>
                </c:pt>
                <c:pt idx="84">
                  <c:v>88.746444069263518</c:v>
                </c:pt>
                <c:pt idx="85">
                  <c:v>90.917173944034701</c:v>
                </c:pt>
              </c:numCache>
            </c:numRef>
          </c:val>
          <c:smooth val="0"/>
          <c:extLst>
            <c:ext xmlns:c16="http://schemas.microsoft.com/office/drawing/2014/chart" uri="{C3380CC4-5D6E-409C-BE32-E72D297353CC}">
              <c16:uniqueId val="{00000000-83CE-4941-91E6-4DF9B0F6F709}"/>
            </c:ext>
          </c:extLst>
        </c:ser>
        <c:ser>
          <c:idx val="1"/>
          <c:order val="1"/>
          <c:tx>
            <c:strRef>
              <c:f>Commodities!$P$6</c:f>
              <c:strCache>
                <c:ptCount val="1"/>
                <c:pt idx="0">
                  <c:v>Метали</c:v>
                </c:pt>
              </c:strCache>
            </c:strRef>
          </c:tx>
          <c:spPr>
            <a:ln w="22225" cap="rnd">
              <a:solidFill>
                <a:srgbClr val="EC008C"/>
              </a:solidFill>
              <a:round/>
            </a:ln>
            <a:effectLst/>
          </c:spPr>
          <c:marker>
            <c:symbol val="none"/>
          </c:marker>
          <c:cat>
            <c:numRef>
              <c:f>Commodities!$I$8:$I$94</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Commodities!$P$8:$P$94</c:f>
              <c:numCache>
                <c:formatCode>0.00</c:formatCode>
                <c:ptCount val="87"/>
                <c:pt idx="0">
                  <c:v>110.3991391235123</c:v>
                </c:pt>
                <c:pt idx="1">
                  <c:v>107.32891737765296</c:v>
                </c:pt>
                <c:pt idx="2">
                  <c:v>102.15219993139449</c:v>
                </c:pt>
                <c:pt idx="3">
                  <c:v>105.38323295967801</c:v>
                </c:pt>
                <c:pt idx="4">
                  <c:v>102.35371433319162</c:v>
                </c:pt>
                <c:pt idx="5">
                  <c:v>99.827859847499667</c:v>
                </c:pt>
                <c:pt idx="6">
                  <c:v>102.67693368384995</c:v>
                </c:pt>
                <c:pt idx="7">
                  <c:v>102.04202880703761</c:v>
                </c:pt>
                <c:pt idx="8">
                  <c:v>97.104151469050947</c:v>
                </c:pt>
                <c:pt idx="9">
                  <c:v>92.633004605965411</c:v>
                </c:pt>
                <c:pt idx="10">
                  <c:v>91.288774292059358</c:v>
                </c:pt>
                <c:pt idx="11">
                  <c:v>86.810043569107691</c:v>
                </c:pt>
                <c:pt idx="12">
                  <c:v>83.473789693157499</c:v>
                </c:pt>
                <c:pt idx="13">
                  <c:v>80.175673562945946</c:v>
                </c:pt>
                <c:pt idx="14">
                  <c:v>78.180018937873157</c:v>
                </c:pt>
                <c:pt idx="15">
                  <c:v>76.610661964684255</c:v>
                </c:pt>
                <c:pt idx="16">
                  <c:v>80.444731940217054</c:v>
                </c:pt>
                <c:pt idx="17">
                  <c:v>76.759724185237999</c:v>
                </c:pt>
                <c:pt idx="18">
                  <c:v>69.897428364988912</c:v>
                </c:pt>
                <c:pt idx="19">
                  <c:v>68.922274840600565</c:v>
                </c:pt>
                <c:pt idx="20">
                  <c:v>69.139170889054498</c:v>
                </c:pt>
                <c:pt idx="21">
                  <c:v>67.215211233513827</c:v>
                </c:pt>
                <c:pt idx="22">
                  <c:v>61.754307810148724</c:v>
                </c:pt>
                <c:pt idx="23">
                  <c:v>58.94250917165531</c:v>
                </c:pt>
                <c:pt idx="24">
                  <c:v>58.452172473661285</c:v>
                </c:pt>
                <c:pt idx="25">
                  <c:v>61.318908551565414</c:v>
                </c:pt>
                <c:pt idx="26">
                  <c:v>66.327363892913496</c:v>
                </c:pt>
                <c:pt idx="27">
                  <c:v>67.537692379457312</c:v>
                </c:pt>
                <c:pt idx="28">
                  <c:v>65.176504542277002</c:v>
                </c:pt>
                <c:pt idx="29">
                  <c:v>64.44306095250802</c:v>
                </c:pt>
                <c:pt idx="30">
                  <c:v>68.158269029758046</c:v>
                </c:pt>
                <c:pt idx="31">
                  <c:v>69.251599057227622</c:v>
                </c:pt>
                <c:pt idx="32">
                  <c:v>67.56140991037698</c:v>
                </c:pt>
                <c:pt idx="33">
                  <c:v>68.16022534166629</c:v>
                </c:pt>
                <c:pt idx="34">
                  <c:v>77.57632284030646</c:v>
                </c:pt>
                <c:pt idx="35">
                  <c:v>80.266371411228022</c:v>
                </c:pt>
                <c:pt idx="36">
                  <c:v>81.169693089594674</c:v>
                </c:pt>
                <c:pt idx="37">
                  <c:v>85.999604677651632</c:v>
                </c:pt>
                <c:pt idx="38">
                  <c:v>85.028470837417984</c:v>
                </c:pt>
                <c:pt idx="39">
                  <c:v>77.966779640751753</c:v>
                </c:pt>
                <c:pt idx="40">
                  <c:v>74.543116748212256</c:v>
                </c:pt>
                <c:pt idx="41">
                  <c:v>73.293172107063441</c:v>
                </c:pt>
                <c:pt idx="42">
                  <c:v>78.16145292103694</c:v>
                </c:pt>
                <c:pt idx="43">
                  <c:v>84.397435856318623</c:v>
                </c:pt>
                <c:pt idx="44">
                  <c:v>83.333410648698717</c:v>
                </c:pt>
                <c:pt idx="45">
                  <c:v>82.06287351539001</c:v>
                </c:pt>
                <c:pt idx="46">
                  <c:v>82.837566743633332</c:v>
                </c:pt>
                <c:pt idx="47">
                  <c:v>85.648579453070752</c:v>
                </c:pt>
                <c:pt idx="48">
                  <c:v>89.490358020501134</c:v>
                </c:pt>
                <c:pt idx="49">
                  <c:v>89.941005953304796</c:v>
                </c:pt>
                <c:pt idx="50">
                  <c:v>86.498214204949704</c:v>
                </c:pt>
                <c:pt idx="51">
                  <c:v>87.164186008065016</c:v>
                </c:pt>
                <c:pt idx="52">
                  <c:v>87.283805211061377</c:v>
                </c:pt>
                <c:pt idx="53">
                  <c:v>87.782735036921281</c:v>
                </c:pt>
                <c:pt idx="54">
                  <c:v>82.266180220619077</c:v>
                </c:pt>
                <c:pt idx="55">
                  <c:v>80.968021699707975</c:v>
                </c:pt>
                <c:pt idx="56">
                  <c:v>80.452670941486701</c:v>
                </c:pt>
                <c:pt idx="57">
                  <c:v>82.2608808418411</c:v>
                </c:pt>
                <c:pt idx="58">
                  <c:v>81.128340175108903</c:v>
                </c:pt>
                <c:pt idx="59">
                  <c:v>79.427917158434639</c:v>
                </c:pt>
                <c:pt idx="60">
                  <c:v>80.624802901667167</c:v>
                </c:pt>
                <c:pt idx="61">
                  <c:v>86.712939995756358</c:v>
                </c:pt>
                <c:pt idx="62">
                  <c:v>87.402740335342145</c:v>
                </c:pt>
                <c:pt idx="63">
                  <c:v>89.071988950019161</c:v>
                </c:pt>
                <c:pt idx="64">
                  <c:v>88.574119800297424</c:v>
                </c:pt>
                <c:pt idx="65">
                  <c:v>90.155671550275144</c:v>
                </c:pt>
                <c:pt idx="66">
                  <c:v>93.92088632127296</c:v>
                </c:pt>
                <c:pt idx="67">
                  <c:v>84.840409769480772</c:v>
                </c:pt>
                <c:pt idx="68">
                  <c:v>85.571232927248175</c:v>
                </c:pt>
                <c:pt idx="69">
                  <c:v>83.556630663120018</c:v>
                </c:pt>
                <c:pt idx="70">
                  <c:v>80.135691649245999</c:v>
                </c:pt>
                <c:pt idx="71">
                  <c:v>82.798562424939448</c:v>
                </c:pt>
                <c:pt idx="72">
                  <c:v>83.989268203433454</c:v>
                </c:pt>
                <c:pt idx="73">
                  <c:v>79.319029056318854</c:v>
                </c:pt>
                <c:pt idx="74">
                  <c:v>75.856559499498175</c:v>
                </c:pt>
                <c:pt idx="75">
                  <c:v>73.258767480140747</c:v>
                </c:pt>
                <c:pt idx="76">
                  <c:v>77.437022009190642</c:v>
                </c:pt>
                <c:pt idx="77">
                  <c:v>83.66395968473752</c:v>
                </c:pt>
                <c:pt idx="78">
                  <c:v>87.685219972571801</c:v>
                </c:pt>
                <c:pt idx="79">
                  <c:v>93.488604885723163</c:v>
                </c:pt>
                <c:pt idx="80">
                  <c:v>95.34842321304032</c:v>
                </c:pt>
                <c:pt idx="81">
                  <c:v>94.56967322622188</c:v>
                </c:pt>
                <c:pt idx="82">
                  <c:v>98.839070953919787</c:v>
                </c:pt>
                <c:pt idx="83">
                  <c:v>112.08176644105508</c:v>
                </c:pt>
                <c:pt idx="84">
                  <c:v>117.87419099496054</c:v>
                </c:pt>
                <c:pt idx="85">
                  <c:v>119.81958884519933</c:v>
                </c:pt>
              </c:numCache>
            </c:numRef>
          </c:val>
          <c:smooth val="0"/>
          <c:extLst>
            <c:ext xmlns:c16="http://schemas.microsoft.com/office/drawing/2014/chart" uri="{C3380CC4-5D6E-409C-BE32-E72D297353CC}">
              <c16:uniqueId val="{00000001-83CE-4941-91E6-4DF9B0F6F709}"/>
            </c:ext>
          </c:extLst>
        </c:ser>
        <c:ser>
          <c:idx val="2"/>
          <c:order val="2"/>
          <c:tx>
            <c:strRef>
              <c:f>Commodities!$Q$6</c:f>
              <c:strCache>
                <c:ptCount val="1"/>
                <c:pt idx="0">
                  <c:v>Просечна цена нафте</c:v>
                </c:pt>
              </c:strCache>
            </c:strRef>
          </c:tx>
          <c:spPr>
            <a:ln w="22225" cap="rnd">
              <a:solidFill>
                <a:srgbClr val="003891"/>
              </a:solidFill>
              <a:round/>
            </a:ln>
            <a:effectLst/>
          </c:spPr>
          <c:marker>
            <c:symbol val="none"/>
          </c:marker>
          <c:cat>
            <c:numRef>
              <c:f>Commodities!$I$8:$I$94</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Commodities!$Q$8:$Q$94</c:f>
              <c:numCache>
                <c:formatCode>0.00</c:formatCode>
                <c:ptCount val="87"/>
                <c:pt idx="0">
                  <c:v>106.05583785594526</c:v>
                </c:pt>
                <c:pt idx="1">
                  <c:v>108.27679438294905</c:v>
                </c:pt>
                <c:pt idx="2">
                  <c:v>106.72236275093435</c:v>
                </c:pt>
                <c:pt idx="3">
                  <c:v>107.39834087358305</c:v>
                </c:pt>
                <c:pt idx="4">
                  <c:v>108.05571353820847</c:v>
                </c:pt>
                <c:pt idx="5">
                  <c:v>111.04898937735713</c:v>
                </c:pt>
                <c:pt idx="6">
                  <c:v>107.71608465460915</c:v>
                </c:pt>
                <c:pt idx="7">
                  <c:v>103.46939290470496</c:v>
                </c:pt>
                <c:pt idx="8">
                  <c:v>100.94312002910738</c:v>
                </c:pt>
                <c:pt idx="9">
                  <c:v>91.459897931554821</c:v>
                </c:pt>
                <c:pt idx="10">
                  <c:v>82.941388718666474</c:v>
                </c:pt>
                <c:pt idx="11">
                  <c:v>65.912076982380043</c:v>
                </c:pt>
                <c:pt idx="12">
                  <c:v>53.291306304600333</c:v>
                </c:pt>
                <c:pt idx="13">
                  <c:v>61.931528712685711</c:v>
                </c:pt>
                <c:pt idx="14">
                  <c:v>60.587531522097173</c:v>
                </c:pt>
                <c:pt idx="15">
                  <c:v>65.828652956982552</c:v>
                </c:pt>
                <c:pt idx="16">
                  <c:v>70.367446156109452</c:v>
                </c:pt>
                <c:pt idx="17">
                  <c:v>68.812511264930635</c:v>
                </c:pt>
                <c:pt idx="18">
                  <c:v>61.405351898821365</c:v>
                </c:pt>
                <c:pt idx="19">
                  <c:v>51.344914767125218</c:v>
                </c:pt>
                <c:pt idx="20">
                  <c:v>51.923999131177787</c:v>
                </c:pt>
                <c:pt idx="21">
                  <c:v>52.625095759219171</c:v>
                </c:pt>
                <c:pt idx="22">
                  <c:v>49.099415332159026</c:v>
                </c:pt>
                <c:pt idx="23">
                  <c:v>41.538212703880333</c:v>
                </c:pt>
                <c:pt idx="24">
                  <c:v>34.084010669384561</c:v>
                </c:pt>
                <c:pt idx="25">
                  <c:v>35.157103348903469</c:v>
                </c:pt>
                <c:pt idx="26">
                  <c:v>42.07526950179858</c:v>
                </c:pt>
                <c:pt idx="27">
                  <c:v>45.312683687282707</c:v>
                </c:pt>
                <c:pt idx="28">
                  <c:v>50.923351386452708</c:v>
                </c:pt>
                <c:pt idx="29">
                  <c:v>52.806727539849838</c:v>
                </c:pt>
                <c:pt idx="30">
                  <c:v>49.615620414928742</c:v>
                </c:pt>
                <c:pt idx="31">
                  <c:v>49.894932290435314</c:v>
                </c:pt>
                <c:pt idx="32">
                  <c:v>50.01099840434761</c:v>
                </c:pt>
                <c:pt idx="33">
                  <c:v>55.33553708451354</c:v>
                </c:pt>
                <c:pt idx="34">
                  <c:v>51.241621970403436</c:v>
                </c:pt>
                <c:pt idx="35">
                  <c:v>60.294904663766168</c:v>
                </c:pt>
                <c:pt idx="36">
                  <c:v>61.023752943893754</c:v>
                </c:pt>
                <c:pt idx="37">
                  <c:v>61.614663968603018</c:v>
                </c:pt>
                <c:pt idx="38">
                  <c:v>57.759532812791321</c:v>
                </c:pt>
                <c:pt idx="39">
                  <c:v>58.859720902104272</c:v>
                </c:pt>
                <c:pt idx="40">
                  <c:v>55.746768238403604</c:v>
                </c:pt>
                <c:pt idx="41">
                  <c:v>51.161313297787068</c:v>
                </c:pt>
                <c:pt idx="42">
                  <c:v>52.389079124244816</c:v>
                </c:pt>
                <c:pt idx="43">
                  <c:v>54.083948218587338</c:v>
                </c:pt>
                <c:pt idx="44">
                  <c:v>56.620820838755463</c:v>
                </c:pt>
                <c:pt idx="45">
                  <c:v>59.183189723269258</c:v>
                </c:pt>
                <c:pt idx="46">
                  <c:v>64.485177057797898</c:v>
                </c:pt>
                <c:pt idx="47">
                  <c:v>65.408884321627639</c:v>
                </c:pt>
                <c:pt idx="48">
                  <c:v>69.272986535166083</c:v>
                </c:pt>
                <c:pt idx="49">
                  <c:v>65.678940069742154</c:v>
                </c:pt>
                <c:pt idx="50">
                  <c:v>66.333734972630012</c:v>
                </c:pt>
                <c:pt idx="51">
                  <c:v>70.986805528132095</c:v>
                </c:pt>
                <c:pt idx="52">
                  <c:v>76.925808475840469</c:v>
                </c:pt>
                <c:pt idx="53">
                  <c:v>75.968624820877039</c:v>
                </c:pt>
                <c:pt idx="54">
                  <c:v>77.140707837380162</c:v>
                </c:pt>
                <c:pt idx="55">
                  <c:v>75.811856945217357</c:v>
                </c:pt>
                <c:pt idx="56">
                  <c:v>79.971281177011065</c:v>
                </c:pt>
                <c:pt idx="57">
                  <c:v>81.752054929431651</c:v>
                </c:pt>
                <c:pt idx="58">
                  <c:v>66.813104972064792</c:v>
                </c:pt>
                <c:pt idx="59">
                  <c:v>57.65564612619594</c:v>
                </c:pt>
                <c:pt idx="60">
                  <c:v>60.1130667135496</c:v>
                </c:pt>
                <c:pt idx="61">
                  <c:v>65.056371588647892</c:v>
                </c:pt>
                <c:pt idx="62">
                  <c:v>67.631545640330643</c:v>
                </c:pt>
                <c:pt idx="63">
                  <c:v>72.562469294359786</c:v>
                </c:pt>
                <c:pt idx="64">
                  <c:v>71.044111736086933</c:v>
                </c:pt>
                <c:pt idx="65">
                  <c:v>63.250907433520069</c:v>
                </c:pt>
                <c:pt idx="66">
                  <c:v>65.170502123395664</c:v>
                </c:pt>
                <c:pt idx="67">
                  <c:v>61.390279675592716</c:v>
                </c:pt>
                <c:pt idx="68">
                  <c:v>64.061862345360623</c:v>
                </c:pt>
                <c:pt idx="69">
                  <c:v>60.807374703224667</c:v>
                </c:pt>
                <c:pt idx="70">
                  <c:v>63.82072359370936</c:v>
                </c:pt>
                <c:pt idx="71">
                  <c:v>66.72792069242044</c:v>
                </c:pt>
                <c:pt idx="72">
                  <c:v>64.782285840394991</c:v>
                </c:pt>
                <c:pt idx="73">
                  <c:v>56.446970468350216</c:v>
                </c:pt>
                <c:pt idx="74">
                  <c:v>34.113170394479042</c:v>
                </c:pt>
                <c:pt idx="75">
                  <c:v>22.736311637187018</c:v>
                </c:pt>
                <c:pt idx="76">
                  <c:v>32.5960345081821</c:v>
                </c:pt>
                <c:pt idx="77">
                  <c:v>41.662706702490226</c:v>
                </c:pt>
                <c:pt idx="78">
                  <c:v>43.793255449120942</c:v>
                </c:pt>
                <c:pt idx="79">
                  <c:v>44.428624646597825</c:v>
                </c:pt>
                <c:pt idx="80">
                  <c:v>41.421633916027453</c:v>
                </c:pt>
                <c:pt idx="81">
                  <c:v>40.593642181183682</c:v>
                </c:pt>
                <c:pt idx="82">
                  <c:v>42.870877818778162</c:v>
                </c:pt>
                <c:pt idx="83">
                  <c:v>48.591110060017598</c:v>
                </c:pt>
                <c:pt idx="84">
                  <c:v>52.979940915810403</c:v>
                </c:pt>
                <c:pt idx="85">
                  <c:v>59.786571735586179</c:v>
                </c:pt>
              </c:numCache>
            </c:numRef>
          </c:val>
          <c:smooth val="0"/>
          <c:extLst>
            <c:ext xmlns:c16="http://schemas.microsoft.com/office/drawing/2014/chart" uri="{C3380CC4-5D6E-409C-BE32-E72D297353CC}">
              <c16:uniqueId val="{00000002-83CE-4941-91E6-4DF9B0F6F709}"/>
            </c:ext>
          </c:extLst>
        </c:ser>
        <c:ser>
          <c:idx val="4"/>
          <c:order val="3"/>
          <c:tx>
            <c:strRef>
              <c:f>Commodities!$R$6</c:f>
              <c:strCache>
                <c:ptCount val="1"/>
                <c:pt idx="0">
                  <c:v>100</c:v>
                </c:pt>
              </c:strCache>
            </c:strRef>
          </c:tx>
          <c:spPr>
            <a:ln w="6350" cap="rnd">
              <a:solidFill>
                <a:srgbClr val="898989"/>
              </a:solidFill>
              <a:round/>
            </a:ln>
            <a:effectLst/>
          </c:spPr>
          <c:marker>
            <c:symbol val="none"/>
          </c:marker>
          <c:cat>
            <c:numRef>
              <c:f>Commodities!$I$8:$I$94</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Commodities!$R$8:$R$94</c:f>
              <c:numCache>
                <c:formatCode>General</c:formatCode>
                <c:ptCount val="8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pt idx="17">
                  <c:v>100</c:v>
                </c:pt>
                <c:pt idx="18">
                  <c:v>100</c:v>
                </c:pt>
                <c:pt idx="19">
                  <c:v>100</c:v>
                </c:pt>
                <c:pt idx="20">
                  <c:v>100</c:v>
                </c:pt>
                <c:pt idx="21">
                  <c:v>100</c:v>
                </c:pt>
                <c:pt idx="22">
                  <c:v>100</c:v>
                </c:pt>
                <c:pt idx="23">
                  <c:v>100</c:v>
                </c:pt>
                <c:pt idx="24">
                  <c:v>100</c:v>
                </c:pt>
                <c:pt idx="25">
                  <c:v>100</c:v>
                </c:pt>
                <c:pt idx="26">
                  <c:v>100</c:v>
                </c:pt>
                <c:pt idx="27">
                  <c:v>100</c:v>
                </c:pt>
                <c:pt idx="28">
                  <c:v>100</c:v>
                </c:pt>
                <c:pt idx="29">
                  <c:v>100</c:v>
                </c:pt>
                <c:pt idx="30">
                  <c:v>100</c:v>
                </c:pt>
                <c:pt idx="31">
                  <c:v>100</c:v>
                </c:pt>
                <c:pt idx="32">
                  <c:v>100</c:v>
                </c:pt>
                <c:pt idx="33">
                  <c:v>100</c:v>
                </c:pt>
                <c:pt idx="34">
                  <c:v>100</c:v>
                </c:pt>
                <c:pt idx="35">
                  <c:v>100</c:v>
                </c:pt>
                <c:pt idx="36">
                  <c:v>100</c:v>
                </c:pt>
                <c:pt idx="37">
                  <c:v>100</c:v>
                </c:pt>
                <c:pt idx="38">
                  <c:v>100</c:v>
                </c:pt>
                <c:pt idx="39">
                  <c:v>100</c:v>
                </c:pt>
                <c:pt idx="40">
                  <c:v>100</c:v>
                </c:pt>
                <c:pt idx="41">
                  <c:v>100</c:v>
                </c:pt>
                <c:pt idx="42">
                  <c:v>100</c:v>
                </c:pt>
                <c:pt idx="43">
                  <c:v>100</c:v>
                </c:pt>
                <c:pt idx="44">
                  <c:v>100</c:v>
                </c:pt>
                <c:pt idx="45">
                  <c:v>100</c:v>
                </c:pt>
                <c:pt idx="46">
                  <c:v>100</c:v>
                </c:pt>
                <c:pt idx="47">
                  <c:v>100</c:v>
                </c:pt>
                <c:pt idx="48">
                  <c:v>100</c:v>
                </c:pt>
                <c:pt idx="49">
                  <c:v>100</c:v>
                </c:pt>
                <c:pt idx="50">
                  <c:v>100</c:v>
                </c:pt>
                <c:pt idx="51">
                  <c:v>100</c:v>
                </c:pt>
                <c:pt idx="52">
                  <c:v>100</c:v>
                </c:pt>
                <c:pt idx="53">
                  <c:v>100</c:v>
                </c:pt>
                <c:pt idx="54">
                  <c:v>100</c:v>
                </c:pt>
                <c:pt idx="55">
                  <c:v>100</c:v>
                </c:pt>
                <c:pt idx="56">
                  <c:v>100</c:v>
                </c:pt>
                <c:pt idx="57">
                  <c:v>100</c:v>
                </c:pt>
                <c:pt idx="58">
                  <c:v>100</c:v>
                </c:pt>
                <c:pt idx="59">
                  <c:v>100</c:v>
                </c:pt>
                <c:pt idx="60">
                  <c:v>100</c:v>
                </c:pt>
                <c:pt idx="61">
                  <c:v>100</c:v>
                </c:pt>
                <c:pt idx="62">
                  <c:v>100</c:v>
                </c:pt>
                <c:pt idx="63">
                  <c:v>100</c:v>
                </c:pt>
                <c:pt idx="64">
                  <c:v>100</c:v>
                </c:pt>
                <c:pt idx="65">
                  <c:v>100</c:v>
                </c:pt>
                <c:pt idx="66">
                  <c:v>100</c:v>
                </c:pt>
                <c:pt idx="67">
                  <c:v>100</c:v>
                </c:pt>
                <c:pt idx="68">
                  <c:v>100</c:v>
                </c:pt>
                <c:pt idx="69">
                  <c:v>100</c:v>
                </c:pt>
                <c:pt idx="70">
                  <c:v>100</c:v>
                </c:pt>
                <c:pt idx="71">
                  <c:v>100</c:v>
                </c:pt>
                <c:pt idx="72">
                  <c:v>100</c:v>
                </c:pt>
                <c:pt idx="73">
                  <c:v>100</c:v>
                </c:pt>
                <c:pt idx="74">
                  <c:v>100</c:v>
                </c:pt>
                <c:pt idx="75">
                  <c:v>100</c:v>
                </c:pt>
                <c:pt idx="76">
                  <c:v>100</c:v>
                </c:pt>
                <c:pt idx="77">
                  <c:v>100</c:v>
                </c:pt>
                <c:pt idx="78">
                  <c:v>100</c:v>
                </c:pt>
                <c:pt idx="79">
                  <c:v>100</c:v>
                </c:pt>
                <c:pt idx="80">
                  <c:v>100</c:v>
                </c:pt>
                <c:pt idx="81">
                  <c:v>100</c:v>
                </c:pt>
                <c:pt idx="82">
                  <c:v>100</c:v>
                </c:pt>
                <c:pt idx="83">
                  <c:v>100</c:v>
                </c:pt>
                <c:pt idx="84">
                  <c:v>100</c:v>
                </c:pt>
                <c:pt idx="85">
                  <c:v>100</c:v>
                </c:pt>
                <c:pt idx="86">
                  <c:v>100</c:v>
                </c:pt>
              </c:numCache>
            </c:numRef>
          </c:val>
          <c:smooth val="0"/>
          <c:extLst>
            <c:ext xmlns:c16="http://schemas.microsoft.com/office/drawing/2014/chart" uri="{C3380CC4-5D6E-409C-BE32-E72D297353CC}">
              <c16:uniqueId val="{00000003-83CE-4941-91E6-4DF9B0F6F709}"/>
            </c:ext>
          </c:extLst>
        </c:ser>
        <c:ser>
          <c:idx val="3"/>
          <c:order val="4"/>
          <c:tx>
            <c:strRef>
              <c:f>Commodities!$S$6</c:f>
              <c:strCache>
                <c:ptCount val="1"/>
                <c:pt idx="0">
                  <c:v>Series 4</c:v>
                </c:pt>
              </c:strCache>
            </c:strRef>
          </c:tx>
          <c:spPr>
            <a:ln w="28575" cap="rnd">
              <a:noFill/>
              <a:round/>
            </a:ln>
            <a:effectLst/>
          </c:spPr>
          <c:marker>
            <c:symbol val="square"/>
            <c:size val="3"/>
            <c:spPr>
              <a:solidFill>
                <a:schemeClr val="bg1"/>
              </a:solidFill>
              <a:ln w="9525">
                <a:noFill/>
              </a:ln>
              <a:effectLst/>
            </c:spPr>
          </c:marker>
          <c:dPt>
            <c:idx val="0"/>
            <c:marker>
              <c:symbol val="square"/>
              <c:size val="4"/>
              <c:spPr>
                <a:solidFill>
                  <a:schemeClr val="bg1"/>
                </a:solidFill>
                <a:ln w="9525">
                  <a:noFill/>
                </a:ln>
                <a:effectLst/>
              </c:spPr>
            </c:marker>
            <c:bubble3D val="0"/>
            <c:extLst>
              <c:ext xmlns:c16="http://schemas.microsoft.com/office/drawing/2014/chart" uri="{C3380CC4-5D6E-409C-BE32-E72D297353CC}">
                <c16:uniqueId val="{00000004-83CE-4941-91E6-4DF9B0F6F709}"/>
              </c:ext>
            </c:extLst>
          </c:dPt>
          <c:dPt>
            <c:idx val="12"/>
            <c:marker>
              <c:symbol val="square"/>
              <c:size val="2"/>
              <c:spPr>
                <a:solidFill>
                  <a:schemeClr val="bg1"/>
                </a:solidFill>
                <a:ln w="9525">
                  <a:noFill/>
                </a:ln>
                <a:effectLst/>
              </c:spPr>
            </c:marker>
            <c:bubble3D val="0"/>
            <c:extLst>
              <c:ext xmlns:c16="http://schemas.microsoft.com/office/drawing/2014/chart" uri="{C3380CC4-5D6E-409C-BE32-E72D297353CC}">
                <c16:uniqueId val="{00000005-83CE-4941-91E6-4DF9B0F6F709}"/>
              </c:ext>
            </c:extLst>
          </c:dPt>
          <c:dPt>
            <c:idx val="24"/>
            <c:marker>
              <c:symbol val="square"/>
              <c:size val="2"/>
              <c:spPr>
                <a:solidFill>
                  <a:schemeClr val="bg1"/>
                </a:solidFill>
                <a:ln w="9525">
                  <a:noFill/>
                </a:ln>
                <a:effectLst/>
              </c:spPr>
            </c:marker>
            <c:bubble3D val="0"/>
            <c:extLst>
              <c:ext xmlns:c16="http://schemas.microsoft.com/office/drawing/2014/chart" uri="{C3380CC4-5D6E-409C-BE32-E72D297353CC}">
                <c16:uniqueId val="{00000006-83CE-4941-91E6-4DF9B0F6F709}"/>
              </c:ext>
            </c:extLst>
          </c:dPt>
          <c:dPt>
            <c:idx val="36"/>
            <c:marker>
              <c:symbol val="square"/>
              <c:size val="2"/>
              <c:spPr>
                <a:solidFill>
                  <a:schemeClr val="bg1"/>
                </a:solidFill>
                <a:ln w="9525">
                  <a:noFill/>
                </a:ln>
                <a:effectLst/>
              </c:spPr>
            </c:marker>
            <c:bubble3D val="0"/>
            <c:extLst>
              <c:ext xmlns:c16="http://schemas.microsoft.com/office/drawing/2014/chart" uri="{C3380CC4-5D6E-409C-BE32-E72D297353CC}">
                <c16:uniqueId val="{00000007-83CE-4941-91E6-4DF9B0F6F709}"/>
              </c:ext>
            </c:extLst>
          </c:dPt>
          <c:dPt>
            <c:idx val="48"/>
            <c:marker>
              <c:symbol val="square"/>
              <c:size val="2"/>
              <c:spPr>
                <a:solidFill>
                  <a:schemeClr val="bg1"/>
                </a:solidFill>
                <a:ln w="9525">
                  <a:noFill/>
                </a:ln>
                <a:effectLst/>
              </c:spPr>
            </c:marker>
            <c:bubble3D val="0"/>
            <c:extLst>
              <c:ext xmlns:c16="http://schemas.microsoft.com/office/drawing/2014/chart" uri="{C3380CC4-5D6E-409C-BE32-E72D297353CC}">
                <c16:uniqueId val="{00000008-83CE-4941-91E6-4DF9B0F6F709}"/>
              </c:ext>
            </c:extLst>
          </c:dPt>
          <c:dPt>
            <c:idx val="60"/>
            <c:marker>
              <c:symbol val="square"/>
              <c:size val="2"/>
              <c:spPr>
                <a:solidFill>
                  <a:schemeClr val="bg1"/>
                </a:solidFill>
                <a:ln w="9525">
                  <a:noFill/>
                </a:ln>
                <a:effectLst/>
              </c:spPr>
            </c:marker>
            <c:bubble3D val="0"/>
            <c:extLst>
              <c:ext xmlns:c16="http://schemas.microsoft.com/office/drawing/2014/chart" uri="{C3380CC4-5D6E-409C-BE32-E72D297353CC}">
                <c16:uniqueId val="{00000009-83CE-4941-91E6-4DF9B0F6F709}"/>
              </c:ext>
            </c:extLst>
          </c:dPt>
          <c:dLbls>
            <c:dLbl>
              <c:idx val="0"/>
              <c:layout>
                <c:manualLayout>
                  <c:x val="-8.2248896206050977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3CE-4941-91E6-4DF9B0F6F709}"/>
                </c:ext>
              </c:extLst>
            </c:dLbl>
            <c:dLbl>
              <c:idx val="12"/>
              <c:layout>
                <c:manualLayout>
                  <c:x val="-8.2336274963473854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3CE-4941-91E6-4DF9B0F6F709}"/>
                </c:ext>
              </c:extLst>
            </c:dLbl>
            <c:dLbl>
              <c:idx val="24"/>
              <c:layout>
                <c:manualLayout>
                  <c:x val="-7.6034082084332454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3CE-4941-91E6-4DF9B0F6F709}"/>
                </c:ext>
              </c:extLst>
            </c:dLbl>
            <c:dLbl>
              <c:idx val="36"/>
              <c:layout>
                <c:manualLayout>
                  <c:x val="-7.0237957841934014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3CE-4941-91E6-4DF9B0F6F709}"/>
                </c:ext>
              </c:extLst>
            </c:dLbl>
            <c:dLbl>
              <c:idx val="48"/>
              <c:layout>
                <c:manualLayout>
                  <c:x val="-6.9866598122886687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3CE-4941-91E6-4DF9B0F6F709}"/>
                </c:ext>
              </c:extLst>
            </c:dLbl>
            <c:dLbl>
              <c:idx val="60"/>
              <c:layout>
                <c:manualLayout>
                  <c:x val="-8.5700357124263993E-3"/>
                  <c:y val="2.7303803803803688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3CE-4941-91E6-4DF9B0F6F709}"/>
                </c:ext>
              </c:extLst>
            </c:dLbl>
            <c:dLbl>
              <c:idx val="72"/>
              <c:layout>
                <c:manualLayout>
                  <c:x val="-9.2810803509569481E-3"/>
                  <c:y val="2.5425425425425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3CE-4941-91E6-4DF9B0F6F709}"/>
                </c:ext>
              </c:extLst>
            </c:dLbl>
            <c:dLbl>
              <c:idx val="84"/>
              <c:layout>
                <c:manualLayout>
                  <c:x val="-1.3890458814599395E-2"/>
                  <c:y val="2.542542542542554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3CE-4941-91E6-4DF9B0F6F709}"/>
                </c:ext>
              </c:extLst>
            </c:dLbl>
            <c:numFmt formatCode="yyyy" sourceLinked="0"/>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Arial" panose="020B0604020202020204" pitchFamily="34" charset="0"/>
                  </a:defRPr>
                </a:pPr>
                <a:endParaRPr lang="sr-Latn-RS"/>
              </a:p>
            </c:txPr>
            <c:dLblPos val="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Commodities!$I$8:$I$94</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Commodities!$S$8:$S$94</c:f>
              <c:numCache>
                <c:formatCode>General</c:formatCode>
                <c:ptCount val="87"/>
                <c:pt idx="0">
                  <c:v>20</c:v>
                </c:pt>
                <c:pt idx="12">
                  <c:v>20</c:v>
                </c:pt>
                <c:pt idx="24">
                  <c:v>20</c:v>
                </c:pt>
                <c:pt idx="36">
                  <c:v>20</c:v>
                </c:pt>
                <c:pt idx="48">
                  <c:v>20</c:v>
                </c:pt>
                <c:pt idx="60">
                  <c:v>20</c:v>
                </c:pt>
                <c:pt idx="72">
                  <c:v>20</c:v>
                </c:pt>
                <c:pt idx="84">
                  <c:v>20</c:v>
                </c:pt>
              </c:numCache>
            </c:numRef>
          </c:val>
          <c:smooth val="0"/>
          <c:extLst>
            <c:ext xmlns:c16="http://schemas.microsoft.com/office/drawing/2014/chart" uri="{C3380CC4-5D6E-409C-BE32-E72D297353CC}">
              <c16:uniqueId val="{0000000C-83CE-4941-91E6-4DF9B0F6F709}"/>
            </c:ext>
          </c:extLst>
        </c:ser>
        <c:dLbls>
          <c:showLegendKey val="0"/>
          <c:showVal val="0"/>
          <c:showCatName val="0"/>
          <c:showSerName val="0"/>
          <c:showPercent val="0"/>
          <c:showBubbleSize val="0"/>
        </c:dLbls>
        <c:smooth val="0"/>
        <c:axId val="1768785920"/>
        <c:axId val="1768787008"/>
      </c:lineChart>
      <c:dateAx>
        <c:axId val="176878592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787008"/>
        <c:crosses val="autoZero"/>
        <c:auto val="1"/>
        <c:lblOffset val="100"/>
        <c:baseTimeUnit val="months"/>
        <c:majorUnit val="12"/>
        <c:minorUnit val="1"/>
      </c:dateAx>
      <c:valAx>
        <c:axId val="1768787008"/>
        <c:scaling>
          <c:orientation val="minMax"/>
          <c:max val="120"/>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785920"/>
        <c:crosses val="autoZero"/>
        <c:crossBetween val="between"/>
        <c:majorUnit val="20"/>
      </c:valAx>
      <c:spPr>
        <a:noFill/>
        <a:ln>
          <a:noFill/>
        </a:ln>
        <a:effectLst/>
      </c:spPr>
    </c:plotArea>
    <c:legend>
      <c:legendPos val="b"/>
      <c:legendEntry>
        <c:idx val="3"/>
        <c:delete val="1"/>
      </c:legendEntry>
      <c:legendEntry>
        <c:idx val="4"/>
        <c:delete val="1"/>
      </c:legendEntry>
      <c:layout>
        <c:manualLayout>
          <c:xMode val="edge"/>
          <c:yMode val="edge"/>
          <c:x val="5.9259259259259262E-2"/>
          <c:y val="0.90425125125125116"/>
          <c:w val="0.89999992693631548"/>
          <c:h val="9.5748748748748752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graf'!$L$7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428235677782749"/>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6C5-42C5-90DA-9AA44258570A}"/>
                </c:ext>
              </c:extLst>
            </c:dLbl>
            <c:dLbl>
              <c:idx val="12"/>
              <c:layout>
                <c:manualLayout>
                  <c:x val="0.1429150052341859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6C5-42C5-90DA-9AA44258570A}"/>
                </c:ext>
              </c:extLst>
            </c:dLbl>
            <c:dLbl>
              <c:idx val="24"/>
              <c:layout>
                <c:manualLayout>
                  <c:x val="-8.3023819283430961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6C5-42C5-90DA-9AA44258570A}"/>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graf'!$L$44:$L$70</c:f>
              <c:numCache>
                <c:formatCode>General</c:formatCode>
                <c:ptCount val="27"/>
                <c:pt idx="0">
                  <c:v>75</c:v>
                </c:pt>
                <c:pt idx="12">
                  <c:v>75</c:v>
                </c:pt>
                <c:pt idx="24">
                  <c:v>75</c:v>
                </c:pt>
              </c:numCache>
            </c:numRef>
          </c:val>
          <c:smooth val="0"/>
          <c:extLst>
            <c:ext xmlns:c16="http://schemas.microsoft.com/office/drawing/2014/chart" uri="{C3380CC4-5D6E-409C-BE32-E72D297353CC}">
              <c16:uniqueId val="{00000003-C6C5-42C5-90DA-9AA44258570A}"/>
            </c:ext>
          </c:extLst>
        </c:ser>
        <c:ser>
          <c:idx val="4"/>
          <c:order val="1"/>
          <c:tx>
            <c:strRef>
              <c:f>'Prerađivačka_6 graf'!$M$7</c:f>
              <c:strCache>
                <c:ptCount val="1"/>
                <c:pt idx="0">
                  <c:v>Series5</c:v>
                </c:pt>
              </c:strCache>
            </c:strRef>
          </c:tx>
          <c:spPr>
            <a:ln w="25400" cap="rnd">
              <a:noFill/>
              <a:round/>
            </a:ln>
            <a:effectLst/>
          </c:spPr>
          <c:marker>
            <c:symbol val="none"/>
          </c:marker>
          <c:dLbls>
            <c:dLbl>
              <c:idx val="0"/>
              <c:tx>
                <c:rich>
                  <a:bodyPr/>
                  <a:lstStyle/>
                  <a:p>
                    <a:fld id="{200C3C93-1E61-4AAC-B551-75DD0CB39DF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C6C5-42C5-90DA-9AA44258570A}"/>
                </c:ext>
              </c:extLst>
            </c:dLbl>
            <c:dLbl>
              <c:idx val="1"/>
              <c:tx>
                <c:rich>
                  <a:bodyPr/>
                  <a:lstStyle/>
                  <a:p>
                    <a:fld id="{1622C331-3A4D-4DCE-9323-390AB410E41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C6C5-42C5-90DA-9AA44258570A}"/>
                </c:ext>
              </c:extLst>
            </c:dLbl>
            <c:dLbl>
              <c:idx val="2"/>
              <c:tx>
                <c:rich>
                  <a:bodyPr/>
                  <a:lstStyle/>
                  <a:p>
                    <a:fld id="{76F04882-B66A-4DBA-BED4-397E6B07CBF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C6C5-42C5-90DA-9AA44258570A}"/>
                </c:ext>
              </c:extLst>
            </c:dLbl>
            <c:dLbl>
              <c:idx val="3"/>
              <c:tx>
                <c:rich>
                  <a:bodyPr/>
                  <a:lstStyle/>
                  <a:p>
                    <a:fld id="{2DA22D43-181A-40E1-B436-60C3F000EE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C6C5-42C5-90DA-9AA44258570A}"/>
                </c:ext>
              </c:extLst>
            </c:dLbl>
            <c:dLbl>
              <c:idx val="4"/>
              <c:tx>
                <c:rich>
                  <a:bodyPr/>
                  <a:lstStyle/>
                  <a:p>
                    <a:fld id="{DB110108-D3DF-412B-825B-7ABAA110581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C6C5-42C5-90DA-9AA44258570A}"/>
                </c:ext>
              </c:extLst>
            </c:dLbl>
            <c:dLbl>
              <c:idx val="5"/>
              <c:tx>
                <c:rich>
                  <a:bodyPr/>
                  <a:lstStyle/>
                  <a:p>
                    <a:fld id="{9FB4E891-5385-4384-AA9A-E4012606EA4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C6C5-42C5-90DA-9AA44258570A}"/>
                </c:ext>
              </c:extLst>
            </c:dLbl>
            <c:dLbl>
              <c:idx val="6"/>
              <c:tx>
                <c:rich>
                  <a:bodyPr/>
                  <a:lstStyle/>
                  <a:p>
                    <a:fld id="{4E50FBA3-76BE-4593-B45D-CF1C90DCD37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C6C5-42C5-90DA-9AA44258570A}"/>
                </c:ext>
              </c:extLst>
            </c:dLbl>
            <c:dLbl>
              <c:idx val="7"/>
              <c:tx>
                <c:rich>
                  <a:bodyPr/>
                  <a:lstStyle/>
                  <a:p>
                    <a:fld id="{D018E0E6-8BCC-4ED9-93E3-77ED5EC34B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C6C5-42C5-90DA-9AA44258570A}"/>
                </c:ext>
              </c:extLst>
            </c:dLbl>
            <c:dLbl>
              <c:idx val="8"/>
              <c:tx>
                <c:rich>
                  <a:bodyPr/>
                  <a:lstStyle/>
                  <a:p>
                    <a:fld id="{F6E591A0-1030-4700-8C4A-201B904EFF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C6C5-42C5-90DA-9AA44258570A}"/>
                </c:ext>
              </c:extLst>
            </c:dLbl>
            <c:dLbl>
              <c:idx val="9"/>
              <c:tx>
                <c:rich>
                  <a:bodyPr/>
                  <a:lstStyle/>
                  <a:p>
                    <a:fld id="{5B7D79D3-BB6D-4422-B1B1-E6C7D5B427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C6C5-42C5-90DA-9AA44258570A}"/>
                </c:ext>
              </c:extLst>
            </c:dLbl>
            <c:dLbl>
              <c:idx val="10"/>
              <c:tx>
                <c:rich>
                  <a:bodyPr/>
                  <a:lstStyle/>
                  <a:p>
                    <a:fld id="{4CCEFEF4-DF92-429F-8FBD-F98FA94012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C6C5-42C5-90DA-9AA44258570A}"/>
                </c:ext>
              </c:extLst>
            </c:dLbl>
            <c:dLbl>
              <c:idx val="11"/>
              <c:tx>
                <c:rich>
                  <a:bodyPr/>
                  <a:lstStyle/>
                  <a:p>
                    <a:fld id="{52806AA2-E48C-4C65-824E-8041EB77B7A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C6C5-42C5-90DA-9AA44258570A}"/>
                </c:ext>
              </c:extLst>
            </c:dLbl>
            <c:dLbl>
              <c:idx val="12"/>
              <c:tx>
                <c:rich>
                  <a:bodyPr/>
                  <a:lstStyle/>
                  <a:p>
                    <a:fld id="{DE68C576-107B-42F8-84FB-AD106B1E83D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C6C5-42C5-90DA-9AA44258570A}"/>
                </c:ext>
              </c:extLst>
            </c:dLbl>
            <c:dLbl>
              <c:idx val="13"/>
              <c:tx>
                <c:rich>
                  <a:bodyPr/>
                  <a:lstStyle/>
                  <a:p>
                    <a:fld id="{349903B1-7D38-4167-B2AB-F319EA56BC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C6C5-42C5-90DA-9AA44258570A}"/>
                </c:ext>
              </c:extLst>
            </c:dLbl>
            <c:dLbl>
              <c:idx val="14"/>
              <c:tx>
                <c:rich>
                  <a:bodyPr/>
                  <a:lstStyle/>
                  <a:p>
                    <a:fld id="{B5569579-05F1-48B4-B12B-30CAE2262A8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C6C5-42C5-90DA-9AA44258570A}"/>
                </c:ext>
              </c:extLst>
            </c:dLbl>
            <c:dLbl>
              <c:idx val="15"/>
              <c:tx>
                <c:rich>
                  <a:bodyPr/>
                  <a:lstStyle/>
                  <a:p>
                    <a:fld id="{5A1ED7CA-F086-489D-AE60-ED3119A8C5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C6C5-42C5-90DA-9AA44258570A}"/>
                </c:ext>
              </c:extLst>
            </c:dLbl>
            <c:dLbl>
              <c:idx val="16"/>
              <c:tx>
                <c:rich>
                  <a:bodyPr/>
                  <a:lstStyle/>
                  <a:p>
                    <a:fld id="{53FC601F-C4DA-4AF3-AA9A-2405E6EC24A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C6C5-42C5-90DA-9AA44258570A}"/>
                </c:ext>
              </c:extLst>
            </c:dLbl>
            <c:dLbl>
              <c:idx val="17"/>
              <c:tx>
                <c:rich>
                  <a:bodyPr/>
                  <a:lstStyle/>
                  <a:p>
                    <a:fld id="{A50A059C-F09D-43D0-97EE-BF0AB8DFD70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C6C5-42C5-90DA-9AA44258570A}"/>
                </c:ext>
              </c:extLst>
            </c:dLbl>
            <c:dLbl>
              <c:idx val="18"/>
              <c:tx>
                <c:rich>
                  <a:bodyPr/>
                  <a:lstStyle/>
                  <a:p>
                    <a:fld id="{D752341D-C8B1-478E-BDAD-F9CFDE7A746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C6C5-42C5-90DA-9AA44258570A}"/>
                </c:ext>
              </c:extLst>
            </c:dLbl>
            <c:dLbl>
              <c:idx val="19"/>
              <c:tx>
                <c:rich>
                  <a:bodyPr/>
                  <a:lstStyle/>
                  <a:p>
                    <a:fld id="{15C3C9EC-7946-488C-B6F3-39AE5C3566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C6C5-42C5-90DA-9AA44258570A}"/>
                </c:ext>
              </c:extLst>
            </c:dLbl>
            <c:dLbl>
              <c:idx val="20"/>
              <c:tx>
                <c:rich>
                  <a:bodyPr/>
                  <a:lstStyle/>
                  <a:p>
                    <a:fld id="{37F56673-52DA-45E4-9691-87441C1F2C0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C6C5-42C5-90DA-9AA44258570A}"/>
                </c:ext>
              </c:extLst>
            </c:dLbl>
            <c:dLbl>
              <c:idx val="21"/>
              <c:tx>
                <c:rich>
                  <a:bodyPr/>
                  <a:lstStyle/>
                  <a:p>
                    <a:fld id="{2FF58F5D-B67B-4BE9-8176-6EBE47CF3E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C6C5-42C5-90DA-9AA44258570A}"/>
                </c:ext>
              </c:extLst>
            </c:dLbl>
            <c:dLbl>
              <c:idx val="22"/>
              <c:tx>
                <c:rich>
                  <a:bodyPr/>
                  <a:lstStyle/>
                  <a:p>
                    <a:fld id="{3F79EEC7-0535-4935-A648-066B0F0F539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C6C5-42C5-90DA-9AA44258570A}"/>
                </c:ext>
              </c:extLst>
            </c:dLbl>
            <c:dLbl>
              <c:idx val="23"/>
              <c:tx>
                <c:rich>
                  <a:bodyPr/>
                  <a:lstStyle/>
                  <a:p>
                    <a:fld id="{F81EFB61-343B-40C4-A692-BD11539E6D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C6C5-42C5-90DA-9AA44258570A}"/>
                </c:ext>
              </c:extLst>
            </c:dLbl>
            <c:dLbl>
              <c:idx val="24"/>
              <c:tx>
                <c:rich>
                  <a:bodyPr/>
                  <a:lstStyle/>
                  <a:p>
                    <a:fld id="{188E16AF-221A-40E8-AAC2-77E0DF42B33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C6C5-42C5-90DA-9AA44258570A}"/>
                </c:ext>
              </c:extLst>
            </c:dLbl>
            <c:dLbl>
              <c:idx val="25"/>
              <c:tx>
                <c:rich>
                  <a:bodyPr/>
                  <a:lstStyle/>
                  <a:p>
                    <a:fld id="{0C26AED5-6ADD-4428-864C-55C8BBB147C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C6C5-42C5-90DA-9AA44258570A}"/>
                </c:ext>
              </c:extLst>
            </c:dLbl>
            <c:dLbl>
              <c:idx val="26"/>
              <c:tx>
                <c:rich>
                  <a:bodyPr/>
                  <a:lstStyle/>
                  <a:p>
                    <a:fld id="{ECBFC381-C368-4C3A-8761-4E118A57208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C6C5-42C5-90DA-9AA44258570A}"/>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graf'!$M$44:$M$70</c:f>
              <c:numCache>
                <c:formatCode>General</c:formatCode>
                <c:ptCount val="27"/>
                <c:pt idx="0">
                  <c:v>75</c:v>
                </c:pt>
                <c:pt idx="1">
                  <c:v>75</c:v>
                </c:pt>
                <c:pt idx="2">
                  <c:v>75</c:v>
                </c:pt>
                <c:pt idx="3">
                  <c:v>75</c:v>
                </c:pt>
                <c:pt idx="4">
                  <c:v>75</c:v>
                </c:pt>
                <c:pt idx="5">
                  <c:v>75</c:v>
                </c:pt>
                <c:pt idx="6">
                  <c:v>75</c:v>
                </c:pt>
                <c:pt idx="7">
                  <c:v>75</c:v>
                </c:pt>
                <c:pt idx="8">
                  <c:v>75</c:v>
                </c:pt>
                <c:pt idx="9">
                  <c:v>75</c:v>
                </c:pt>
                <c:pt idx="10">
                  <c:v>75</c:v>
                </c:pt>
                <c:pt idx="11">
                  <c:v>75</c:v>
                </c:pt>
                <c:pt idx="12">
                  <c:v>75</c:v>
                </c:pt>
                <c:pt idx="13">
                  <c:v>75</c:v>
                </c:pt>
                <c:pt idx="14">
                  <c:v>75</c:v>
                </c:pt>
                <c:pt idx="15">
                  <c:v>75</c:v>
                </c:pt>
                <c:pt idx="16">
                  <c:v>75</c:v>
                </c:pt>
                <c:pt idx="17">
                  <c:v>75</c:v>
                </c:pt>
                <c:pt idx="18">
                  <c:v>75</c:v>
                </c:pt>
                <c:pt idx="19">
                  <c:v>75</c:v>
                </c:pt>
                <c:pt idx="20">
                  <c:v>75</c:v>
                </c:pt>
                <c:pt idx="21">
                  <c:v>75</c:v>
                </c:pt>
                <c:pt idx="22">
                  <c:v>75</c:v>
                </c:pt>
                <c:pt idx="23">
                  <c:v>75</c:v>
                </c:pt>
                <c:pt idx="24">
                  <c:v>75</c:v>
                </c:pt>
                <c:pt idx="25">
                  <c:v>75</c:v>
                </c:pt>
                <c:pt idx="26">
                  <c:v>75</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C6C5-42C5-90DA-9AA44258570A}"/>
            </c:ext>
          </c:extLst>
        </c:ser>
        <c:ser>
          <c:idx val="0"/>
          <c:order val="2"/>
          <c:tx>
            <c:strRef>
              <c:f>'Prerađivačka_6 graf'!$N$7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graf'!$N$44:$N$70</c:f>
              <c:numCache>
                <c:formatCode>0.0</c:formatCode>
                <c:ptCount val="27"/>
                <c:pt idx="0">
                  <c:v>79.493883856716451</c:v>
                </c:pt>
                <c:pt idx="1">
                  <c:v>86.203086330556971</c:v>
                </c:pt>
                <c:pt idx="2">
                  <c:v>98.401636282994275</c:v>
                </c:pt>
                <c:pt idx="3">
                  <c:v>97.283435870687512</c:v>
                </c:pt>
                <c:pt idx="4">
                  <c:v>95.250344211947962</c:v>
                </c:pt>
                <c:pt idx="5">
                  <c:v>92.810634221460504</c:v>
                </c:pt>
                <c:pt idx="6">
                  <c:v>94.437107548452161</c:v>
                </c:pt>
                <c:pt idx="7">
                  <c:v>92.912288804397491</c:v>
                </c:pt>
                <c:pt idx="8">
                  <c:v>105.61911167151969</c:v>
                </c:pt>
                <c:pt idx="9">
                  <c:v>120.15571703150749</c:v>
                </c:pt>
                <c:pt idx="10">
                  <c:v>107.14393041557435</c:v>
                </c:pt>
                <c:pt idx="11">
                  <c:v>99.21487294649009</c:v>
                </c:pt>
                <c:pt idx="12">
                  <c:v>85.5421686746988</c:v>
                </c:pt>
                <c:pt idx="13">
                  <c:v>90.358974358974351</c:v>
                </c:pt>
                <c:pt idx="14">
                  <c:v>99.526515151515156</c:v>
                </c:pt>
                <c:pt idx="15">
                  <c:v>87.572043185323523</c:v>
                </c:pt>
                <c:pt idx="16">
                  <c:v>95.364883513272204</c:v>
                </c:pt>
                <c:pt idx="17">
                  <c:v>98.969072164948471</c:v>
                </c:pt>
                <c:pt idx="18">
                  <c:v>97.118272587060673</c:v>
                </c:pt>
                <c:pt idx="19">
                  <c:v>93.027031414887603</c:v>
                </c:pt>
                <c:pt idx="20">
                  <c:v>113.28841626755421</c:v>
                </c:pt>
                <c:pt idx="21">
                  <c:v>123.41910869388752</c:v>
                </c:pt>
                <c:pt idx="22">
                  <c:v>111.14538517736831</c:v>
                </c:pt>
                <c:pt idx="23">
                  <c:v>104.32664989041321</c:v>
                </c:pt>
                <c:pt idx="24">
                  <c:v>85.2</c:v>
                </c:pt>
                <c:pt idx="25">
                  <c:v>88.1</c:v>
                </c:pt>
                <c:pt idx="26">
                  <c:v>105.1</c:v>
                </c:pt>
              </c:numCache>
            </c:numRef>
          </c:val>
          <c:smooth val="0"/>
          <c:extLst>
            <c:ext xmlns:c16="http://schemas.microsoft.com/office/drawing/2014/chart" uri="{C3380CC4-5D6E-409C-BE32-E72D297353CC}">
              <c16:uniqueId val="{00000020-C6C5-42C5-90DA-9AA44258570A}"/>
            </c:ext>
          </c:extLst>
        </c:ser>
        <c:ser>
          <c:idx val="1"/>
          <c:order val="3"/>
          <c:tx>
            <c:strRef>
              <c:f>'Prerađivačka_6 graf'!$O$7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graf'!$O$44:$O$70</c:f>
              <c:numCache>
                <c:formatCode>0.0</c:formatCode>
                <c:ptCount val="27"/>
                <c:pt idx="0">
                  <c:v>99.279324794549794</c:v>
                </c:pt>
                <c:pt idx="1">
                  <c:v>101.64397047319963</c:v>
                </c:pt>
                <c:pt idx="2">
                  <c:v>100.96709457967718</c:v>
                </c:pt>
                <c:pt idx="3">
                  <c:v>102.57479949293898</c:v>
                </c:pt>
                <c:pt idx="4">
                  <c:v>97.249876990197009</c:v>
                </c:pt>
                <c:pt idx="5">
                  <c:v>93.78429427485618</c:v>
                </c:pt>
                <c:pt idx="6">
                  <c:v>98.478944028502113</c:v>
                </c:pt>
                <c:pt idx="7">
                  <c:v>98.109525664896722</c:v>
                </c:pt>
                <c:pt idx="8">
                  <c:v>94.449287071805855</c:v>
                </c:pt>
                <c:pt idx="9">
                  <c:v>95.985638164142927</c:v>
                </c:pt>
                <c:pt idx="10">
                  <c:v>95.790488507757175</c:v>
                </c:pt>
                <c:pt idx="11">
                  <c:v>96.798867790905149</c:v>
                </c:pt>
                <c:pt idx="12">
                  <c:v>105.45758610512797</c:v>
                </c:pt>
                <c:pt idx="13">
                  <c:v>99.119358713903694</c:v>
                </c:pt>
                <c:pt idx="14">
                  <c:v>99.491987387750868</c:v>
                </c:pt>
                <c:pt idx="15">
                  <c:v>92.419305194358486</c:v>
                </c:pt>
                <c:pt idx="16">
                  <c:v>98.84862672813135</c:v>
                </c:pt>
                <c:pt idx="17">
                  <c:v>97.195825071846329</c:v>
                </c:pt>
                <c:pt idx="18">
                  <c:v>100.82120469106003</c:v>
                </c:pt>
                <c:pt idx="19">
                  <c:v>99.580665422270826</c:v>
                </c:pt>
                <c:pt idx="20">
                  <c:v>100.39909970059819</c:v>
                </c:pt>
                <c:pt idx="21">
                  <c:v>100.36178028538487</c:v>
                </c:pt>
                <c:pt idx="22">
                  <c:v>100.20572465134883</c:v>
                </c:pt>
                <c:pt idx="23">
                  <c:v>100.7602409060358</c:v>
                </c:pt>
                <c:pt idx="24">
                  <c:v>105.65051803801116</c:v>
                </c:pt>
                <c:pt idx="25">
                  <c:v>103.71399669749555</c:v>
                </c:pt>
                <c:pt idx="26">
                  <c:v>102.92496044455476</c:v>
                </c:pt>
              </c:numCache>
            </c:numRef>
          </c:val>
          <c:smooth val="0"/>
          <c:extLst>
            <c:ext xmlns:c16="http://schemas.microsoft.com/office/drawing/2014/chart" uri="{C3380CC4-5D6E-409C-BE32-E72D297353CC}">
              <c16:uniqueId val="{00000021-C6C5-42C5-90DA-9AA44258570A}"/>
            </c:ext>
          </c:extLst>
        </c:ser>
        <c:ser>
          <c:idx val="2"/>
          <c:order val="4"/>
          <c:tx>
            <c:strRef>
              <c:f>'Prerađivačka_6 graf'!$P$7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graf'!$P$44:$P$70</c:f>
              <c:numCache>
                <c:formatCode>0.0</c:formatCode>
                <c:ptCount val="27"/>
                <c:pt idx="0">
                  <c:v>99.685970288969472</c:v>
                </c:pt>
                <c:pt idx="1">
                  <c:v>99.950736791359446</c:v>
                </c:pt>
                <c:pt idx="2">
                  <c:v>100.1756127420216</c:v>
                </c:pt>
                <c:pt idx="3">
                  <c:v>100.06888405481106</c:v>
                </c:pt>
                <c:pt idx="4">
                  <c:v>99.4934674224601</c:v>
                </c:pt>
                <c:pt idx="5">
                  <c:v>98.555510774863507</c:v>
                </c:pt>
                <c:pt idx="6">
                  <c:v>97.562289495722112</c:v>
                </c:pt>
                <c:pt idx="7">
                  <c:v>96.732937610647241</c:v>
                </c:pt>
                <c:pt idx="8">
                  <c:v>96.201128523513518</c:v>
                </c:pt>
                <c:pt idx="9">
                  <c:v>96.063024001853663</c:v>
                </c:pt>
                <c:pt idx="10">
                  <c:v>96.335934020252068</c:v>
                </c:pt>
                <c:pt idx="11">
                  <c:v>96.962963422571647</c:v>
                </c:pt>
                <c:pt idx="12">
                  <c:v>97.732942629087418</c:v>
                </c:pt>
                <c:pt idx="13">
                  <c:v>98.357568098550203</c:v>
                </c:pt>
                <c:pt idx="14">
                  <c:v>98.68232107713068</c:v>
                </c:pt>
                <c:pt idx="15">
                  <c:v>98.775878222996482</c:v>
                </c:pt>
                <c:pt idx="16">
                  <c:v>98.855957447805466</c:v>
                </c:pt>
                <c:pt idx="17">
                  <c:v>99.018017292406256</c:v>
                </c:pt>
                <c:pt idx="18">
                  <c:v>99.249590249958757</c:v>
                </c:pt>
                <c:pt idx="19">
                  <c:v>99.565053711159408</c:v>
                </c:pt>
                <c:pt idx="20">
                  <c:v>100.00062837924396</c:v>
                </c:pt>
                <c:pt idx="21">
                  <c:v>100.58363177266962</c:v>
                </c:pt>
                <c:pt idx="22">
                  <c:v>101.26279893925479</c:v>
                </c:pt>
                <c:pt idx="23">
                  <c:v>101.97509281977581</c:v>
                </c:pt>
                <c:pt idx="24">
                  <c:v>102.58717014600659</c:v>
                </c:pt>
                <c:pt idx="25">
                  <c:v>102.98516221448942</c:v>
                </c:pt>
                <c:pt idx="26">
                  <c:v>103.03443397886518</c:v>
                </c:pt>
              </c:numCache>
            </c:numRef>
          </c:val>
          <c:smooth val="0"/>
          <c:extLst>
            <c:ext xmlns:c16="http://schemas.microsoft.com/office/drawing/2014/chart" uri="{C3380CC4-5D6E-409C-BE32-E72D297353CC}">
              <c16:uniqueId val="{00000022-C6C5-42C5-90DA-9AA44258570A}"/>
            </c:ext>
          </c:extLst>
        </c:ser>
        <c:dLbls>
          <c:showLegendKey val="0"/>
          <c:showVal val="0"/>
          <c:showCatName val="0"/>
          <c:showSerName val="0"/>
          <c:showPercent val="0"/>
          <c:showBubbleSize val="0"/>
        </c:dLbls>
        <c:marker val="1"/>
        <c:smooth val="0"/>
        <c:axId val="2092140400"/>
        <c:axId val="2092173040"/>
      </c:lineChart>
      <c:dateAx>
        <c:axId val="20921404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3040"/>
        <c:crosses val="autoZero"/>
        <c:auto val="1"/>
        <c:lblOffset val="0"/>
        <c:baseTimeUnit val="months"/>
        <c:majorUnit val="12"/>
        <c:majorTimeUnit val="months"/>
      </c:dateAx>
      <c:valAx>
        <c:axId val="2092173040"/>
        <c:scaling>
          <c:orientation val="minMax"/>
          <c:max val="125"/>
          <c:min val="7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404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graf'!$BA$7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4260546664106996"/>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D87-43C1-AC6A-23DE97822A15}"/>
                </c:ext>
              </c:extLst>
            </c:dLbl>
            <c:dLbl>
              <c:idx val="12"/>
              <c:layout>
                <c:manualLayout>
                  <c:x val="0.1425527948287369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87-43C1-AC6A-23DE97822A15}"/>
                </c:ext>
              </c:extLst>
            </c:dLbl>
            <c:dLbl>
              <c:idx val="24"/>
              <c:layout>
                <c:manualLayout>
                  <c:x val="-8.5879310858640642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87-43C1-AC6A-23DE97822A1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graf'!$BA$44:$BA$70</c:f>
              <c:numCache>
                <c:formatCode>General</c:formatCode>
                <c:ptCount val="27"/>
                <c:pt idx="0">
                  <c:v>40</c:v>
                </c:pt>
                <c:pt idx="12">
                  <c:v>40</c:v>
                </c:pt>
                <c:pt idx="24">
                  <c:v>40</c:v>
                </c:pt>
              </c:numCache>
            </c:numRef>
          </c:val>
          <c:smooth val="0"/>
          <c:extLst>
            <c:ext xmlns:c16="http://schemas.microsoft.com/office/drawing/2014/chart" uri="{C3380CC4-5D6E-409C-BE32-E72D297353CC}">
              <c16:uniqueId val="{00000003-5D87-43C1-AC6A-23DE97822A15}"/>
            </c:ext>
          </c:extLst>
        </c:ser>
        <c:ser>
          <c:idx val="4"/>
          <c:order val="1"/>
          <c:tx>
            <c:strRef>
              <c:f>'Prerađivačka_6 graf'!$BB$7</c:f>
              <c:strCache>
                <c:ptCount val="1"/>
                <c:pt idx="0">
                  <c:v>Series5</c:v>
                </c:pt>
              </c:strCache>
            </c:strRef>
          </c:tx>
          <c:spPr>
            <a:ln w="25400" cap="rnd">
              <a:noFill/>
              <a:round/>
            </a:ln>
            <a:effectLst/>
          </c:spPr>
          <c:marker>
            <c:symbol val="none"/>
          </c:marker>
          <c:dLbls>
            <c:dLbl>
              <c:idx val="0"/>
              <c:tx>
                <c:rich>
                  <a:bodyPr/>
                  <a:lstStyle/>
                  <a:p>
                    <a:fld id="{355C4EAA-C3E1-4844-A998-630CF91D11F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5D87-43C1-AC6A-23DE97822A15}"/>
                </c:ext>
              </c:extLst>
            </c:dLbl>
            <c:dLbl>
              <c:idx val="1"/>
              <c:tx>
                <c:rich>
                  <a:bodyPr/>
                  <a:lstStyle/>
                  <a:p>
                    <a:fld id="{FB3EDAFD-6456-43C6-BBFA-1511B8DBC39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5D87-43C1-AC6A-23DE97822A15}"/>
                </c:ext>
              </c:extLst>
            </c:dLbl>
            <c:dLbl>
              <c:idx val="2"/>
              <c:tx>
                <c:rich>
                  <a:bodyPr/>
                  <a:lstStyle/>
                  <a:p>
                    <a:fld id="{75B99390-7080-4527-B641-23191152D16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5D87-43C1-AC6A-23DE97822A15}"/>
                </c:ext>
              </c:extLst>
            </c:dLbl>
            <c:dLbl>
              <c:idx val="3"/>
              <c:tx>
                <c:rich>
                  <a:bodyPr/>
                  <a:lstStyle/>
                  <a:p>
                    <a:fld id="{27ED7865-F9D1-434F-99A1-6A79092653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5D87-43C1-AC6A-23DE97822A15}"/>
                </c:ext>
              </c:extLst>
            </c:dLbl>
            <c:dLbl>
              <c:idx val="4"/>
              <c:tx>
                <c:rich>
                  <a:bodyPr/>
                  <a:lstStyle/>
                  <a:p>
                    <a:fld id="{C884B468-692E-4F17-884A-5449C7F5075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D87-43C1-AC6A-23DE97822A15}"/>
                </c:ext>
              </c:extLst>
            </c:dLbl>
            <c:dLbl>
              <c:idx val="5"/>
              <c:tx>
                <c:rich>
                  <a:bodyPr/>
                  <a:lstStyle/>
                  <a:p>
                    <a:fld id="{EE297DA1-FD5F-4460-B800-2859326822E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5D87-43C1-AC6A-23DE97822A15}"/>
                </c:ext>
              </c:extLst>
            </c:dLbl>
            <c:dLbl>
              <c:idx val="6"/>
              <c:tx>
                <c:rich>
                  <a:bodyPr/>
                  <a:lstStyle/>
                  <a:p>
                    <a:fld id="{C7BC3C81-2F38-42C9-A3B7-E23A64D9ABB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D87-43C1-AC6A-23DE97822A15}"/>
                </c:ext>
              </c:extLst>
            </c:dLbl>
            <c:dLbl>
              <c:idx val="7"/>
              <c:tx>
                <c:rich>
                  <a:bodyPr/>
                  <a:lstStyle/>
                  <a:p>
                    <a:fld id="{64A4EE4A-F326-4DEF-B0C4-AB66CD892E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5D87-43C1-AC6A-23DE97822A15}"/>
                </c:ext>
              </c:extLst>
            </c:dLbl>
            <c:dLbl>
              <c:idx val="8"/>
              <c:tx>
                <c:rich>
                  <a:bodyPr/>
                  <a:lstStyle/>
                  <a:p>
                    <a:fld id="{0DC8EBFC-7A97-47C3-9C68-3FD20CDCC64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5D87-43C1-AC6A-23DE97822A15}"/>
                </c:ext>
              </c:extLst>
            </c:dLbl>
            <c:dLbl>
              <c:idx val="9"/>
              <c:tx>
                <c:rich>
                  <a:bodyPr/>
                  <a:lstStyle/>
                  <a:p>
                    <a:fld id="{245FF4AB-A97E-4F39-9146-2AD5173269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5D87-43C1-AC6A-23DE97822A15}"/>
                </c:ext>
              </c:extLst>
            </c:dLbl>
            <c:dLbl>
              <c:idx val="10"/>
              <c:tx>
                <c:rich>
                  <a:bodyPr/>
                  <a:lstStyle/>
                  <a:p>
                    <a:fld id="{2FD10180-D7AA-4FDB-A196-59898A1DE7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5D87-43C1-AC6A-23DE97822A15}"/>
                </c:ext>
              </c:extLst>
            </c:dLbl>
            <c:dLbl>
              <c:idx val="11"/>
              <c:tx>
                <c:rich>
                  <a:bodyPr/>
                  <a:lstStyle/>
                  <a:p>
                    <a:fld id="{76EB0CF2-65AC-49C9-AF9C-A007959B9C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5D87-43C1-AC6A-23DE97822A15}"/>
                </c:ext>
              </c:extLst>
            </c:dLbl>
            <c:dLbl>
              <c:idx val="12"/>
              <c:tx>
                <c:rich>
                  <a:bodyPr/>
                  <a:lstStyle/>
                  <a:p>
                    <a:fld id="{AE412D34-6FA5-447F-A7EB-5FBC36487A3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5D87-43C1-AC6A-23DE97822A15}"/>
                </c:ext>
              </c:extLst>
            </c:dLbl>
            <c:dLbl>
              <c:idx val="13"/>
              <c:tx>
                <c:rich>
                  <a:bodyPr/>
                  <a:lstStyle/>
                  <a:p>
                    <a:fld id="{3389E6E8-4542-459B-B866-5653D60486E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5D87-43C1-AC6A-23DE97822A15}"/>
                </c:ext>
              </c:extLst>
            </c:dLbl>
            <c:dLbl>
              <c:idx val="14"/>
              <c:tx>
                <c:rich>
                  <a:bodyPr/>
                  <a:lstStyle/>
                  <a:p>
                    <a:fld id="{C64A0C96-28D1-4B38-B4E5-C58FF79D96D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5D87-43C1-AC6A-23DE97822A15}"/>
                </c:ext>
              </c:extLst>
            </c:dLbl>
            <c:dLbl>
              <c:idx val="15"/>
              <c:tx>
                <c:rich>
                  <a:bodyPr/>
                  <a:lstStyle/>
                  <a:p>
                    <a:fld id="{F81FD98D-1878-4C51-BCA4-177E73E932E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5D87-43C1-AC6A-23DE97822A15}"/>
                </c:ext>
              </c:extLst>
            </c:dLbl>
            <c:dLbl>
              <c:idx val="16"/>
              <c:tx>
                <c:rich>
                  <a:bodyPr/>
                  <a:lstStyle/>
                  <a:p>
                    <a:fld id="{711D7CBD-EDDE-473F-820A-49B2A459E9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5D87-43C1-AC6A-23DE97822A15}"/>
                </c:ext>
              </c:extLst>
            </c:dLbl>
            <c:dLbl>
              <c:idx val="17"/>
              <c:tx>
                <c:rich>
                  <a:bodyPr/>
                  <a:lstStyle/>
                  <a:p>
                    <a:fld id="{565C8607-2A33-4D26-89B9-F2FEED3794A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5D87-43C1-AC6A-23DE97822A15}"/>
                </c:ext>
              </c:extLst>
            </c:dLbl>
            <c:dLbl>
              <c:idx val="18"/>
              <c:tx>
                <c:rich>
                  <a:bodyPr/>
                  <a:lstStyle/>
                  <a:p>
                    <a:fld id="{A27B57B2-F0A4-4C08-B369-BC823B1CE19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5D87-43C1-AC6A-23DE97822A15}"/>
                </c:ext>
              </c:extLst>
            </c:dLbl>
            <c:dLbl>
              <c:idx val="19"/>
              <c:tx>
                <c:rich>
                  <a:bodyPr/>
                  <a:lstStyle/>
                  <a:p>
                    <a:fld id="{CD087D01-68D3-476A-BC13-65370040F1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5D87-43C1-AC6A-23DE97822A15}"/>
                </c:ext>
              </c:extLst>
            </c:dLbl>
            <c:dLbl>
              <c:idx val="20"/>
              <c:tx>
                <c:rich>
                  <a:bodyPr/>
                  <a:lstStyle/>
                  <a:p>
                    <a:fld id="{0BDC0E0B-CA12-499E-8C59-6D3FAF5653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5D87-43C1-AC6A-23DE97822A15}"/>
                </c:ext>
              </c:extLst>
            </c:dLbl>
            <c:dLbl>
              <c:idx val="21"/>
              <c:tx>
                <c:rich>
                  <a:bodyPr/>
                  <a:lstStyle/>
                  <a:p>
                    <a:fld id="{52445EA6-24F0-4AF1-9A11-28181734AF6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5D87-43C1-AC6A-23DE97822A15}"/>
                </c:ext>
              </c:extLst>
            </c:dLbl>
            <c:dLbl>
              <c:idx val="22"/>
              <c:tx>
                <c:rich>
                  <a:bodyPr/>
                  <a:lstStyle/>
                  <a:p>
                    <a:fld id="{385F55CD-B193-4E8C-A221-770C7F8ABD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5D87-43C1-AC6A-23DE97822A15}"/>
                </c:ext>
              </c:extLst>
            </c:dLbl>
            <c:dLbl>
              <c:idx val="23"/>
              <c:tx>
                <c:rich>
                  <a:bodyPr/>
                  <a:lstStyle/>
                  <a:p>
                    <a:fld id="{B339CC26-0C38-48CE-85A0-1E6310F20D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5D87-43C1-AC6A-23DE97822A15}"/>
                </c:ext>
              </c:extLst>
            </c:dLbl>
            <c:dLbl>
              <c:idx val="24"/>
              <c:tx>
                <c:rich>
                  <a:bodyPr/>
                  <a:lstStyle/>
                  <a:p>
                    <a:fld id="{28412D3E-8A71-4B49-8989-431CA7C35F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5D87-43C1-AC6A-23DE97822A15}"/>
                </c:ext>
              </c:extLst>
            </c:dLbl>
            <c:dLbl>
              <c:idx val="25"/>
              <c:tx>
                <c:rich>
                  <a:bodyPr/>
                  <a:lstStyle/>
                  <a:p>
                    <a:fld id="{ECD39AC0-B5D9-4C0F-BF65-E33B864025B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5D87-43C1-AC6A-23DE97822A15}"/>
                </c:ext>
              </c:extLst>
            </c:dLbl>
            <c:dLbl>
              <c:idx val="26"/>
              <c:tx>
                <c:rich>
                  <a:bodyPr/>
                  <a:lstStyle/>
                  <a:p>
                    <a:fld id="{C930352B-B04A-442A-87A3-4C49756696B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5D87-43C1-AC6A-23DE97822A1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graf'!$BB$44:$BB$70</c:f>
              <c:numCache>
                <c:formatCode>General</c:formatCode>
                <c:ptCount val="27"/>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5D87-43C1-AC6A-23DE97822A15}"/>
            </c:ext>
          </c:extLst>
        </c:ser>
        <c:ser>
          <c:idx val="0"/>
          <c:order val="2"/>
          <c:tx>
            <c:strRef>
              <c:f>'Prerađivačka_6 graf'!$BC$7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graf'!$BC$44:$BC$70</c:f>
              <c:numCache>
                <c:formatCode>0.0</c:formatCode>
                <c:ptCount val="27"/>
                <c:pt idx="0">
                  <c:v>70.701360522560137</c:v>
                </c:pt>
                <c:pt idx="1">
                  <c:v>78.34955801305091</c:v>
                </c:pt>
                <c:pt idx="2">
                  <c:v>82.084724229337098</c:v>
                </c:pt>
                <c:pt idx="3">
                  <c:v>80.928601352867574</c:v>
                </c:pt>
                <c:pt idx="4">
                  <c:v>92.134100001726154</c:v>
                </c:pt>
                <c:pt idx="5">
                  <c:v>93.11235782027731</c:v>
                </c:pt>
                <c:pt idx="6">
                  <c:v>96.313928862808325</c:v>
                </c:pt>
                <c:pt idx="7">
                  <c:v>81.106466410785956</c:v>
                </c:pt>
                <c:pt idx="8">
                  <c:v>98.626174615747402</c:v>
                </c:pt>
                <c:pt idx="9">
                  <c:v>106.63010222207497</c:v>
                </c:pt>
                <c:pt idx="10">
                  <c:v>101.91667818723762</c:v>
                </c:pt>
                <c:pt idx="11">
                  <c:v>84.841632627072158</c:v>
                </c:pt>
                <c:pt idx="12">
                  <c:v>88.672566371681413</c:v>
                </c:pt>
                <c:pt idx="13">
                  <c:v>95.767634854771785</c:v>
                </c:pt>
                <c:pt idx="14">
                  <c:v>90.006752194463218</c:v>
                </c:pt>
                <c:pt idx="15">
                  <c:v>56.359730350396319</c:v>
                </c:pt>
                <c:pt idx="16">
                  <c:v>81.87273131343062</c:v>
                </c:pt>
                <c:pt idx="17">
                  <c:v>102.22979479961478</c:v>
                </c:pt>
                <c:pt idx="18">
                  <c:v>109.6081191199348</c:v>
                </c:pt>
                <c:pt idx="19">
                  <c:v>89.339951107489441</c:v>
                </c:pt>
                <c:pt idx="20">
                  <c:v>128.89843692125342</c:v>
                </c:pt>
                <c:pt idx="21">
                  <c:v>132.72094229202165</c:v>
                </c:pt>
                <c:pt idx="22">
                  <c:v>112.80835617453144</c:v>
                </c:pt>
                <c:pt idx="23">
                  <c:v>107.8302096451589</c:v>
                </c:pt>
                <c:pt idx="24">
                  <c:v>100.2</c:v>
                </c:pt>
                <c:pt idx="25">
                  <c:v>115.4</c:v>
                </c:pt>
                <c:pt idx="26">
                  <c:v>133.30000000000001</c:v>
                </c:pt>
              </c:numCache>
            </c:numRef>
          </c:val>
          <c:smooth val="0"/>
          <c:extLst>
            <c:ext xmlns:c16="http://schemas.microsoft.com/office/drawing/2014/chart" uri="{C3380CC4-5D6E-409C-BE32-E72D297353CC}">
              <c16:uniqueId val="{00000020-5D87-43C1-AC6A-23DE97822A15}"/>
            </c:ext>
          </c:extLst>
        </c:ser>
        <c:ser>
          <c:idx val="1"/>
          <c:order val="3"/>
          <c:tx>
            <c:strRef>
              <c:f>'Prerađivačka_6 graf'!$BD$7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graf'!$BD$44:$BD$70</c:f>
              <c:numCache>
                <c:formatCode>0.0</c:formatCode>
                <c:ptCount val="27"/>
                <c:pt idx="0">
                  <c:v>88.209629538209711</c:v>
                </c:pt>
                <c:pt idx="1">
                  <c:v>85.78985140738105</c:v>
                </c:pt>
                <c:pt idx="2">
                  <c:v>82.767198609492425</c:v>
                </c:pt>
                <c:pt idx="3">
                  <c:v>84.152045275512734</c:v>
                </c:pt>
                <c:pt idx="4">
                  <c:v>91.145439660190107</c:v>
                </c:pt>
                <c:pt idx="5">
                  <c:v>86.685308355863725</c:v>
                </c:pt>
                <c:pt idx="6">
                  <c:v>89.375858868846592</c:v>
                </c:pt>
                <c:pt idx="7">
                  <c:v>88.853540662908571</c:v>
                </c:pt>
                <c:pt idx="8">
                  <c:v>89.18662792436028</c:v>
                </c:pt>
                <c:pt idx="9">
                  <c:v>90.006455761027837</c:v>
                </c:pt>
                <c:pt idx="10">
                  <c:v>97.259508929951295</c:v>
                </c:pt>
                <c:pt idx="11">
                  <c:v>94.247808539325547</c:v>
                </c:pt>
                <c:pt idx="12">
                  <c:v>108.33567546434489</c:v>
                </c:pt>
                <c:pt idx="13">
                  <c:v>101.48340201773338</c:v>
                </c:pt>
                <c:pt idx="14">
                  <c:v>89.212734607894376</c:v>
                </c:pt>
                <c:pt idx="15">
                  <c:v>59.098986009929433</c:v>
                </c:pt>
                <c:pt idx="16">
                  <c:v>82.685551660222572</c:v>
                </c:pt>
                <c:pt idx="17">
                  <c:v>93.306688431904121</c:v>
                </c:pt>
                <c:pt idx="18">
                  <c:v>102.04464438593216</c:v>
                </c:pt>
                <c:pt idx="19">
                  <c:v>100.35040686923607</c:v>
                </c:pt>
                <c:pt idx="20">
                  <c:v>114.8524622646749</c:v>
                </c:pt>
                <c:pt idx="21">
                  <c:v>113.47735941029811</c:v>
                </c:pt>
                <c:pt idx="22">
                  <c:v>107.55478552581972</c:v>
                </c:pt>
                <c:pt idx="23">
                  <c:v>117.48151534361001</c:v>
                </c:pt>
                <c:pt idx="24">
                  <c:v>122.5291079936331</c:v>
                </c:pt>
                <c:pt idx="25">
                  <c:v>124.48976339260523</c:v>
                </c:pt>
                <c:pt idx="26">
                  <c:v>130.43438171519762</c:v>
                </c:pt>
              </c:numCache>
            </c:numRef>
          </c:val>
          <c:smooth val="0"/>
          <c:extLst>
            <c:ext xmlns:c16="http://schemas.microsoft.com/office/drawing/2014/chart" uri="{C3380CC4-5D6E-409C-BE32-E72D297353CC}">
              <c16:uniqueId val="{00000021-5D87-43C1-AC6A-23DE97822A15}"/>
            </c:ext>
          </c:extLst>
        </c:ser>
        <c:ser>
          <c:idx val="2"/>
          <c:order val="4"/>
          <c:tx>
            <c:strRef>
              <c:f>'Prerađivačka_6 graf'!$BE$7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graf'!$BE$44:$BE$70</c:f>
              <c:numCache>
                <c:formatCode>0.0</c:formatCode>
                <c:ptCount val="27"/>
                <c:pt idx="0">
                  <c:v>86.615000443402351</c:v>
                </c:pt>
                <c:pt idx="1">
                  <c:v>85.778529465502714</c:v>
                </c:pt>
                <c:pt idx="2">
                  <c:v>85.379272245132128</c:v>
                </c:pt>
                <c:pt idx="3">
                  <c:v>85.652280482085601</c:v>
                </c:pt>
                <c:pt idx="4">
                  <c:v>86.324183651657023</c:v>
                </c:pt>
                <c:pt idx="5">
                  <c:v>87.192292127918208</c:v>
                </c:pt>
                <c:pt idx="6">
                  <c:v>88.200786661404663</c:v>
                </c:pt>
                <c:pt idx="7">
                  <c:v>89.276881367993212</c:v>
                </c:pt>
                <c:pt idx="8">
                  <c:v>90.593587600694335</c:v>
                </c:pt>
                <c:pt idx="9">
                  <c:v>92.190570866069336</c:v>
                </c:pt>
                <c:pt idx="10">
                  <c:v>93.886870274330192</c:v>
                </c:pt>
                <c:pt idx="11">
                  <c:v>95.28852101649808</c:v>
                </c:pt>
                <c:pt idx="12">
                  <c:v>95.856386311105453</c:v>
                </c:pt>
                <c:pt idx="13">
                  <c:v>95.684691943009668</c:v>
                </c:pt>
                <c:pt idx="14">
                  <c:v>95.024192888806425</c:v>
                </c:pt>
                <c:pt idx="15">
                  <c:v>94.494346656711571</c:v>
                </c:pt>
                <c:pt idx="16">
                  <c:v>94.975243144235876</c:v>
                </c:pt>
                <c:pt idx="17">
                  <c:v>96.684016317619069</c:v>
                </c:pt>
                <c:pt idx="18">
                  <c:v>99.33098685582047</c:v>
                </c:pt>
                <c:pt idx="19">
                  <c:v>102.66488935883659</c:v>
                </c:pt>
                <c:pt idx="20">
                  <c:v>106.20620091463532</c:v>
                </c:pt>
                <c:pt idx="21">
                  <c:v>109.802860433443</c:v>
                </c:pt>
                <c:pt idx="22">
                  <c:v>113.69729942909734</c:v>
                </c:pt>
                <c:pt idx="23">
                  <c:v>117.60535532278682</c:v>
                </c:pt>
                <c:pt idx="24">
                  <c:v>121.29616450940858</c:v>
                </c:pt>
                <c:pt idx="25">
                  <c:v>124.33241224259974</c:v>
                </c:pt>
                <c:pt idx="26">
                  <c:v>126.44553306163905</c:v>
                </c:pt>
              </c:numCache>
            </c:numRef>
          </c:val>
          <c:smooth val="0"/>
          <c:extLst>
            <c:ext xmlns:c16="http://schemas.microsoft.com/office/drawing/2014/chart" uri="{C3380CC4-5D6E-409C-BE32-E72D297353CC}">
              <c16:uniqueId val="{00000022-5D87-43C1-AC6A-23DE97822A15}"/>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4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graf'!$AV$7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3816888298241281"/>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48E-493D-8920-A1B0931BAD31}"/>
                </c:ext>
              </c:extLst>
            </c:dLbl>
            <c:dLbl>
              <c:idx val="12"/>
              <c:layout>
                <c:manualLayout>
                  <c:x val="0.14257781612671425"/>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48E-493D-8920-A1B0931BAD31}"/>
                </c:ext>
              </c:extLst>
            </c:dLbl>
            <c:dLbl>
              <c:idx val="24"/>
              <c:layout>
                <c:manualLayout>
                  <c:x val="-8.5178798833625106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48E-493D-8920-A1B0931BAD31}"/>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graf'!$AV$44:$AV$70</c:f>
              <c:numCache>
                <c:formatCode>General</c:formatCode>
                <c:ptCount val="27"/>
                <c:pt idx="0">
                  <c:v>55</c:v>
                </c:pt>
                <c:pt idx="12">
                  <c:v>55</c:v>
                </c:pt>
                <c:pt idx="24">
                  <c:v>55</c:v>
                </c:pt>
              </c:numCache>
            </c:numRef>
          </c:val>
          <c:smooth val="0"/>
          <c:extLst>
            <c:ext xmlns:c16="http://schemas.microsoft.com/office/drawing/2014/chart" uri="{C3380CC4-5D6E-409C-BE32-E72D297353CC}">
              <c16:uniqueId val="{00000003-748E-493D-8920-A1B0931BAD31}"/>
            </c:ext>
          </c:extLst>
        </c:ser>
        <c:ser>
          <c:idx val="4"/>
          <c:order val="1"/>
          <c:tx>
            <c:strRef>
              <c:f>'Prerađivačka_6 graf'!$AW$7</c:f>
              <c:strCache>
                <c:ptCount val="1"/>
                <c:pt idx="0">
                  <c:v>Series5</c:v>
                </c:pt>
              </c:strCache>
            </c:strRef>
          </c:tx>
          <c:spPr>
            <a:ln w="25400" cap="rnd">
              <a:noFill/>
              <a:round/>
            </a:ln>
            <a:effectLst/>
          </c:spPr>
          <c:marker>
            <c:symbol val="none"/>
          </c:marker>
          <c:dLbls>
            <c:dLbl>
              <c:idx val="0"/>
              <c:tx>
                <c:rich>
                  <a:bodyPr/>
                  <a:lstStyle/>
                  <a:p>
                    <a:fld id="{1B70F02D-A1D5-4061-86ED-E0D8974719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748E-493D-8920-A1B0931BAD31}"/>
                </c:ext>
              </c:extLst>
            </c:dLbl>
            <c:dLbl>
              <c:idx val="1"/>
              <c:tx>
                <c:rich>
                  <a:bodyPr/>
                  <a:lstStyle/>
                  <a:p>
                    <a:fld id="{39846458-6368-4EBF-A6E6-3D93D4A99DA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748E-493D-8920-A1B0931BAD31}"/>
                </c:ext>
              </c:extLst>
            </c:dLbl>
            <c:dLbl>
              <c:idx val="2"/>
              <c:tx>
                <c:rich>
                  <a:bodyPr/>
                  <a:lstStyle/>
                  <a:p>
                    <a:fld id="{FA63F2BE-B203-4553-AB7D-E72DABDA801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748E-493D-8920-A1B0931BAD31}"/>
                </c:ext>
              </c:extLst>
            </c:dLbl>
            <c:dLbl>
              <c:idx val="3"/>
              <c:tx>
                <c:rich>
                  <a:bodyPr/>
                  <a:lstStyle/>
                  <a:p>
                    <a:fld id="{E0373B6F-047D-4A6D-9441-CE09111DE86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748E-493D-8920-A1B0931BAD31}"/>
                </c:ext>
              </c:extLst>
            </c:dLbl>
            <c:dLbl>
              <c:idx val="4"/>
              <c:tx>
                <c:rich>
                  <a:bodyPr/>
                  <a:lstStyle/>
                  <a:p>
                    <a:fld id="{E57A4632-CD3D-405F-B8F3-730A871466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748E-493D-8920-A1B0931BAD31}"/>
                </c:ext>
              </c:extLst>
            </c:dLbl>
            <c:dLbl>
              <c:idx val="5"/>
              <c:tx>
                <c:rich>
                  <a:bodyPr/>
                  <a:lstStyle/>
                  <a:p>
                    <a:fld id="{B35FF47A-165F-4103-9F5E-C6C29AA55DE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748E-493D-8920-A1B0931BAD31}"/>
                </c:ext>
              </c:extLst>
            </c:dLbl>
            <c:dLbl>
              <c:idx val="6"/>
              <c:tx>
                <c:rich>
                  <a:bodyPr/>
                  <a:lstStyle/>
                  <a:p>
                    <a:fld id="{9F74A9E9-192F-4817-B9D4-F0802BB3E5D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748E-493D-8920-A1B0931BAD31}"/>
                </c:ext>
              </c:extLst>
            </c:dLbl>
            <c:dLbl>
              <c:idx val="7"/>
              <c:tx>
                <c:rich>
                  <a:bodyPr/>
                  <a:lstStyle/>
                  <a:p>
                    <a:fld id="{7FBA8CED-D08C-417C-81BC-2C3473239A3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748E-493D-8920-A1B0931BAD31}"/>
                </c:ext>
              </c:extLst>
            </c:dLbl>
            <c:dLbl>
              <c:idx val="8"/>
              <c:tx>
                <c:rich>
                  <a:bodyPr/>
                  <a:lstStyle/>
                  <a:p>
                    <a:fld id="{17FB04DC-42F8-4187-90A4-3631C7FC5C9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748E-493D-8920-A1B0931BAD31}"/>
                </c:ext>
              </c:extLst>
            </c:dLbl>
            <c:dLbl>
              <c:idx val="9"/>
              <c:tx>
                <c:rich>
                  <a:bodyPr/>
                  <a:lstStyle/>
                  <a:p>
                    <a:fld id="{41296A1F-9C95-44D4-90F8-8432A59D54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748E-493D-8920-A1B0931BAD31}"/>
                </c:ext>
              </c:extLst>
            </c:dLbl>
            <c:dLbl>
              <c:idx val="10"/>
              <c:tx>
                <c:rich>
                  <a:bodyPr/>
                  <a:lstStyle/>
                  <a:p>
                    <a:fld id="{25BF10A5-335D-435B-8EBB-307DD05826A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748E-493D-8920-A1B0931BAD31}"/>
                </c:ext>
              </c:extLst>
            </c:dLbl>
            <c:dLbl>
              <c:idx val="11"/>
              <c:tx>
                <c:rich>
                  <a:bodyPr/>
                  <a:lstStyle/>
                  <a:p>
                    <a:fld id="{F606D07A-B58C-492E-9F5D-A915DF35A0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748E-493D-8920-A1B0931BAD31}"/>
                </c:ext>
              </c:extLst>
            </c:dLbl>
            <c:dLbl>
              <c:idx val="12"/>
              <c:tx>
                <c:rich>
                  <a:bodyPr/>
                  <a:lstStyle/>
                  <a:p>
                    <a:fld id="{592A8863-C959-46E2-8A64-EBC72BC3D0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748E-493D-8920-A1B0931BAD31}"/>
                </c:ext>
              </c:extLst>
            </c:dLbl>
            <c:dLbl>
              <c:idx val="13"/>
              <c:tx>
                <c:rich>
                  <a:bodyPr/>
                  <a:lstStyle/>
                  <a:p>
                    <a:fld id="{927637E0-4221-421C-AFA9-B0CEF17E2A5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748E-493D-8920-A1B0931BAD31}"/>
                </c:ext>
              </c:extLst>
            </c:dLbl>
            <c:dLbl>
              <c:idx val="14"/>
              <c:tx>
                <c:rich>
                  <a:bodyPr/>
                  <a:lstStyle/>
                  <a:p>
                    <a:fld id="{96AADE57-9296-4467-AF18-DF3253D83F3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748E-493D-8920-A1B0931BAD31}"/>
                </c:ext>
              </c:extLst>
            </c:dLbl>
            <c:dLbl>
              <c:idx val="15"/>
              <c:tx>
                <c:rich>
                  <a:bodyPr/>
                  <a:lstStyle/>
                  <a:p>
                    <a:fld id="{5E01D934-27E4-45A9-BC0F-6D2CB7CF3F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748E-493D-8920-A1B0931BAD31}"/>
                </c:ext>
              </c:extLst>
            </c:dLbl>
            <c:dLbl>
              <c:idx val="16"/>
              <c:tx>
                <c:rich>
                  <a:bodyPr/>
                  <a:lstStyle/>
                  <a:p>
                    <a:fld id="{478F4711-AB0C-4480-90B7-C6E03B7E18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748E-493D-8920-A1B0931BAD31}"/>
                </c:ext>
              </c:extLst>
            </c:dLbl>
            <c:dLbl>
              <c:idx val="17"/>
              <c:tx>
                <c:rich>
                  <a:bodyPr/>
                  <a:lstStyle/>
                  <a:p>
                    <a:fld id="{3FDBFE6B-728C-4A56-8BEA-6980FF02AF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748E-493D-8920-A1B0931BAD31}"/>
                </c:ext>
              </c:extLst>
            </c:dLbl>
            <c:dLbl>
              <c:idx val="18"/>
              <c:tx>
                <c:rich>
                  <a:bodyPr/>
                  <a:lstStyle/>
                  <a:p>
                    <a:fld id="{A37AE904-8D9C-4B60-BF3C-1C59802B3C6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748E-493D-8920-A1B0931BAD31}"/>
                </c:ext>
              </c:extLst>
            </c:dLbl>
            <c:dLbl>
              <c:idx val="19"/>
              <c:tx>
                <c:rich>
                  <a:bodyPr/>
                  <a:lstStyle/>
                  <a:p>
                    <a:fld id="{ADF5A8E3-3863-4617-9C4D-218EBB893F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748E-493D-8920-A1B0931BAD31}"/>
                </c:ext>
              </c:extLst>
            </c:dLbl>
            <c:dLbl>
              <c:idx val="20"/>
              <c:tx>
                <c:rich>
                  <a:bodyPr/>
                  <a:lstStyle/>
                  <a:p>
                    <a:fld id="{96086471-A340-4105-8731-70455E93F84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748E-493D-8920-A1B0931BAD31}"/>
                </c:ext>
              </c:extLst>
            </c:dLbl>
            <c:dLbl>
              <c:idx val="21"/>
              <c:tx>
                <c:rich>
                  <a:bodyPr/>
                  <a:lstStyle/>
                  <a:p>
                    <a:fld id="{17F29D32-16D2-4DBA-BDEA-74336DC4C08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748E-493D-8920-A1B0931BAD31}"/>
                </c:ext>
              </c:extLst>
            </c:dLbl>
            <c:dLbl>
              <c:idx val="22"/>
              <c:tx>
                <c:rich>
                  <a:bodyPr/>
                  <a:lstStyle/>
                  <a:p>
                    <a:fld id="{3A2DEE60-3D74-439F-9E05-AF04A1EB73E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748E-493D-8920-A1B0931BAD31}"/>
                </c:ext>
              </c:extLst>
            </c:dLbl>
            <c:dLbl>
              <c:idx val="23"/>
              <c:tx>
                <c:rich>
                  <a:bodyPr/>
                  <a:lstStyle/>
                  <a:p>
                    <a:fld id="{DEB9A425-978D-4023-AD39-6EFEB1C88CE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748E-493D-8920-A1B0931BAD31}"/>
                </c:ext>
              </c:extLst>
            </c:dLbl>
            <c:dLbl>
              <c:idx val="24"/>
              <c:tx>
                <c:rich>
                  <a:bodyPr/>
                  <a:lstStyle/>
                  <a:p>
                    <a:fld id="{4A7B1B4E-4C97-4F46-873C-FE9D52E214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748E-493D-8920-A1B0931BAD31}"/>
                </c:ext>
              </c:extLst>
            </c:dLbl>
            <c:dLbl>
              <c:idx val="25"/>
              <c:tx>
                <c:rich>
                  <a:bodyPr/>
                  <a:lstStyle/>
                  <a:p>
                    <a:fld id="{ED27DFA1-E1EA-4570-A059-62702A5320A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748E-493D-8920-A1B0931BAD31}"/>
                </c:ext>
              </c:extLst>
            </c:dLbl>
            <c:dLbl>
              <c:idx val="26"/>
              <c:tx>
                <c:rich>
                  <a:bodyPr/>
                  <a:lstStyle/>
                  <a:p>
                    <a:fld id="{A9ABDC1A-51F0-4ACA-9412-3A96E856B05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748E-493D-8920-A1B0931BAD31}"/>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graf'!$AW$44:$AW$70</c:f>
              <c:numCache>
                <c:formatCode>General</c:formatCode>
                <c:ptCount val="27"/>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748E-493D-8920-A1B0931BAD31}"/>
            </c:ext>
          </c:extLst>
        </c:ser>
        <c:ser>
          <c:idx val="0"/>
          <c:order val="2"/>
          <c:tx>
            <c:strRef>
              <c:f>'Prerađivačka_6 graf'!$AX$7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graf'!$AX$44:$AX$70</c:f>
              <c:numCache>
                <c:formatCode>0.0</c:formatCode>
                <c:ptCount val="27"/>
                <c:pt idx="0">
                  <c:v>73.104775855463444</c:v>
                </c:pt>
                <c:pt idx="1">
                  <c:v>78.058136836324294</c:v>
                </c:pt>
                <c:pt idx="2">
                  <c:v>102.39792786296809</c:v>
                </c:pt>
                <c:pt idx="3">
                  <c:v>92.832817003374728</c:v>
                </c:pt>
                <c:pt idx="4">
                  <c:v>97.871580759767653</c:v>
                </c:pt>
                <c:pt idx="5">
                  <c:v>97.188358555510973</c:v>
                </c:pt>
                <c:pt idx="6">
                  <c:v>93.857650309759748</c:v>
                </c:pt>
                <c:pt idx="7">
                  <c:v>84.463345001230564</c:v>
                </c:pt>
                <c:pt idx="8">
                  <c:v>95.565705820401419</c:v>
                </c:pt>
                <c:pt idx="9">
                  <c:v>101.7147056587114</c:v>
                </c:pt>
                <c:pt idx="10">
                  <c:v>106.24105276191185</c:v>
                </c:pt>
                <c:pt idx="11">
                  <c:v>98.81101129062057</c:v>
                </c:pt>
                <c:pt idx="12">
                  <c:v>81.293302540415709</c:v>
                </c:pt>
                <c:pt idx="13">
                  <c:v>97.198275862068968</c:v>
                </c:pt>
                <c:pt idx="14">
                  <c:v>84.326710816777037</c:v>
                </c:pt>
                <c:pt idx="15">
                  <c:v>70.599236343801138</c:v>
                </c:pt>
                <c:pt idx="16">
                  <c:v>86.308735291825755</c:v>
                </c:pt>
                <c:pt idx="17">
                  <c:v>105.01051975375984</c:v>
                </c:pt>
                <c:pt idx="18">
                  <c:v>102.76630561832776</c:v>
                </c:pt>
                <c:pt idx="19">
                  <c:v>110.34052832541104</c:v>
                </c:pt>
                <c:pt idx="20">
                  <c:v>113.61334060624951</c:v>
                </c:pt>
                <c:pt idx="21">
                  <c:v>108.65736772383698</c:v>
                </c:pt>
                <c:pt idx="22">
                  <c:v>103.23385022987613</c:v>
                </c:pt>
                <c:pt idx="23">
                  <c:v>139.14127639678955</c:v>
                </c:pt>
                <c:pt idx="24">
                  <c:v>70.400000000000006</c:v>
                </c:pt>
                <c:pt idx="25">
                  <c:v>90.2</c:v>
                </c:pt>
                <c:pt idx="26">
                  <c:v>114.6</c:v>
                </c:pt>
              </c:numCache>
            </c:numRef>
          </c:val>
          <c:smooth val="0"/>
          <c:extLst>
            <c:ext xmlns:c16="http://schemas.microsoft.com/office/drawing/2014/chart" uri="{C3380CC4-5D6E-409C-BE32-E72D297353CC}">
              <c16:uniqueId val="{00000020-748E-493D-8920-A1B0931BAD31}"/>
            </c:ext>
          </c:extLst>
        </c:ser>
        <c:ser>
          <c:idx val="1"/>
          <c:order val="3"/>
          <c:tx>
            <c:strRef>
              <c:f>'Prerađivačka_6 graf'!$AY$7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graf'!$AY$44:$AY$70</c:f>
              <c:numCache>
                <c:formatCode>0.0</c:formatCode>
                <c:ptCount val="27"/>
                <c:pt idx="0">
                  <c:v>91.733940068882688</c:v>
                </c:pt>
                <c:pt idx="1">
                  <c:v>86.353379906072064</c:v>
                </c:pt>
                <c:pt idx="2">
                  <c:v>95.092631004944693</c:v>
                </c:pt>
                <c:pt idx="3">
                  <c:v>98.285052931428311</c:v>
                </c:pt>
                <c:pt idx="4">
                  <c:v>96.992999563850901</c:v>
                </c:pt>
                <c:pt idx="5">
                  <c:v>93.523023002171001</c:v>
                </c:pt>
                <c:pt idx="6">
                  <c:v>93.530435104502217</c:v>
                </c:pt>
                <c:pt idx="7">
                  <c:v>88.097758116386572</c:v>
                </c:pt>
                <c:pt idx="8">
                  <c:v>89.589961574687663</c:v>
                </c:pt>
                <c:pt idx="9">
                  <c:v>93.448565321586216</c:v>
                </c:pt>
                <c:pt idx="10">
                  <c:v>99.943122448884495</c:v>
                </c:pt>
                <c:pt idx="11">
                  <c:v>94.934593073106726</c:v>
                </c:pt>
                <c:pt idx="12">
                  <c:v>102.13079679498119</c:v>
                </c:pt>
                <c:pt idx="13">
                  <c:v>103.95122242267067</c:v>
                </c:pt>
                <c:pt idx="14">
                  <c:v>77.237246629695477</c:v>
                </c:pt>
                <c:pt idx="15">
                  <c:v>75.249000823100388</c:v>
                </c:pt>
                <c:pt idx="16">
                  <c:v>87.333007518935347</c:v>
                </c:pt>
                <c:pt idx="17">
                  <c:v>98.117711320581734</c:v>
                </c:pt>
                <c:pt idx="18">
                  <c:v>101.64797970692887</c:v>
                </c:pt>
                <c:pt idx="19">
                  <c:v>116.2276657078434</c:v>
                </c:pt>
                <c:pt idx="20">
                  <c:v>104.57528558358671</c:v>
                </c:pt>
                <c:pt idx="21">
                  <c:v>100.92996914379164</c:v>
                </c:pt>
                <c:pt idx="22">
                  <c:v>96.964091945007411</c:v>
                </c:pt>
                <c:pt idx="23">
                  <c:v>132.29769861279379</c:v>
                </c:pt>
                <c:pt idx="24">
                  <c:v>89.948956601913892</c:v>
                </c:pt>
                <c:pt idx="25">
                  <c:v>101.45967484385848</c:v>
                </c:pt>
                <c:pt idx="26">
                  <c:v>104.18807960127062</c:v>
                </c:pt>
              </c:numCache>
            </c:numRef>
          </c:val>
          <c:smooth val="0"/>
          <c:extLst>
            <c:ext xmlns:c16="http://schemas.microsoft.com/office/drawing/2014/chart" uri="{C3380CC4-5D6E-409C-BE32-E72D297353CC}">
              <c16:uniqueId val="{00000021-748E-493D-8920-A1B0931BAD31}"/>
            </c:ext>
          </c:extLst>
        </c:ser>
        <c:ser>
          <c:idx val="2"/>
          <c:order val="4"/>
          <c:tx>
            <c:strRef>
              <c:f>'Prerađivačka_6 graf'!$AZ$7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graf'!$AZ$44:$AZ$70</c:f>
              <c:numCache>
                <c:formatCode>0.0</c:formatCode>
                <c:ptCount val="27"/>
                <c:pt idx="0">
                  <c:v>89.162262366257593</c:v>
                </c:pt>
                <c:pt idx="1">
                  <c:v>91.532039390927608</c:v>
                </c:pt>
                <c:pt idx="2">
                  <c:v>93.760318700914169</c:v>
                </c:pt>
                <c:pt idx="3">
                  <c:v>95.082867105667319</c:v>
                </c:pt>
                <c:pt idx="4">
                  <c:v>95.038306204604865</c:v>
                </c:pt>
                <c:pt idx="5">
                  <c:v>94.002445720072274</c:v>
                </c:pt>
                <c:pt idx="6">
                  <c:v>92.681797400602861</c:v>
                </c:pt>
                <c:pt idx="7">
                  <c:v>91.935107517852032</c:v>
                </c:pt>
                <c:pt idx="8">
                  <c:v>92.301903904624268</c:v>
                </c:pt>
                <c:pt idx="9">
                  <c:v>93.756290637174232</c:v>
                </c:pt>
                <c:pt idx="10">
                  <c:v>95.443583437169806</c:v>
                </c:pt>
                <c:pt idx="11">
                  <c:v>96.237467075886457</c:v>
                </c:pt>
                <c:pt idx="12">
                  <c:v>95.631497861798053</c:v>
                </c:pt>
                <c:pt idx="13">
                  <c:v>94.043777706687365</c:v>
                </c:pt>
                <c:pt idx="14">
                  <c:v>92.446989128470136</c:v>
                </c:pt>
                <c:pt idx="15">
                  <c:v>92.060466533382623</c:v>
                </c:pt>
                <c:pt idx="16">
                  <c:v>93.423154493790747</c:v>
                </c:pt>
                <c:pt idx="17">
                  <c:v>96.077747680947468</c:v>
                </c:pt>
                <c:pt idx="18">
                  <c:v>99.002508362339057</c:v>
                </c:pt>
                <c:pt idx="19">
                  <c:v>101.10253800038083</c:v>
                </c:pt>
                <c:pt idx="20">
                  <c:v>101.58640667348192</c:v>
                </c:pt>
                <c:pt idx="21">
                  <c:v>100.72675994852406</c:v>
                </c:pt>
                <c:pt idx="22">
                  <c:v>99.366534070092712</c:v>
                </c:pt>
                <c:pt idx="23">
                  <c:v>98.579174626538887</c:v>
                </c:pt>
                <c:pt idx="24">
                  <c:v>99.085967914705151</c:v>
                </c:pt>
                <c:pt idx="25">
                  <c:v>100.57397416971916</c:v>
                </c:pt>
                <c:pt idx="26">
                  <c:v>102.61349229676357</c:v>
                </c:pt>
              </c:numCache>
            </c:numRef>
          </c:val>
          <c:smooth val="0"/>
          <c:extLst>
            <c:ext xmlns:c16="http://schemas.microsoft.com/office/drawing/2014/chart" uri="{C3380CC4-5D6E-409C-BE32-E72D297353CC}">
              <c16:uniqueId val="{00000022-748E-493D-8920-A1B0931BAD31}"/>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40"/>
          <c:min val="5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graf'!$BF$7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3820455021926367"/>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3BC-49C0-9CF0-E0D147757A1E}"/>
                </c:ext>
              </c:extLst>
            </c:dLbl>
            <c:dLbl>
              <c:idx val="12"/>
              <c:layout>
                <c:manualLayout>
                  <c:x val="0.13815187842518259"/>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3BC-49C0-9CF0-E0D147757A1E}"/>
                </c:ext>
              </c:extLst>
            </c:dLbl>
            <c:dLbl>
              <c:idx val="24"/>
              <c:layout>
                <c:manualLayout>
                  <c:x val="-8.5879281099315793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BC-49C0-9CF0-E0D147757A1E}"/>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graf'!$BF$44:$BF$70</c:f>
              <c:numCache>
                <c:formatCode>General</c:formatCode>
                <c:ptCount val="27"/>
                <c:pt idx="0">
                  <c:v>60</c:v>
                </c:pt>
                <c:pt idx="12">
                  <c:v>60</c:v>
                </c:pt>
                <c:pt idx="24">
                  <c:v>60</c:v>
                </c:pt>
              </c:numCache>
            </c:numRef>
          </c:val>
          <c:smooth val="0"/>
          <c:extLst>
            <c:ext xmlns:c16="http://schemas.microsoft.com/office/drawing/2014/chart" uri="{C3380CC4-5D6E-409C-BE32-E72D297353CC}">
              <c16:uniqueId val="{00000003-E3BC-49C0-9CF0-E0D147757A1E}"/>
            </c:ext>
          </c:extLst>
        </c:ser>
        <c:ser>
          <c:idx val="4"/>
          <c:order val="1"/>
          <c:tx>
            <c:strRef>
              <c:f>'Prerađivačka_6 graf'!$BG$7</c:f>
              <c:strCache>
                <c:ptCount val="1"/>
                <c:pt idx="0">
                  <c:v>Series5</c:v>
                </c:pt>
              </c:strCache>
            </c:strRef>
          </c:tx>
          <c:spPr>
            <a:ln w="25400" cap="rnd">
              <a:noFill/>
              <a:round/>
            </a:ln>
            <a:effectLst/>
          </c:spPr>
          <c:marker>
            <c:symbol val="none"/>
          </c:marker>
          <c:dLbls>
            <c:dLbl>
              <c:idx val="0"/>
              <c:tx>
                <c:rich>
                  <a:bodyPr/>
                  <a:lstStyle/>
                  <a:p>
                    <a:fld id="{7146E396-E504-4466-9A59-0BF12B3D34D5}"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E3BC-49C0-9CF0-E0D147757A1E}"/>
                </c:ext>
              </c:extLst>
            </c:dLbl>
            <c:dLbl>
              <c:idx val="1"/>
              <c:tx>
                <c:rich>
                  <a:bodyPr/>
                  <a:lstStyle/>
                  <a:p>
                    <a:fld id="{7330800A-1D2B-4869-8E49-69718DAEACD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E3BC-49C0-9CF0-E0D147757A1E}"/>
                </c:ext>
              </c:extLst>
            </c:dLbl>
            <c:dLbl>
              <c:idx val="2"/>
              <c:tx>
                <c:rich>
                  <a:bodyPr/>
                  <a:lstStyle/>
                  <a:p>
                    <a:fld id="{1837256F-4811-4C75-8F7C-13FC4611BEC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3BC-49C0-9CF0-E0D147757A1E}"/>
                </c:ext>
              </c:extLst>
            </c:dLbl>
            <c:dLbl>
              <c:idx val="3"/>
              <c:tx>
                <c:rich>
                  <a:bodyPr/>
                  <a:lstStyle/>
                  <a:p>
                    <a:fld id="{82B1C1F8-FC3C-41DC-9D15-1790715724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3BC-49C0-9CF0-E0D147757A1E}"/>
                </c:ext>
              </c:extLst>
            </c:dLbl>
            <c:dLbl>
              <c:idx val="4"/>
              <c:tx>
                <c:rich>
                  <a:bodyPr/>
                  <a:lstStyle/>
                  <a:p>
                    <a:fld id="{261BEAB0-16D1-4CC5-BF97-6CF33D80360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3BC-49C0-9CF0-E0D147757A1E}"/>
                </c:ext>
              </c:extLst>
            </c:dLbl>
            <c:dLbl>
              <c:idx val="5"/>
              <c:tx>
                <c:rich>
                  <a:bodyPr/>
                  <a:lstStyle/>
                  <a:p>
                    <a:fld id="{22994CE7-D496-47C1-B834-12F03A39609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3BC-49C0-9CF0-E0D147757A1E}"/>
                </c:ext>
              </c:extLst>
            </c:dLbl>
            <c:dLbl>
              <c:idx val="6"/>
              <c:tx>
                <c:rich>
                  <a:bodyPr/>
                  <a:lstStyle/>
                  <a:p>
                    <a:fld id="{ECFCD3EA-47A9-42A8-833A-0FEFDF1EECD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3BC-49C0-9CF0-E0D147757A1E}"/>
                </c:ext>
              </c:extLst>
            </c:dLbl>
            <c:dLbl>
              <c:idx val="7"/>
              <c:tx>
                <c:rich>
                  <a:bodyPr/>
                  <a:lstStyle/>
                  <a:p>
                    <a:fld id="{0E347740-87E9-4DB5-B629-83C14D4C38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3BC-49C0-9CF0-E0D147757A1E}"/>
                </c:ext>
              </c:extLst>
            </c:dLbl>
            <c:dLbl>
              <c:idx val="8"/>
              <c:tx>
                <c:rich>
                  <a:bodyPr/>
                  <a:lstStyle/>
                  <a:p>
                    <a:fld id="{8B474B17-833B-4CFC-9DCF-BC2A0B3846E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3BC-49C0-9CF0-E0D147757A1E}"/>
                </c:ext>
              </c:extLst>
            </c:dLbl>
            <c:dLbl>
              <c:idx val="9"/>
              <c:tx>
                <c:rich>
                  <a:bodyPr/>
                  <a:lstStyle/>
                  <a:p>
                    <a:fld id="{11E3E725-2950-49AB-98D2-F1D851FF93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E3BC-49C0-9CF0-E0D147757A1E}"/>
                </c:ext>
              </c:extLst>
            </c:dLbl>
            <c:dLbl>
              <c:idx val="10"/>
              <c:tx>
                <c:rich>
                  <a:bodyPr/>
                  <a:lstStyle/>
                  <a:p>
                    <a:fld id="{E565A7CF-5336-4AC8-804E-93BDA95F93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E3BC-49C0-9CF0-E0D147757A1E}"/>
                </c:ext>
              </c:extLst>
            </c:dLbl>
            <c:dLbl>
              <c:idx val="11"/>
              <c:tx>
                <c:rich>
                  <a:bodyPr/>
                  <a:lstStyle/>
                  <a:p>
                    <a:fld id="{165145D2-4A88-4DA6-ABD2-344F14DBBD7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E3BC-49C0-9CF0-E0D147757A1E}"/>
                </c:ext>
              </c:extLst>
            </c:dLbl>
            <c:dLbl>
              <c:idx val="12"/>
              <c:tx>
                <c:rich>
                  <a:bodyPr/>
                  <a:lstStyle/>
                  <a:p>
                    <a:fld id="{500E70BB-4123-4E27-B79F-9BDD62F2A7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E3BC-49C0-9CF0-E0D147757A1E}"/>
                </c:ext>
              </c:extLst>
            </c:dLbl>
            <c:dLbl>
              <c:idx val="13"/>
              <c:tx>
                <c:rich>
                  <a:bodyPr/>
                  <a:lstStyle/>
                  <a:p>
                    <a:fld id="{80CB8E7C-DD5B-448E-A636-6F5B954A75E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E3BC-49C0-9CF0-E0D147757A1E}"/>
                </c:ext>
              </c:extLst>
            </c:dLbl>
            <c:dLbl>
              <c:idx val="14"/>
              <c:tx>
                <c:rich>
                  <a:bodyPr/>
                  <a:lstStyle/>
                  <a:p>
                    <a:fld id="{9ED10257-2853-4039-BE60-ABD1FC40664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E3BC-49C0-9CF0-E0D147757A1E}"/>
                </c:ext>
              </c:extLst>
            </c:dLbl>
            <c:dLbl>
              <c:idx val="15"/>
              <c:tx>
                <c:rich>
                  <a:bodyPr/>
                  <a:lstStyle/>
                  <a:p>
                    <a:fld id="{E3F339DE-B0CD-4BD3-AF64-EF708683BE6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E3BC-49C0-9CF0-E0D147757A1E}"/>
                </c:ext>
              </c:extLst>
            </c:dLbl>
            <c:dLbl>
              <c:idx val="16"/>
              <c:tx>
                <c:rich>
                  <a:bodyPr/>
                  <a:lstStyle/>
                  <a:p>
                    <a:fld id="{6BF09539-805E-4EA0-BB16-C4ED5D2538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E3BC-49C0-9CF0-E0D147757A1E}"/>
                </c:ext>
              </c:extLst>
            </c:dLbl>
            <c:dLbl>
              <c:idx val="17"/>
              <c:tx>
                <c:rich>
                  <a:bodyPr/>
                  <a:lstStyle/>
                  <a:p>
                    <a:fld id="{6F47986A-27C1-40BB-9828-9EAFB2C11A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E3BC-49C0-9CF0-E0D147757A1E}"/>
                </c:ext>
              </c:extLst>
            </c:dLbl>
            <c:dLbl>
              <c:idx val="18"/>
              <c:tx>
                <c:rich>
                  <a:bodyPr/>
                  <a:lstStyle/>
                  <a:p>
                    <a:fld id="{CB225429-2152-4834-9F67-750CF0B3172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E3BC-49C0-9CF0-E0D147757A1E}"/>
                </c:ext>
              </c:extLst>
            </c:dLbl>
            <c:dLbl>
              <c:idx val="19"/>
              <c:tx>
                <c:rich>
                  <a:bodyPr/>
                  <a:lstStyle/>
                  <a:p>
                    <a:fld id="{F536C392-FBCD-4857-A964-36574426932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E3BC-49C0-9CF0-E0D147757A1E}"/>
                </c:ext>
              </c:extLst>
            </c:dLbl>
            <c:dLbl>
              <c:idx val="20"/>
              <c:tx>
                <c:rich>
                  <a:bodyPr/>
                  <a:lstStyle/>
                  <a:p>
                    <a:fld id="{A22364E8-D76F-420F-BEE9-7D85796FDC7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E3BC-49C0-9CF0-E0D147757A1E}"/>
                </c:ext>
              </c:extLst>
            </c:dLbl>
            <c:dLbl>
              <c:idx val="21"/>
              <c:tx>
                <c:rich>
                  <a:bodyPr/>
                  <a:lstStyle/>
                  <a:p>
                    <a:fld id="{1091E4A8-1C92-4022-A866-A160B9D49ED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E3BC-49C0-9CF0-E0D147757A1E}"/>
                </c:ext>
              </c:extLst>
            </c:dLbl>
            <c:dLbl>
              <c:idx val="22"/>
              <c:tx>
                <c:rich>
                  <a:bodyPr/>
                  <a:lstStyle/>
                  <a:p>
                    <a:fld id="{9C7A8FF2-F106-4237-B58B-C0F5F38341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E3BC-49C0-9CF0-E0D147757A1E}"/>
                </c:ext>
              </c:extLst>
            </c:dLbl>
            <c:dLbl>
              <c:idx val="23"/>
              <c:tx>
                <c:rich>
                  <a:bodyPr/>
                  <a:lstStyle/>
                  <a:p>
                    <a:fld id="{37A1BCB4-DCF5-4D3B-9B88-DDA040E49D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E3BC-49C0-9CF0-E0D147757A1E}"/>
                </c:ext>
              </c:extLst>
            </c:dLbl>
            <c:dLbl>
              <c:idx val="24"/>
              <c:tx>
                <c:rich>
                  <a:bodyPr/>
                  <a:lstStyle/>
                  <a:p>
                    <a:fld id="{CD2875AD-5679-4D7C-9986-49694623C30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E3BC-49C0-9CF0-E0D147757A1E}"/>
                </c:ext>
              </c:extLst>
            </c:dLbl>
            <c:dLbl>
              <c:idx val="25"/>
              <c:tx>
                <c:rich>
                  <a:bodyPr/>
                  <a:lstStyle/>
                  <a:p>
                    <a:fld id="{8DAE6370-A1B6-464D-97B8-E26F5F28748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E3BC-49C0-9CF0-E0D147757A1E}"/>
                </c:ext>
              </c:extLst>
            </c:dLbl>
            <c:dLbl>
              <c:idx val="26"/>
              <c:tx>
                <c:rich>
                  <a:bodyPr/>
                  <a:lstStyle/>
                  <a:p>
                    <a:fld id="{C7B826C4-CB12-4A07-A7EF-E9029C2E7D3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E3BC-49C0-9CF0-E0D147757A1E}"/>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graf'!$BG$44:$BG$70</c:f>
              <c:numCache>
                <c:formatCode>General</c:formatCode>
                <c:ptCount val="27"/>
                <c:pt idx="0">
                  <c:v>60</c:v>
                </c:pt>
                <c:pt idx="1">
                  <c:v>60</c:v>
                </c:pt>
                <c:pt idx="2">
                  <c:v>60</c:v>
                </c:pt>
                <c:pt idx="3">
                  <c:v>60</c:v>
                </c:pt>
                <c:pt idx="4">
                  <c:v>60</c:v>
                </c:pt>
                <c:pt idx="5">
                  <c:v>60</c:v>
                </c:pt>
                <c:pt idx="6">
                  <c:v>60</c:v>
                </c:pt>
                <c:pt idx="7">
                  <c:v>60</c:v>
                </c:pt>
                <c:pt idx="8">
                  <c:v>60</c:v>
                </c:pt>
                <c:pt idx="9">
                  <c:v>60</c:v>
                </c:pt>
                <c:pt idx="10">
                  <c:v>60</c:v>
                </c:pt>
                <c:pt idx="11">
                  <c:v>60</c:v>
                </c:pt>
                <c:pt idx="12">
                  <c:v>60</c:v>
                </c:pt>
                <c:pt idx="13">
                  <c:v>60</c:v>
                </c:pt>
                <c:pt idx="14">
                  <c:v>60</c:v>
                </c:pt>
                <c:pt idx="15">
                  <c:v>60</c:v>
                </c:pt>
                <c:pt idx="16">
                  <c:v>60</c:v>
                </c:pt>
                <c:pt idx="17">
                  <c:v>60</c:v>
                </c:pt>
                <c:pt idx="18">
                  <c:v>60</c:v>
                </c:pt>
                <c:pt idx="19">
                  <c:v>60</c:v>
                </c:pt>
                <c:pt idx="20">
                  <c:v>60</c:v>
                </c:pt>
                <c:pt idx="21">
                  <c:v>60</c:v>
                </c:pt>
                <c:pt idx="22">
                  <c:v>60</c:v>
                </c:pt>
                <c:pt idx="23">
                  <c:v>60</c:v>
                </c:pt>
                <c:pt idx="24">
                  <c:v>60</c:v>
                </c:pt>
                <c:pt idx="25">
                  <c:v>60</c:v>
                </c:pt>
                <c:pt idx="26">
                  <c:v>60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E3BC-49C0-9CF0-E0D147757A1E}"/>
            </c:ext>
          </c:extLst>
        </c:ser>
        <c:ser>
          <c:idx val="0"/>
          <c:order val="2"/>
          <c:tx>
            <c:strRef>
              <c:f>'Prerađivačka_6 graf'!$BH$7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graf'!$BH$44:$BH$70</c:f>
              <c:numCache>
                <c:formatCode>0.0</c:formatCode>
                <c:ptCount val="27"/>
                <c:pt idx="0">
                  <c:v>91.292092574651903</c:v>
                </c:pt>
                <c:pt idx="1">
                  <c:v>102.43282251596536</c:v>
                </c:pt>
                <c:pt idx="2">
                  <c:v>116.25558003574317</c:v>
                </c:pt>
                <c:pt idx="3">
                  <c:v>102.43282251596536</c:v>
                </c:pt>
                <c:pt idx="4">
                  <c:v>101.60758326105324</c:v>
                </c:pt>
                <c:pt idx="5">
                  <c:v>103.15490686401345</c:v>
                </c:pt>
                <c:pt idx="6">
                  <c:v>93.045725991340134</c:v>
                </c:pt>
                <c:pt idx="7">
                  <c:v>98.51293605513284</c:v>
                </c:pt>
                <c:pt idx="8">
                  <c:v>102.6391323296934</c:v>
                </c:pt>
                <c:pt idx="9">
                  <c:v>111.2009895994065</c:v>
                </c:pt>
                <c:pt idx="10">
                  <c:v>111.92307394745458</c:v>
                </c:pt>
                <c:pt idx="11">
                  <c:v>143.79794016843474</c:v>
                </c:pt>
                <c:pt idx="12">
                  <c:v>91.988130563798222</c:v>
                </c:pt>
                <c:pt idx="13">
                  <c:v>110.13727560718056</c:v>
                </c:pt>
                <c:pt idx="14">
                  <c:v>99.266503667481658</c:v>
                </c:pt>
                <c:pt idx="15">
                  <c:v>71.158455392809572</c:v>
                </c:pt>
                <c:pt idx="16">
                  <c:v>83.621837549933403</c:v>
                </c:pt>
                <c:pt idx="17">
                  <c:v>108.65512649800264</c:v>
                </c:pt>
                <c:pt idx="18">
                  <c:v>90.652463382157094</c:v>
                </c:pt>
                <c:pt idx="19">
                  <c:v>99.920106524633809</c:v>
                </c:pt>
                <c:pt idx="20">
                  <c:v>111.63781624500663</c:v>
                </c:pt>
                <c:pt idx="21">
                  <c:v>111.63781624500663</c:v>
                </c:pt>
                <c:pt idx="22">
                  <c:v>106.52463382157123</c:v>
                </c:pt>
                <c:pt idx="23">
                  <c:v>112.80958721704395</c:v>
                </c:pt>
                <c:pt idx="24">
                  <c:v>93</c:v>
                </c:pt>
                <c:pt idx="25">
                  <c:v>104.3</c:v>
                </c:pt>
                <c:pt idx="26">
                  <c:v>121.8</c:v>
                </c:pt>
              </c:numCache>
            </c:numRef>
          </c:val>
          <c:smooth val="0"/>
          <c:extLst>
            <c:ext xmlns:c16="http://schemas.microsoft.com/office/drawing/2014/chart" uri="{C3380CC4-5D6E-409C-BE32-E72D297353CC}">
              <c16:uniqueId val="{00000020-E3BC-49C0-9CF0-E0D147757A1E}"/>
            </c:ext>
          </c:extLst>
        </c:ser>
        <c:ser>
          <c:idx val="1"/>
          <c:order val="3"/>
          <c:tx>
            <c:strRef>
              <c:f>'Prerađivačka_6 graf'!$BI$7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graf'!$BI$44:$BI$70</c:f>
              <c:numCache>
                <c:formatCode>0.0</c:formatCode>
                <c:ptCount val="27"/>
                <c:pt idx="0">
                  <c:v>108.60664425875984</c:v>
                </c:pt>
                <c:pt idx="1">
                  <c:v>102.67586398186761</c:v>
                </c:pt>
                <c:pt idx="2">
                  <c:v>110.86022003508141</c:v>
                </c:pt>
                <c:pt idx="3">
                  <c:v>102.58511169211739</c:v>
                </c:pt>
                <c:pt idx="4">
                  <c:v>104.87818628673882</c:v>
                </c:pt>
                <c:pt idx="5">
                  <c:v>99.103132061665164</c:v>
                </c:pt>
                <c:pt idx="6">
                  <c:v>99.796642426660284</c:v>
                </c:pt>
                <c:pt idx="7">
                  <c:v>100.20547377618625</c:v>
                </c:pt>
                <c:pt idx="8">
                  <c:v>97.024943599624237</c:v>
                </c:pt>
                <c:pt idx="9">
                  <c:v>105.16734535317187</c:v>
                </c:pt>
                <c:pt idx="10">
                  <c:v>110.72127369465285</c:v>
                </c:pt>
                <c:pt idx="11">
                  <c:v>135.68829138663313</c:v>
                </c:pt>
                <c:pt idx="12">
                  <c:v>107.66896720147827</c:v>
                </c:pt>
                <c:pt idx="13">
                  <c:v>110.72216996510447</c:v>
                </c:pt>
                <c:pt idx="14">
                  <c:v>92.221658478716108</c:v>
                </c:pt>
                <c:pt idx="15">
                  <c:v>72.402742669081121</c:v>
                </c:pt>
                <c:pt idx="16">
                  <c:v>89.438432685357711</c:v>
                </c:pt>
                <c:pt idx="17">
                  <c:v>99.196043969454365</c:v>
                </c:pt>
                <c:pt idx="18">
                  <c:v>97.525387135767716</c:v>
                </c:pt>
                <c:pt idx="19">
                  <c:v>104.16459111884024</c:v>
                </c:pt>
                <c:pt idx="20">
                  <c:v>103.31983950730405</c:v>
                </c:pt>
                <c:pt idx="21">
                  <c:v>108.1470098058672</c:v>
                </c:pt>
                <c:pt idx="22">
                  <c:v>104.72276888030133</c:v>
                </c:pt>
                <c:pt idx="23">
                  <c:v>102.34292016320896</c:v>
                </c:pt>
                <c:pt idx="24">
                  <c:v>111.39134120047709</c:v>
                </c:pt>
                <c:pt idx="25">
                  <c:v>107.4197841116949</c:v>
                </c:pt>
                <c:pt idx="26">
                  <c:v>110.10357294151549</c:v>
                </c:pt>
              </c:numCache>
            </c:numRef>
          </c:val>
          <c:smooth val="0"/>
          <c:extLst>
            <c:ext xmlns:c16="http://schemas.microsoft.com/office/drawing/2014/chart" uri="{C3380CC4-5D6E-409C-BE32-E72D297353CC}">
              <c16:uniqueId val="{00000021-E3BC-49C0-9CF0-E0D147757A1E}"/>
            </c:ext>
          </c:extLst>
        </c:ser>
        <c:ser>
          <c:idx val="2"/>
          <c:order val="4"/>
          <c:tx>
            <c:strRef>
              <c:f>'Prerađivačka_6 graf'!$BJ$7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graf'!$BJ$44:$BJ$70</c:f>
              <c:numCache>
                <c:formatCode>0.0</c:formatCode>
                <c:ptCount val="27"/>
                <c:pt idx="0">
                  <c:v>104.87251693179597</c:v>
                </c:pt>
                <c:pt idx="1">
                  <c:v>105.34538944855137</c:v>
                </c:pt>
                <c:pt idx="2">
                  <c:v>105.49108663544295</c:v>
                </c:pt>
                <c:pt idx="3">
                  <c:v>104.65373513649742</c:v>
                </c:pt>
                <c:pt idx="4">
                  <c:v>102.85611734036827</c:v>
                </c:pt>
                <c:pt idx="5">
                  <c:v>101.00071016645018</c:v>
                </c:pt>
                <c:pt idx="6">
                  <c:v>99.958948431458893</c:v>
                </c:pt>
                <c:pt idx="7">
                  <c:v>100.28075178176091</c:v>
                </c:pt>
                <c:pt idx="8">
                  <c:v>102.11478412068254</c:v>
                </c:pt>
                <c:pt idx="9">
                  <c:v>104.81972301432731</c:v>
                </c:pt>
                <c:pt idx="10">
                  <c:v>107.10294576131204</c:v>
                </c:pt>
                <c:pt idx="11">
                  <c:v>107.74425891307413</c:v>
                </c:pt>
                <c:pt idx="12">
                  <c:v>106.16524728578726</c:v>
                </c:pt>
                <c:pt idx="13">
                  <c:v>102.79966823521463</c:v>
                </c:pt>
                <c:pt idx="14">
                  <c:v>98.870111413294595</c:v>
                </c:pt>
                <c:pt idx="15">
                  <c:v>95.827399440026383</c:v>
                </c:pt>
                <c:pt idx="16">
                  <c:v>94.852986196596561</c:v>
                </c:pt>
                <c:pt idx="17">
                  <c:v>96.068001887957152</c:v>
                </c:pt>
                <c:pt idx="18">
                  <c:v>98.58782551797718</c:v>
                </c:pt>
                <c:pt idx="19">
                  <c:v>101.45528419736938</c:v>
                </c:pt>
                <c:pt idx="20">
                  <c:v>103.74715978653899</c:v>
                </c:pt>
                <c:pt idx="21">
                  <c:v>105.03631372018783</c:v>
                </c:pt>
                <c:pt idx="22">
                  <c:v>105.76709262639967</c:v>
                </c:pt>
                <c:pt idx="23">
                  <c:v>106.50998703267358</c:v>
                </c:pt>
                <c:pt idx="24">
                  <c:v>107.65422888855494</c:v>
                </c:pt>
                <c:pt idx="25">
                  <c:v>109.40918737923883</c:v>
                </c:pt>
                <c:pt idx="26">
                  <c:v>111.73907878396047</c:v>
                </c:pt>
              </c:numCache>
            </c:numRef>
          </c:val>
          <c:smooth val="0"/>
          <c:extLst>
            <c:ext xmlns:c16="http://schemas.microsoft.com/office/drawing/2014/chart" uri="{C3380CC4-5D6E-409C-BE32-E72D297353CC}">
              <c16:uniqueId val="{00000022-E3BC-49C0-9CF0-E0D147757A1E}"/>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45"/>
          <c:min val="6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graf'!$BK$7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426054666410700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AE-4B5D-8B72-FE881B996963}"/>
                </c:ext>
              </c:extLst>
            </c:dLbl>
            <c:dLbl>
              <c:idx val="12"/>
              <c:layout>
                <c:manualLayout>
                  <c:x val="0.14255279482873692"/>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AE-4B5D-8B72-FE881B996963}"/>
                </c:ext>
              </c:extLst>
            </c:dLbl>
            <c:dLbl>
              <c:idx val="24"/>
              <c:layout>
                <c:manualLayout>
                  <c:x val="-8.5879310858640642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AE-4B5D-8B72-FE881B99696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graf'!$BK$44:$BK$70</c:f>
              <c:numCache>
                <c:formatCode>General</c:formatCode>
                <c:ptCount val="27"/>
                <c:pt idx="0">
                  <c:v>30</c:v>
                </c:pt>
                <c:pt idx="12">
                  <c:v>30</c:v>
                </c:pt>
                <c:pt idx="24">
                  <c:v>30</c:v>
                </c:pt>
              </c:numCache>
            </c:numRef>
          </c:val>
          <c:smooth val="0"/>
          <c:extLst>
            <c:ext xmlns:c16="http://schemas.microsoft.com/office/drawing/2014/chart" uri="{C3380CC4-5D6E-409C-BE32-E72D297353CC}">
              <c16:uniqueId val="{00000003-B5AE-4B5D-8B72-FE881B996963}"/>
            </c:ext>
          </c:extLst>
        </c:ser>
        <c:ser>
          <c:idx val="4"/>
          <c:order val="1"/>
          <c:tx>
            <c:strRef>
              <c:f>'Prerađivačka_6 graf'!$BL$7</c:f>
              <c:strCache>
                <c:ptCount val="1"/>
                <c:pt idx="0">
                  <c:v>Series5</c:v>
                </c:pt>
              </c:strCache>
            </c:strRef>
          </c:tx>
          <c:spPr>
            <a:ln w="25400" cap="rnd">
              <a:noFill/>
              <a:round/>
            </a:ln>
            <a:effectLst/>
          </c:spPr>
          <c:marker>
            <c:symbol val="none"/>
          </c:marker>
          <c:dLbls>
            <c:dLbl>
              <c:idx val="0"/>
              <c:tx>
                <c:rich>
                  <a:bodyPr/>
                  <a:lstStyle/>
                  <a:p>
                    <a:fld id="{5DA874AE-9F1B-40B1-96AB-A996F7F3C944}" type="CELLRANGE">
                      <a:rPr lang="en-U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B5AE-4B5D-8B72-FE881B996963}"/>
                </c:ext>
              </c:extLst>
            </c:dLbl>
            <c:dLbl>
              <c:idx val="1"/>
              <c:tx>
                <c:rich>
                  <a:bodyPr/>
                  <a:lstStyle/>
                  <a:p>
                    <a:fld id="{1C440A56-3F7F-4585-9999-205AAD688AA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B5AE-4B5D-8B72-FE881B996963}"/>
                </c:ext>
              </c:extLst>
            </c:dLbl>
            <c:dLbl>
              <c:idx val="2"/>
              <c:tx>
                <c:rich>
                  <a:bodyPr/>
                  <a:lstStyle/>
                  <a:p>
                    <a:fld id="{D51D2253-2D8A-42C0-905B-DB63309753C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B5AE-4B5D-8B72-FE881B996963}"/>
                </c:ext>
              </c:extLst>
            </c:dLbl>
            <c:dLbl>
              <c:idx val="3"/>
              <c:tx>
                <c:rich>
                  <a:bodyPr/>
                  <a:lstStyle/>
                  <a:p>
                    <a:fld id="{C92D8545-C50A-4A18-AED9-C56D1E0ADEC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B5AE-4B5D-8B72-FE881B996963}"/>
                </c:ext>
              </c:extLst>
            </c:dLbl>
            <c:dLbl>
              <c:idx val="4"/>
              <c:tx>
                <c:rich>
                  <a:bodyPr/>
                  <a:lstStyle/>
                  <a:p>
                    <a:fld id="{222CB4B7-AA64-41D0-AF18-3C71028B73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B5AE-4B5D-8B72-FE881B996963}"/>
                </c:ext>
              </c:extLst>
            </c:dLbl>
            <c:dLbl>
              <c:idx val="5"/>
              <c:tx>
                <c:rich>
                  <a:bodyPr/>
                  <a:lstStyle/>
                  <a:p>
                    <a:fld id="{96C05134-C92D-4184-B819-492395486F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B5AE-4B5D-8B72-FE881B996963}"/>
                </c:ext>
              </c:extLst>
            </c:dLbl>
            <c:dLbl>
              <c:idx val="6"/>
              <c:tx>
                <c:rich>
                  <a:bodyPr/>
                  <a:lstStyle/>
                  <a:p>
                    <a:fld id="{1EF3DC65-FB5F-47A4-A308-03ED583C83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B5AE-4B5D-8B72-FE881B996963}"/>
                </c:ext>
              </c:extLst>
            </c:dLbl>
            <c:dLbl>
              <c:idx val="7"/>
              <c:tx>
                <c:rich>
                  <a:bodyPr/>
                  <a:lstStyle/>
                  <a:p>
                    <a:fld id="{E09D5A3B-8107-42B8-A47D-EA79A056AD8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B5AE-4B5D-8B72-FE881B996963}"/>
                </c:ext>
              </c:extLst>
            </c:dLbl>
            <c:dLbl>
              <c:idx val="8"/>
              <c:tx>
                <c:rich>
                  <a:bodyPr/>
                  <a:lstStyle/>
                  <a:p>
                    <a:fld id="{5A8B22FD-68B4-4821-BF5F-B0AD7EFCDAB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B5AE-4B5D-8B72-FE881B996963}"/>
                </c:ext>
              </c:extLst>
            </c:dLbl>
            <c:dLbl>
              <c:idx val="9"/>
              <c:tx>
                <c:rich>
                  <a:bodyPr/>
                  <a:lstStyle/>
                  <a:p>
                    <a:fld id="{2CCF4D14-55BA-4965-A813-8C89DB49A1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B5AE-4B5D-8B72-FE881B996963}"/>
                </c:ext>
              </c:extLst>
            </c:dLbl>
            <c:dLbl>
              <c:idx val="10"/>
              <c:tx>
                <c:rich>
                  <a:bodyPr/>
                  <a:lstStyle/>
                  <a:p>
                    <a:fld id="{0633B791-80B2-4B50-AC7E-726C9A3B4FB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B5AE-4B5D-8B72-FE881B996963}"/>
                </c:ext>
              </c:extLst>
            </c:dLbl>
            <c:dLbl>
              <c:idx val="11"/>
              <c:tx>
                <c:rich>
                  <a:bodyPr/>
                  <a:lstStyle/>
                  <a:p>
                    <a:fld id="{55019E6C-4A67-4000-B7C0-14804ECC600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B5AE-4B5D-8B72-FE881B996963}"/>
                </c:ext>
              </c:extLst>
            </c:dLbl>
            <c:dLbl>
              <c:idx val="12"/>
              <c:tx>
                <c:rich>
                  <a:bodyPr/>
                  <a:lstStyle/>
                  <a:p>
                    <a:fld id="{4F840A7D-D5A8-478A-883F-0F0A1492902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B5AE-4B5D-8B72-FE881B996963}"/>
                </c:ext>
              </c:extLst>
            </c:dLbl>
            <c:dLbl>
              <c:idx val="13"/>
              <c:tx>
                <c:rich>
                  <a:bodyPr/>
                  <a:lstStyle/>
                  <a:p>
                    <a:fld id="{D9D56D61-C27F-45D0-8FCF-BAFCC748031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B5AE-4B5D-8B72-FE881B996963}"/>
                </c:ext>
              </c:extLst>
            </c:dLbl>
            <c:dLbl>
              <c:idx val="14"/>
              <c:tx>
                <c:rich>
                  <a:bodyPr/>
                  <a:lstStyle/>
                  <a:p>
                    <a:fld id="{438D1DDB-E6AD-47A8-8935-A8CCDF25A11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B5AE-4B5D-8B72-FE881B996963}"/>
                </c:ext>
              </c:extLst>
            </c:dLbl>
            <c:dLbl>
              <c:idx val="15"/>
              <c:tx>
                <c:rich>
                  <a:bodyPr/>
                  <a:lstStyle/>
                  <a:p>
                    <a:fld id="{3EF2CF37-9845-478C-A13F-6FACAF332DC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B5AE-4B5D-8B72-FE881B996963}"/>
                </c:ext>
              </c:extLst>
            </c:dLbl>
            <c:dLbl>
              <c:idx val="16"/>
              <c:tx>
                <c:rich>
                  <a:bodyPr/>
                  <a:lstStyle/>
                  <a:p>
                    <a:fld id="{5E333A01-E7A6-4A13-842B-264E8D2789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B5AE-4B5D-8B72-FE881B996963}"/>
                </c:ext>
              </c:extLst>
            </c:dLbl>
            <c:dLbl>
              <c:idx val="17"/>
              <c:tx>
                <c:rich>
                  <a:bodyPr/>
                  <a:lstStyle/>
                  <a:p>
                    <a:fld id="{48F2D4AB-847F-4A35-A3CB-48F8ED4A7AC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B5AE-4B5D-8B72-FE881B996963}"/>
                </c:ext>
              </c:extLst>
            </c:dLbl>
            <c:dLbl>
              <c:idx val="18"/>
              <c:tx>
                <c:rich>
                  <a:bodyPr/>
                  <a:lstStyle/>
                  <a:p>
                    <a:fld id="{0CC25243-702A-41AD-AEDE-BA6C82F1271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B5AE-4B5D-8B72-FE881B996963}"/>
                </c:ext>
              </c:extLst>
            </c:dLbl>
            <c:dLbl>
              <c:idx val="19"/>
              <c:tx>
                <c:rich>
                  <a:bodyPr/>
                  <a:lstStyle/>
                  <a:p>
                    <a:fld id="{75250307-22FD-4793-88C0-E1CB9A5D7DF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B5AE-4B5D-8B72-FE881B996963}"/>
                </c:ext>
              </c:extLst>
            </c:dLbl>
            <c:dLbl>
              <c:idx val="20"/>
              <c:tx>
                <c:rich>
                  <a:bodyPr/>
                  <a:lstStyle/>
                  <a:p>
                    <a:fld id="{D6147B07-16DE-489A-9295-8AEB0A30AFF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B5AE-4B5D-8B72-FE881B996963}"/>
                </c:ext>
              </c:extLst>
            </c:dLbl>
            <c:dLbl>
              <c:idx val="21"/>
              <c:tx>
                <c:rich>
                  <a:bodyPr/>
                  <a:lstStyle/>
                  <a:p>
                    <a:fld id="{A4EAFB2D-E8B3-49FE-A523-8EBAED915B7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B5AE-4B5D-8B72-FE881B996963}"/>
                </c:ext>
              </c:extLst>
            </c:dLbl>
            <c:dLbl>
              <c:idx val="22"/>
              <c:tx>
                <c:rich>
                  <a:bodyPr/>
                  <a:lstStyle/>
                  <a:p>
                    <a:fld id="{9EFF0DA3-D099-447D-B8C9-4FA0808D4B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B5AE-4B5D-8B72-FE881B996963}"/>
                </c:ext>
              </c:extLst>
            </c:dLbl>
            <c:dLbl>
              <c:idx val="23"/>
              <c:tx>
                <c:rich>
                  <a:bodyPr/>
                  <a:lstStyle/>
                  <a:p>
                    <a:fld id="{DB538FAF-7B61-44C7-B297-1F94F9F90AC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B5AE-4B5D-8B72-FE881B996963}"/>
                </c:ext>
              </c:extLst>
            </c:dLbl>
            <c:dLbl>
              <c:idx val="24"/>
              <c:tx>
                <c:rich>
                  <a:bodyPr/>
                  <a:lstStyle/>
                  <a:p>
                    <a:fld id="{840B41C8-C9DE-4172-BC94-E05E786383E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B5AE-4B5D-8B72-FE881B996963}"/>
                </c:ext>
              </c:extLst>
            </c:dLbl>
            <c:dLbl>
              <c:idx val="25"/>
              <c:tx>
                <c:rich>
                  <a:bodyPr/>
                  <a:lstStyle/>
                  <a:p>
                    <a:fld id="{F7238A82-78A5-487D-9E12-20D0905B576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B5AE-4B5D-8B72-FE881B996963}"/>
                </c:ext>
              </c:extLst>
            </c:dLbl>
            <c:dLbl>
              <c:idx val="26"/>
              <c:tx>
                <c:rich>
                  <a:bodyPr/>
                  <a:lstStyle/>
                  <a:p>
                    <a:fld id="{54EAA8D1-D004-4A04-A9AB-BC8CE77BF12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B5AE-4B5D-8B72-FE881B99696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graf'!$BL$44:$BL$70</c:f>
              <c:numCache>
                <c:formatCode>General</c:formatCode>
                <c:ptCount val="27"/>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pt idx="26">
                  <c:v>30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B5AE-4B5D-8B72-FE881B996963}"/>
            </c:ext>
          </c:extLst>
        </c:ser>
        <c:ser>
          <c:idx val="0"/>
          <c:order val="2"/>
          <c:tx>
            <c:strRef>
              <c:f>'Prerađivačka_6 graf'!$BM$7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graf'!$BM$44:$BM$70</c:f>
              <c:numCache>
                <c:formatCode>0.0</c:formatCode>
                <c:ptCount val="27"/>
                <c:pt idx="0">
                  <c:v>38.714521898435052</c:v>
                </c:pt>
                <c:pt idx="1">
                  <c:v>69.154184154456502</c:v>
                </c:pt>
                <c:pt idx="2">
                  <c:v>106.09552184380293</c:v>
                </c:pt>
                <c:pt idx="3">
                  <c:v>108.4597674559211</c:v>
                </c:pt>
                <c:pt idx="4">
                  <c:v>114.17336101854004</c:v>
                </c:pt>
                <c:pt idx="5">
                  <c:v>110.82401306803928</c:v>
                </c:pt>
                <c:pt idx="6">
                  <c:v>117.12866803368773</c:v>
                </c:pt>
                <c:pt idx="7">
                  <c:v>120.675036451865</c:v>
                </c:pt>
                <c:pt idx="8">
                  <c:v>117.03015779984946</c:v>
                </c:pt>
                <c:pt idx="9">
                  <c:v>125.40352767610132</c:v>
                </c:pt>
                <c:pt idx="10">
                  <c:v>104.61786833622908</c:v>
                </c:pt>
                <c:pt idx="11">
                  <c:v>81.17243268272388</c:v>
                </c:pt>
                <c:pt idx="12">
                  <c:v>51.980198019801982</c:v>
                </c:pt>
                <c:pt idx="13">
                  <c:v>73.388581952117875</c:v>
                </c:pt>
                <c:pt idx="14">
                  <c:v>89.386792452830193</c:v>
                </c:pt>
                <c:pt idx="15">
                  <c:v>74.323754950703645</c:v>
                </c:pt>
                <c:pt idx="16">
                  <c:v>110.42386449818827</c:v>
                </c:pt>
                <c:pt idx="17">
                  <c:v>110.01938147804837</c:v>
                </c:pt>
                <c:pt idx="18">
                  <c:v>116.59223055532149</c:v>
                </c:pt>
                <c:pt idx="19">
                  <c:v>118.00792112581109</c:v>
                </c:pt>
                <c:pt idx="20">
                  <c:v>123.87292491783938</c:v>
                </c:pt>
                <c:pt idx="21">
                  <c:v>122.65947585741974</c:v>
                </c:pt>
                <c:pt idx="22">
                  <c:v>112.85076261902756</c:v>
                </c:pt>
                <c:pt idx="23">
                  <c:v>102.43532485042554</c:v>
                </c:pt>
                <c:pt idx="24">
                  <c:v>52.5</c:v>
                </c:pt>
                <c:pt idx="25">
                  <c:v>79.7</c:v>
                </c:pt>
                <c:pt idx="26">
                  <c:v>113.7</c:v>
                </c:pt>
              </c:numCache>
            </c:numRef>
          </c:val>
          <c:smooth val="0"/>
          <c:extLst>
            <c:ext xmlns:c16="http://schemas.microsoft.com/office/drawing/2014/chart" uri="{C3380CC4-5D6E-409C-BE32-E72D297353CC}">
              <c16:uniqueId val="{00000020-B5AE-4B5D-8B72-FE881B996963}"/>
            </c:ext>
          </c:extLst>
        </c:ser>
        <c:ser>
          <c:idx val="1"/>
          <c:order val="3"/>
          <c:tx>
            <c:strRef>
              <c:f>'Prerađivačka_6 graf'!$BN$7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graf'!$BN$44:$BN$70</c:f>
              <c:numCache>
                <c:formatCode>0.0</c:formatCode>
                <c:ptCount val="27"/>
                <c:pt idx="0">
                  <c:v>87.350585183192109</c:v>
                </c:pt>
                <c:pt idx="1">
                  <c:v>107.6856554884028</c:v>
                </c:pt>
                <c:pt idx="2">
                  <c:v>108.45786312876763</c:v>
                </c:pt>
                <c:pt idx="3">
                  <c:v>99.2193375543619</c:v>
                </c:pt>
                <c:pt idx="4">
                  <c:v>99.741768807156376</c:v>
                </c:pt>
                <c:pt idx="5">
                  <c:v>100.08341854637744</c:v>
                </c:pt>
                <c:pt idx="6">
                  <c:v>102.2754404982272</c:v>
                </c:pt>
                <c:pt idx="7">
                  <c:v>103.64134849750779</c:v>
                </c:pt>
                <c:pt idx="8">
                  <c:v>100.23680692801472</c:v>
                </c:pt>
                <c:pt idx="9">
                  <c:v>102.53051473071413</c:v>
                </c:pt>
                <c:pt idx="10">
                  <c:v>100.50815410660526</c:v>
                </c:pt>
                <c:pt idx="11">
                  <c:v>97.887485120420109</c:v>
                </c:pt>
                <c:pt idx="12">
                  <c:v>114.98675859486464</c:v>
                </c:pt>
                <c:pt idx="13">
                  <c:v>99.91943045760928</c:v>
                </c:pt>
                <c:pt idx="14">
                  <c:v>92.690855064009895</c:v>
                </c:pt>
                <c:pt idx="15">
                  <c:v>68.202166665615223</c:v>
                </c:pt>
                <c:pt idx="16">
                  <c:v>97.885740586847533</c:v>
                </c:pt>
                <c:pt idx="17">
                  <c:v>98.312020537132724</c:v>
                </c:pt>
                <c:pt idx="18">
                  <c:v>101.15440551484666</c:v>
                </c:pt>
                <c:pt idx="19">
                  <c:v>101.833805306241</c:v>
                </c:pt>
                <c:pt idx="20">
                  <c:v>104.38394862656619</c:v>
                </c:pt>
                <c:pt idx="21">
                  <c:v>102.50734405194143</c:v>
                </c:pt>
                <c:pt idx="22">
                  <c:v>108.57535640135873</c:v>
                </c:pt>
                <c:pt idx="23">
                  <c:v>121.2062842894989</c:v>
                </c:pt>
                <c:pt idx="24">
                  <c:v>115.86330129216059</c:v>
                </c:pt>
                <c:pt idx="25">
                  <c:v>119.59969568815447</c:v>
                </c:pt>
                <c:pt idx="26">
                  <c:v>117.97368182138169</c:v>
                </c:pt>
              </c:numCache>
            </c:numRef>
          </c:val>
          <c:smooth val="0"/>
          <c:extLst>
            <c:ext xmlns:c16="http://schemas.microsoft.com/office/drawing/2014/chart" uri="{C3380CC4-5D6E-409C-BE32-E72D297353CC}">
              <c16:uniqueId val="{00000021-B5AE-4B5D-8B72-FE881B996963}"/>
            </c:ext>
          </c:extLst>
        </c:ser>
        <c:ser>
          <c:idx val="2"/>
          <c:order val="4"/>
          <c:tx>
            <c:strRef>
              <c:f>'Prerađivačka_6 graf'!$BO$7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graf'!$BO$44:$BO$70</c:f>
              <c:numCache>
                <c:formatCode>0.0</c:formatCode>
                <c:ptCount val="27"/>
                <c:pt idx="0">
                  <c:v>98.474456640061675</c:v>
                </c:pt>
                <c:pt idx="1">
                  <c:v>98.180611082591469</c:v>
                </c:pt>
                <c:pt idx="2">
                  <c:v>98.442650970043005</c:v>
                </c:pt>
                <c:pt idx="3">
                  <c:v>99.163975334589082</c:v>
                </c:pt>
                <c:pt idx="4">
                  <c:v>100.06266088099753</c:v>
                </c:pt>
                <c:pt idx="5">
                  <c:v>100.94692368728671</c:v>
                </c:pt>
                <c:pt idx="6">
                  <c:v>101.63364095743232</c:v>
                </c:pt>
                <c:pt idx="7">
                  <c:v>101.92592914078668</c:v>
                </c:pt>
                <c:pt idx="8">
                  <c:v>101.77356744794965</c:v>
                </c:pt>
                <c:pt idx="9">
                  <c:v>101.21284491120613</c:v>
                </c:pt>
                <c:pt idx="10">
                  <c:v>100.37375139435284</c:v>
                </c:pt>
                <c:pt idx="11">
                  <c:v>99.471069829573551</c:v>
                </c:pt>
                <c:pt idx="12">
                  <c:v>98.657941461304404</c:v>
                </c:pt>
                <c:pt idx="13">
                  <c:v>98.06435450510692</c:v>
                </c:pt>
                <c:pt idx="14">
                  <c:v>97.728721202592794</c:v>
                </c:pt>
                <c:pt idx="15">
                  <c:v>97.804324764212666</c:v>
                </c:pt>
                <c:pt idx="16">
                  <c:v>98.288887893539382</c:v>
                </c:pt>
                <c:pt idx="17">
                  <c:v>99.015417179477552</c:v>
                </c:pt>
                <c:pt idx="18">
                  <c:v>100.03780104240438</c:v>
                </c:pt>
                <c:pt idx="19">
                  <c:v>101.45411219609255</c:v>
                </c:pt>
                <c:pt idx="20">
                  <c:v>103.40376618374441</c:v>
                </c:pt>
                <c:pt idx="21">
                  <c:v>105.92980734036925</c:v>
                </c:pt>
                <c:pt idx="22">
                  <c:v>108.96861965656416</c:v>
                </c:pt>
                <c:pt idx="23">
                  <c:v>112.15703348506332</c:v>
                </c:pt>
                <c:pt idx="24">
                  <c:v>115.14319502523649</c:v>
                </c:pt>
                <c:pt idx="25">
                  <c:v>117.57145973698242</c:v>
                </c:pt>
                <c:pt idx="26">
                  <c:v>119.19554780227539</c:v>
                </c:pt>
              </c:numCache>
            </c:numRef>
          </c:val>
          <c:smooth val="0"/>
          <c:extLst>
            <c:ext xmlns:c16="http://schemas.microsoft.com/office/drawing/2014/chart" uri="{C3380CC4-5D6E-409C-BE32-E72D297353CC}">
              <c16:uniqueId val="{00000022-B5AE-4B5D-8B72-FE881B996963}"/>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35"/>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graf'!$AK$7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42573307660508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75-45D1-85C1-C69226656603}"/>
                </c:ext>
              </c:extLst>
            </c:dLbl>
            <c:dLbl>
              <c:idx val="12"/>
              <c:layout>
                <c:manualLayout>
                  <c:x val="0.14257781612671425"/>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75-45D1-85C1-C69226656603}"/>
                </c:ext>
              </c:extLst>
            </c:dLbl>
            <c:dLbl>
              <c:idx val="24"/>
              <c:layout>
                <c:manualLayout>
                  <c:x val="-8.517879883362672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475-45D1-85C1-C6922665660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graf'!$AK$44:$AK$70</c:f>
              <c:numCache>
                <c:formatCode>General</c:formatCode>
                <c:ptCount val="27"/>
                <c:pt idx="0">
                  <c:v>65</c:v>
                </c:pt>
                <c:pt idx="12">
                  <c:v>65</c:v>
                </c:pt>
                <c:pt idx="24">
                  <c:v>65</c:v>
                </c:pt>
              </c:numCache>
            </c:numRef>
          </c:val>
          <c:smooth val="0"/>
          <c:extLst>
            <c:ext xmlns:c16="http://schemas.microsoft.com/office/drawing/2014/chart" uri="{C3380CC4-5D6E-409C-BE32-E72D297353CC}">
              <c16:uniqueId val="{00000003-0475-45D1-85C1-C69226656603}"/>
            </c:ext>
          </c:extLst>
        </c:ser>
        <c:ser>
          <c:idx val="4"/>
          <c:order val="1"/>
          <c:tx>
            <c:strRef>
              <c:f>'Prerađivačka_6 graf'!$AL$7</c:f>
              <c:strCache>
                <c:ptCount val="1"/>
                <c:pt idx="0">
                  <c:v>Series5</c:v>
                </c:pt>
              </c:strCache>
            </c:strRef>
          </c:tx>
          <c:spPr>
            <a:ln w="25400" cap="rnd">
              <a:noFill/>
              <a:round/>
            </a:ln>
            <a:effectLst/>
          </c:spPr>
          <c:marker>
            <c:symbol val="none"/>
          </c:marker>
          <c:dLbls>
            <c:dLbl>
              <c:idx val="0"/>
              <c:tx>
                <c:rich>
                  <a:bodyPr/>
                  <a:lstStyle/>
                  <a:p>
                    <a:fld id="{9E17E75C-0819-418F-B331-0779E8D321D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0475-45D1-85C1-C69226656603}"/>
                </c:ext>
              </c:extLst>
            </c:dLbl>
            <c:dLbl>
              <c:idx val="1"/>
              <c:tx>
                <c:rich>
                  <a:bodyPr/>
                  <a:lstStyle/>
                  <a:p>
                    <a:fld id="{D7CA9063-3BB2-471C-A976-981BBA8FFB6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0475-45D1-85C1-C69226656603}"/>
                </c:ext>
              </c:extLst>
            </c:dLbl>
            <c:dLbl>
              <c:idx val="2"/>
              <c:tx>
                <c:rich>
                  <a:bodyPr/>
                  <a:lstStyle/>
                  <a:p>
                    <a:fld id="{B311D67F-83A5-4F3F-87C2-722FDB12DF4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0475-45D1-85C1-C69226656603}"/>
                </c:ext>
              </c:extLst>
            </c:dLbl>
            <c:dLbl>
              <c:idx val="3"/>
              <c:tx>
                <c:rich>
                  <a:bodyPr/>
                  <a:lstStyle/>
                  <a:p>
                    <a:fld id="{524963F1-27ED-4080-BCA2-05F04CC8D2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0475-45D1-85C1-C69226656603}"/>
                </c:ext>
              </c:extLst>
            </c:dLbl>
            <c:dLbl>
              <c:idx val="4"/>
              <c:tx>
                <c:rich>
                  <a:bodyPr/>
                  <a:lstStyle/>
                  <a:p>
                    <a:fld id="{758D2907-1C70-467C-8844-A46D80D276E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0475-45D1-85C1-C69226656603}"/>
                </c:ext>
              </c:extLst>
            </c:dLbl>
            <c:dLbl>
              <c:idx val="5"/>
              <c:tx>
                <c:rich>
                  <a:bodyPr/>
                  <a:lstStyle/>
                  <a:p>
                    <a:fld id="{D6242FBD-E38E-49A7-8AA9-AC7718E0AA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0475-45D1-85C1-C69226656603}"/>
                </c:ext>
              </c:extLst>
            </c:dLbl>
            <c:dLbl>
              <c:idx val="6"/>
              <c:tx>
                <c:rich>
                  <a:bodyPr/>
                  <a:lstStyle/>
                  <a:p>
                    <a:fld id="{665CB259-B693-4E11-86BD-0B20A33928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0475-45D1-85C1-C69226656603}"/>
                </c:ext>
              </c:extLst>
            </c:dLbl>
            <c:dLbl>
              <c:idx val="7"/>
              <c:tx>
                <c:rich>
                  <a:bodyPr/>
                  <a:lstStyle/>
                  <a:p>
                    <a:fld id="{7F99CBE9-05F6-4FFF-B709-090535A1637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0475-45D1-85C1-C69226656603}"/>
                </c:ext>
              </c:extLst>
            </c:dLbl>
            <c:dLbl>
              <c:idx val="8"/>
              <c:tx>
                <c:rich>
                  <a:bodyPr/>
                  <a:lstStyle/>
                  <a:p>
                    <a:fld id="{7E878004-5E6D-4DD9-AF33-1735D3675B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0475-45D1-85C1-C69226656603}"/>
                </c:ext>
              </c:extLst>
            </c:dLbl>
            <c:dLbl>
              <c:idx val="9"/>
              <c:tx>
                <c:rich>
                  <a:bodyPr/>
                  <a:lstStyle/>
                  <a:p>
                    <a:fld id="{D210F0DC-D230-429A-A290-2DA54658238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0475-45D1-85C1-C69226656603}"/>
                </c:ext>
              </c:extLst>
            </c:dLbl>
            <c:dLbl>
              <c:idx val="10"/>
              <c:tx>
                <c:rich>
                  <a:bodyPr/>
                  <a:lstStyle/>
                  <a:p>
                    <a:fld id="{4A18E901-7F54-4D9C-B374-388645620B0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0475-45D1-85C1-C69226656603}"/>
                </c:ext>
              </c:extLst>
            </c:dLbl>
            <c:dLbl>
              <c:idx val="11"/>
              <c:tx>
                <c:rich>
                  <a:bodyPr/>
                  <a:lstStyle/>
                  <a:p>
                    <a:fld id="{7B31BA30-E758-4B7A-BA6C-460C785283B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0475-45D1-85C1-C69226656603}"/>
                </c:ext>
              </c:extLst>
            </c:dLbl>
            <c:dLbl>
              <c:idx val="12"/>
              <c:tx>
                <c:rich>
                  <a:bodyPr/>
                  <a:lstStyle/>
                  <a:p>
                    <a:fld id="{09AD7914-936E-4C9C-B0E8-1C9096431C9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0475-45D1-85C1-C69226656603}"/>
                </c:ext>
              </c:extLst>
            </c:dLbl>
            <c:dLbl>
              <c:idx val="13"/>
              <c:tx>
                <c:rich>
                  <a:bodyPr/>
                  <a:lstStyle/>
                  <a:p>
                    <a:fld id="{0E54C237-4A12-403B-B949-C267E183D2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0475-45D1-85C1-C69226656603}"/>
                </c:ext>
              </c:extLst>
            </c:dLbl>
            <c:dLbl>
              <c:idx val="14"/>
              <c:tx>
                <c:rich>
                  <a:bodyPr/>
                  <a:lstStyle/>
                  <a:p>
                    <a:fld id="{84B83778-8FCD-4D80-9DD0-01E15F55C6D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0475-45D1-85C1-C69226656603}"/>
                </c:ext>
              </c:extLst>
            </c:dLbl>
            <c:dLbl>
              <c:idx val="15"/>
              <c:tx>
                <c:rich>
                  <a:bodyPr/>
                  <a:lstStyle/>
                  <a:p>
                    <a:fld id="{9765CA9F-374B-4273-9C25-FA41C5671F5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0475-45D1-85C1-C69226656603}"/>
                </c:ext>
              </c:extLst>
            </c:dLbl>
            <c:dLbl>
              <c:idx val="16"/>
              <c:tx>
                <c:rich>
                  <a:bodyPr/>
                  <a:lstStyle/>
                  <a:p>
                    <a:fld id="{583E8F87-D05B-4962-8C6A-B98B24FCFAE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0475-45D1-85C1-C69226656603}"/>
                </c:ext>
              </c:extLst>
            </c:dLbl>
            <c:dLbl>
              <c:idx val="17"/>
              <c:tx>
                <c:rich>
                  <a:bodyPr/>
                  <a:lstStyle/>
                  <a:p>
                    <a:fld id="{B6525B0A-F31C-4D66-8E8B-470C39C543E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0475-45D1-85C1-C69226656603}"/>
                </c:ext>
              </c:extLst>
            </c:dLbl>
            <c:dLbl>
              <c:idx val="18"/>
              <c:tx>
                <c:rich>
                  <a:bodyPr/>
                  <a:lstStyle/>
                  <a:p>
                    <a:fld id="{B1ED0B3D-BDC8-41F6-BCF1-3647D5C079B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0475-45D1-85C1-C69226656603}"/>
                </c:ext>
              </c:extLst>
            </c:dLbl>
            <c:dLbl>
              <c:idx val="19"/>
              <c:tx>
                <c:rich>
                  <a:bodyPr/>
                  <a:lstStyle/>
                  <a:p>
                    <a:fld id="{96EFC0DF-023B-4BC5-A82F-EFB0E087719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0475-45D1-85C1-C69226656603}"/>
                </c:ext>
              </c:extLst>
            </c:dLbl>
            <c:dLbl>
              <c:idx val="20"/>
              <c:tx>
                <c:rich>
                  <a:bodyPr/>
                  <a:lstStyle/>
                  <a:p>
                    <a:fld id="{73879E8A-DC6A-4245-B170-2CD1F2F6C66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0475-45D1-85C1-C69226656603}"/>
                </c:ext>
              </c:extLst>
            </c:dLbl>
            <c:dLbl>
              <c:idx val="21"/>
              <c:tx>
                <c:rich>
                  <a:bodyPr/>
                  <a:lstStyle/>
                  <a:p>
                    <a:fld id="{A3F07EC7-F045-471F-89B4-02878E3D28F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0475-45D1-85C1-C69226656603}"/>
                </c:ext>
              </c:extLst>
            </c:dLbl>
            <c:dLbl>
              <c:idx val="22"/>
              <c:tx>
                <c:rich>
                  <a:bodyPr/>
                  <a:lstStyle/>
                  <a:p>
                    <a:fld id="{55D0357A-E65C-41F3-95A5-7FA88AF3B45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0475-45D1-85C1-C69226656603}"/>
                </c:ext>
              </c:extLst>
            </c:dLbl>
            <c:dLbl>
              <c:idx val="23"/>
              <c:tx>
                <c:rich>
                  <a:bodyPr/>
                  <a:lstStyle/>
                  <a:p>
                    <a:fld id="{D29A6853-79B8-48A9-8A9C-A59319DD34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0475-45D1-85C1-C69226656603}"/>
                </c:ext>
              </c:extLst>
            </c:dLbl>
            <c:dLbl>
              <c:idx val="24"/>
              <c:tx>
                <c:rich>
                  <a:bodyPr/>
                  <a:lstStyle/>
                  <a:p>
                    <a:fld id="{6A2A6CF5-BD07-48F2-98CF-FA3411D00B8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0475-45D1-85C1-C69226656603}"/>
                </c:ext>
              </c:extLst>
            </c:dLbl>
            <c:dLbl>
              <c:idx val="25"/>
              <c:tx>
                <c:rich>
                  <a:bodyPr/>
                  <a:lstStyle/>
                  <a:p>
                    <a:fld id="{EDA1C6CF-4D3C-470A-BF11-B8036EE5BF6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0475-45D1-85C1-C69226656603}"/>
                </c:ext>
              </c:extLst>
            </c:dLbl>
            <c:dLbl>
              <c:idx val="26"/>
              <c:tx>
                <c:rich>
                  <a:bodyPr/>
                  <a:lstStyle/>
                  <a:p>
                    <a:fld id="{EC2ACF71-C2F9-4D91-B8A4-A28EF1CA62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0475-45D1-85C1-C69226656603}"/>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graf'!$AL$44:$AL$70</c:f>
              <c:numCache>
                <c:formatCode>General</c:formatCode>
                <c:ptCount val="27"/>
                <c:pt idx="0">
                  <c:v>65</c:v>
                </c:pt>
                <c:pt idx="1">
                  <c:v>65</c:v>
                </c:pt>
                <c:pt idx="2">
                  <c:v>65</c:v>
                </c:pt>
                <c:pt idx="3">
                  <c:v>65</c:v>
                </c:pt>
                <c:pt idx="4">
                  <c:v>65</c:v>
                </c:pt>
                <c:pt idx="5">
                  <c:v>65</c:v>
                </c:pt>
                <c:pt idx="6">
                  <c:v>65</c:v>
                </c:pt>
                <c:pt idx="7">
                  <c:v>65</c:v>
                </c:pt>
                <c:pt idx="8">
                  <c:v>65</c:v>
                </c:pt>
                <c:pt idx="9">
                  <c:v>65</c:v>
                </c:pt>
                <c:pt idx="10">
                  <c:v>65</c:v>
                </c:pt>
                <c:pt idx="11">
                  <c:v>65</c:v>
                </c:pt>
                <c:pt idx="12">
                  <c:v>65</c:v>
                </c:pt>
                <c:pt idx="13">
                  <c:v>65</c:v>
                </c:pt>
                <c:pt idx="14">
                  <c:v>65</c:v>
                </c:pt>
                <c:pt idx="15">
                  <c:v>65</c:v>
                </c:pt>
                <c:pt idx="16">
                  <c:v>65</c:v>
                </c:pt>
                <c:pt idx="17">
                  <c:v>65</c:v>
                </c:pt>
                <c:pt idx="18">
                  <c:v>65</c:v>
                </c:pt>
                <c:pt idx="19">
                  <c:v>65</c:v>
                </c:pt>
                <c:pt idx="20">
                  <c:v>65</c:v>
                </c:pt>
                <c:pt idx="21">
                  <c:v>65</c:v>
                </c:pt>
                <c:pt idx="22">
                  <c:v>65</c:v>
                </c:pt>
                <c:pt idx="23">
                  <c:v>65</c:v>
                </c:pt>
                <c:pt idx="24">
                  <c:v>65</c:v>
                </c:pt>
                <c:pt idx="25">
                  <c:v>65</c:v>
                </c:pt>
                <c:pt idx="26">
                  <c:v>65</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0475-45D1-85C1-C69226656603}"/>
            </c:ext>
          </c:extLst>
        </c:ser>
        <c:ser>
          <c:idx val="0"/>
          <c:order val="2"/>
          <c:tx>
            <c:strRef>
              <c:f>'Prerađivačka_6 graf'!$AM$7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graf'!$AM$44:$AM$70</c:f>
              <c:numCache>
                <c:formatCode>0.0</c:formatCode>
                <c:ptCount val="27"/>
                <c:pt idx="0">
                  <c:v>101.49052892992727</c:v>
                </c:pt>
                <c:pt idx="1">
                  <c:v>106.19766884636054</c:v>
                </c:pt>
                <c:pt idx="2">
                  <c:v>134.44050834496019</c:v>
                </c:pt>
                <c:pt idx="3">
                  <c:v>131.57030107884233</c:v>
                </c:pt>
                <c:pt idx="4">
                  <c:v>141.7882389462219</c:v>
                </c:pt>
                <c:pt idx="5">
                  <c:v>123.64852902435707</c:v>
                </c:pt>
                <c:pt idx="6">
                  <c:v>125.3706533840278</c:v>
                </c:pt>
                <c:pt idx="7">
                  <c:v>89.780083284166423</c:v>
                </c:pt>
                <c:pt idx="8">
                  <c:v>128.58528552207977</c:v>
                </c:pt>
                <c:pt idx="9">
                  <c:v>131.11106791626349</c:v>
                </c:pt>
                <c:pt idx="10">
                  <c:v>121.81159637404164</c:v>
                </c:pt>
                <c:pt idx="11">
                  <c:v>120.66351346759451</c:v>
                </c:pt>
                <c:pt idx="12">
                  <c:v>106.74603174603175</c:v>
                </c:pt>
                <c:pt idx="13">
                  <c:v>97.963142580019408</c:v>
                </c:pt>
                <c:pt idx="14">
                  <c:v>99.14236706689536</c:v>
                </c:pt>
                <c:pt idx="15">
                  <c:v>98.189541822595345</c:v>
                </c:pt>
                <c:pt idx="16">
                  <c:v>99.767371295640743</c:v>
                </c:pt>
                <c:pt idx="17">
                  <c:v>105.10771720440981</c:v>
                </c:pt>
                <c:pt idx="18">
                  <c:v>107.17103266916152</c:v>
                </c:pt>
                <c:pt idx="19">
                  <c:v>104.37948821685042</c:v>
                </c:pt>
                <c:pt idx="20">
                  <c:v>100.37422878527357</c:v>
                </c:pt>
                <c:pt idx="21">
                  <c:v>80.469303125316074</c:v>
                </c:pt>
                <c:pt idx="22">
                  <c:v>86.173763527864864</c:v>
                </c:pt>
                <c:pt idx="23">
                  <c:v>115.06018003438858</c:v>
                </c:pt>
                <c:pt idx="24">
                  <c:v>107.6</c:v>
                </c:pt>
                <c:pt idx="25">
                  <c:v>101</c:v>
                </c:pt>
                <c:pt idx="26">
                  <c:v>115.6</c:v>
                </c:pt>
              </c:numCache>
            </c:numRef>
          </c:val>
          <c:smooth val="0"/>
          <c:extLst>
            <c:ext xmlns:c16="http://schemas.microsoft.com/office/drawing/2014/chart" uri="{C3380CC4-5D6E-409C-BE32-E72D297353CC}">
              <c16:uniqueId val="{00000020-0475-45D1-85C1-C69226656603}"/>
            </c:ext>
          </c:extLst>
        </c:ser>
        <c:ser>
          <c:idx val="1"/>
          <c:order val="3"/>
          <c:tx>
            <c:strRef>
              <c:f>'Prerađivačka_6 graf'!$AN$7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graf'!$AN$44:$AN$70</c:f>
              <c:numCache>
                <c:formatCode>0.0</c:formatCode>
                <c:ptCount val="27"/>
                <c:pt idx="0">
                  <c:v>110.53311390319151</c:v>
                </c:pt>
                <c:pt idx="1">
                  <c:v>116.31682485946945</c:v>
                </c:pt>
                <c:pt idx="2">
                  <c:v>135.05247192117227</c:v>
                </c:pt>
                <c:pt idx="3">
                  <c:v>127.65418833045406</c:v>
                </c:pt>
                <c:pt idx="4">
                  <c:v>133.35524156689902</c:v>
                </c:pt>
                <c:pt idx="5">
                  <c:v>124.43216766209154</c:v>
                </c:pt>
                <c:pt idx="6">
                  <c:v>119.5442955469445</c:v>
                </c:pt>
                <c:pt idx="7">
                  <c:v>88.536936391961476</c:v>
                </c:pt>
                <c:pt idx="8">
                  <c:v>132.85948389745036</c:v>
                </c:pt>
                <c:pt idx="9">
                  <c:v>125.57571158962672</c:v>
                </c:pt>
                <c:pt idx="10">
                  <c:v>125.97269905292552</c:v>
                </c:pt>
                <c:pt idx="11">
                  <c:v>117.00670355647215</c:v>
                </c:pt>
                <c:pt idx="12">
                  <c:v>114.61787099918877</c:v>
                </c:pt>
                <c:pt idx="13">
                  <c:v>105.50091083577766</c:v>
                </c:pt>
                <c:pt idx="14">
                  <c:v>97.051355371194887</c:v>
                </c:pt>
                <c:pt idx="15">
                  <c:v>96.249216208483261</c:v>
                </c:pt>
                <c:pt idx="16">
                  <c:v>96.145276469699581</c:v>
                </c:pt>
                <c:pt idx="17">
                  <c:v>101.19281591307872</c:v>
                </c:pt>
                <c:pt idx="18">
                  <c:v>103.04083959056263</c:v>
                </c:pt>
                <c:pt idx="19">
                  <c:v>104.79052572871238</c:v>
                </c:pt>
                <c:pt idx="20">
                  <c:v>100.06095031896169</c:v>
                </c:pt>
                <c:pt idx="21">
                  <c:v>78.777913150153225</c:v>
                </c:pt>
                <c:pt idx="22">
                  <c:v>89.864386693688203</c:v>
                </c:pt>
                <c:pt idx="23">
                  <c:v>109.52891149653044</c:v>
                </c:pt>
                <c:pt idx="24">
                  <c:v>117.38279707958097</c:v>
                </c:pt>
                <c:pt idx="25">
                  <c:v>112.28700718065899</c:v>
                </c:pt>
                <c:pt idx="26">
                  <c:v>111.07705894637165</c:v>
                </c:pt>
              </c:numCache>
            </c:numRef>
          </c:val>
          <c:smooth val="0"/>
          <c:extLst>
            <c:ext xmlns:c16="http://schemas.microsoft.com/office/drawing/2014/chart" uri="{C3380CC4-5D6E-409C-BE32-E72D297353CC}">
              <c16:uniqueId val="{00000021-0475-45D1-85C1-C69226656603}"/>
            </c:ext>
          </c:extLst>
        </c:ser>
        <c:ser>
          <c:idx val="2"/>
          <c:order val="4"/>
          <c:tx>
            <c:strRef>
              <c:f>'Prerađivačka_6 graf'!$AO$7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graf'!$AO$44:$AO$70</c:f>
              <c:numCache>
                <c:formatCode>0.0</c:formatCode>
                <c:ptCount val="27"/>
                <c:pt idx="0">
                  <c:v>116.2585590201934</c:v>
                </c:pt>
                <c:pt idx="1">
                  <c:v>120.1516449767776</c:v>
                </c:pt>
                <c:pt idx="2">
                  <c:v>123.97166760286889</c:v>
                </c:pt>
                <c:pt idx="3">
                  <c:v>126.73679954864875</c:v>
                </c:pt>
                <c:pt idx="4">
                  <c:v>127.95660972199902</c:v>
                </c:pt>
                <c:pt idx="5">
                  <c:v>127.7403053089248</c:v>
                </c:pt>
                <c:pt idx="6">
                  <c:v>126.97533426288319</c:v>
                </c:pt>
                <c:pt idx="7">
                  <c:v>126.56375734435589</c:v>
                </c:pt>
                <c:pt idx="8">
                  <c:v>126.49148787347535</c:v>
                </c:pt>
                <c:pt idx="9">
                  <c:v>125.77105546578316</c:v>
                </c:pt>
                <c:pt idx="10">
                  <c:v>123.16580273219827</c:v>
                </c:pt>
                <c:pt idx="11">
                  <c:v>118.38787837937441</c:v>
                </c:pt>
                <c:pt idx="12">
                  <c:v>112.00673593597502</c:v>
                </c:pt>
                <c:pt idx="13">
                  <c:v>105.65941534123206</c:v>
                </c:pt>
                <c:pt idx="14">
                  <c:v>100.96208879689719</c:v>
                </c:pt>
                <c:pt idx="15">
                  <c:v>98.612615280581096</c:v>
                </c:pt>
                <c:pt idx="16">
                  <c:v>98.416008320897603</c:v>
                </c:pt>
                <c:pt idx="17">
                  <c:v>99.311355742212243</c:v>
                </c:pt>
                <c:pt idx="18">
                  <c:v>100.04415847422895</c:v>
                </c:pt>
                <c:pt idx="19">
                  <c:v>100.31056543229579</c:v>
                </c:pt>
                <c:pt idx="20">
                  <c:v>100.4319919282417</c:v>
                </c:pt>
                <c:pt idx="21">
                  <c:v>101.15548027738362</c:v>
                </c:pt>
                <c:pt idx="22">
                  <c:v>103.09836750391283</c:v>
                </c:pt>
                <c:pt idx="23">
                  <c:v>106.02589846572404</c:v>
                </c:pt>
                <c:pt idx="24">
                  <c:v>109.10512095078806</c:v>
                </c:pt>
                <c:pt idx="25">
                  <c:v>111.3933637724495</c:v>
                </c:pt>
                <c:pt idx="26">
                  <c:v>112.26644334584421</c:v>
                </c:pt>
              </c:numCache>
            </c:numRef>
          </c:val>
          <c:smooth val="0"/>
          <c:extLst>
            <c:ext xmlns:c16="http://schemas.microsoft.com/office/drawing/2014/chart" uri="{C3380CC4-5D6E-409C-BE32-E72D297353CC}">
              <c16:uniqueId val="{00000022-0475-45D1-85C1-C69226656603}"/>
            </c:ext>
          </c:extLst>
        </c:ser>
        <c:dLbls>
          <c:showLegendKey val="0"/>
          <c:showVal val="0"/>
          <c:showCatName val="0"/>
          <c:showSerName val="0"/>
          <c:showPercent val="0"/>
          <c:showBubbleSize val="0"/>
        </c:dLbls>
        <c:marker val="1"/>
        <c:smooth val="0"/>
        <c:axId val="2092180656"/>
        <c:axId val="2092165968"/>
      </c:lineChart>
      <c:dateAx>
        <c:axId val="2092180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65968"/>
        <c:crosses val="autoZero"/>
        <c:auto val="1"/>
        <c:lblOffset val="0"/>
        <c:baseTimeUnit val="months"/>
        <c:majorUnit val="12"/>
        <c:majorTimeUnit val="months"/>
      </c:dateAx>
      <c:valAx>
        <c:axId val="2092165968"/>
        <c:scaling>
          <c:orientation val="minMax"/>
          <c:max val="145"/>
          <c:min val="65"/>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0656"/>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graf'!$AF$7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387664167298529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7B-44FE-886F-4B1445161BA3}"/>
                </c:ext>
              </c:extLst>
            </c:dLbl>
            <c:dLbl>
              <c:idx val="12"/>
              <c:layout>
                <c:manualLayout>
                  <c:x val="0.13822348282737518"/>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7B-44FE-886F-4B1445161BA3}"/>
                </c:ext>
              </c:extLst>
            </c:dLbl>
            <c:dLbl>
              <c:idx val="24"/>
              <c:layout>
                <c:manualLayout>
                  <c:x val="-8.5437548906523719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7B-44FE-886F-4B1445161BA3}"/>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graf'!$AF$44:$AF$70</c:f>
              <c:numCache>
                <c:formatCode>General</c:formatCode>
                <c:ptCount val="27"/>
                <c:pt idx="0">
                  <c:v>40</c:v>
                </c:pt>
                <c:pt idx="12">
                  <c:v>40</c:v>
                </c:pt>
                <c:pt idx="24">
                  <c:v>40</c:v>
                </c:pt>
              </c:numCache>
            </c:numRef>
          </c:val>
          <c:smooth val="0"/>
          <c:extLst>
            <c:ext xmlns:c16="http://schemas.microsoft.com/office/drawing/2014/chart" uri="{C3380CC4-5D6E-409C-BE32-E72D297353CC}">
              <c16:uniqueId val="{00000003-8E7B-44FE-886F-4B1445161BA3}"/>
            </c:ext>
          </c:extLst>
        </c:ser>
        <c:ser>
          <c:idx val="4"/>
          <c:order val="1"/>
          <c:tx>
            <c:strRef>
              <c:f>'Prerađivačka_6 graf'!$AG$7</c:f>
              <c:strCache>
                <c:ptCount val="1"/>
                <c:pt idx="0">
                  <c:v>Series5</c:v>
                </c:pt>
              </c:strCache>
            </c:strRef>
          </c:tx>
          <c:spPr>
            <a:ln w="28575" cap="rnd">
              <a:noFill/>
              <a:round/>
            </a:ln>
            <a:effectLst/>
          </c:spPr>
          <c:marker>
            <c:symbol val="none"/>
          </c:marker>
          <c:dLbls>
            <c:dLbl>
              <c:idx val="0"/>
              <c:tx>
                <c:rich>
                  <a:bodyPr/>
                  <a:lstStyle/>
                  <a:p>
                    <a:fld id="{5B68C15B-819D-4B01-AE00-CBB0E04F04C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8E7B-44FE-886F-4B1445161BA3}"/>
                </c:ext>
              </c:extLst>
            </c:dLbl>
            <c:dLbl>
              <c:idx val="1"/>
              <c:tx>
                <c:rich>
                  <a:bodyPr/>
                  <a:lstStyle/>
                  <a:p>
                    <a:fld id="{0B1D06E4-E2E6-4DBF-8E45-C2144B9C2B1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8E7B-44FE-886F-4B1445161BA3}"/>
                </c:ext>
              </c:extLst>
            </c:dLbl>
            <c:dLbl>
              <c:idx val="2"/>
              <c:tx>
                <c:rich>
                  <a:bodyPr/>
                  <a:lstStyle/>
                  <a:p>
                    <a:fld id="{CBC7BB93-908E-435B-97D2-D4A55309295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8E7B-44FE-886F-4B1445161BA3}"/>
                </c:ext>
              </c:extLst>
            </c:dLbl>
            <c:dLbl>
              <c:idx val="3"/>
              <c:tx>
                <c:rich>
                  <a:bodyPr/>
                  <a:lstStyle/>
                  <a:p>
                    <a:fld id="{A3C7B064-A654-456A-BB59-C24B42314F9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8E7B-44FE-886F-4B1445161BA3}"/>
                </c:ext>
              </c:extLst>
            </c:dLbl>
            <c:dLbl>
              <c:idx val="4"/>
              <c:tx>
                <c:rich>
                  <a:bodyPr/>
                  <a:lstStyle/>
                  <a:p>
                    <a:fld id="{F4C50AA0-2006-4771-B384-D91486CFFFF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8E7B-44FE-886F-4B1445161BA3}"/>
                </c:ext>
              </c:extLst>
            </c:dLbl>
            <c:dLbl>
              <c:idx val="5"/>
              <c:tx>
                <c:rich>
                  <a:bodyPr/>
                  <a:lstStyle/>
                  <a:p>
                    <a:fld id="{9E0E4C25-0D8C-4F48-95FE-CB16A189909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8E7B-44FE-886F-4B1445161BA3}"/>
                </c:ext>
              </c:extLst>
            </c:dLbl>
            <c:dLbl>
              <c:idx val="6"/>
              <c:tx>
                <c:rich>
                  <a:bodyPr/>
                  <a:lstStyle/>
                  <a:p>
                    <a:fld id="{6F154EF3-95E6-438C-A45D-E7F0BC47CF1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8E7B-44FE-886F-4B1445161BA3}"/>
                </c:ext>
              </c:extLst>
            </c:dLbl>
            <c:dLbl>
              <c:idx val="7"/>
              <c:tx>
                <c:rich>
                  <a:bodyPr/>
                  <a:lstStyle/>
                  <a:p>
                    <a:fld id="{3DA78353-7E49-4A07-A1C5-626386363B4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8E7B-44FE-886F-4B1445161BA3}"/>
                </c:ext>
              </c:extLst>
            </c:dLbl>
            <c:dLbl>
              <c:idx val="8"/>
              <c:tx>
                <c:rich>
                  <a:bodyPr/>
                  <a:lstStyle/>
                  <a:p>
                    <a:fld id="{1E40F85D-D994-40F4-BCC0-DE12B4A17B2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8E7B-44FE-886F-4B1445161BA3}"/>
                </c:ext>
              </c:extLst>
            </c:dLbl>
            <c:dLbl>
              <c:idx val="9"/>
              <c:tx>
                <c:rich>
                  <a:bodyPr/>
                  <a:lstStyle/>
                  <a:p>
                    <a:fld id="{DF0DDAAC-4823-4D87-BF9F-6DC313B7FB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8E7B-44FE-886F-4B1445161BA3}"/>
                </c:ext>
              </c:extLst>
            </c:dLbl>
            <c:dLbl>
              <c:idx val="10"/>
              <c:tx>
                <c:rich>
                  <a:bodyPr/>
                  <a:lstStyle/>
                  <a:p>
                    <a:fld id="{49EC8803-366C-43F8-A907-591BE7C80C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8E7B-44FE-886F-4B1445161BA3}"/>
                </c:ext>
              </c:extLst>
            </c:dLbl>
            <c:dLbl>
              <c:idx val="11"/>
              <c:tx>
                <c:rich>
                  <a:bodyPr/>
                  <a:lstStyle/>
                  <a:p>
                    <a:fld id="{810A520B-FFD0-4373-B72D-4BD5AF9A57C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8E7B-44FE-886F-4B1445161BA3}"/>
                </c:ext>
              </c:extLst>
            </c:dLbl>
            <c:dLbl>
              <c:idx val="12"/>
              <c:tx>
                <c:rich>
                  <a:bodyPr/>
                  <a:lstStyle/>
                  <a:p>
                    <a:fld id="{4B8E4F1A-C707-4A45-A17D-6C177A0A895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8E7B-44FE-886F-4B1445161BA3}"/>
                </c:ext>
              </c:extLst>
            </c:dLbl>
            <c:dLbl>
              <c:idx val="13"/>
              <c:tx>
                <c:rich>
                  <a:bodyPr/>
                  <a:lstStyle/>
                  <a:p>
                    <a:fld id="{0847FBE6-A234-4FD2-96DB-844A03497F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8E7B-44FE-886F-4B1445161BA3}"/>
                </c:ext>
              </c:extLst>
            </c:dLbl>
            <c:dLbl>
              <c:idx val="14"/>
              <c:tx>
                <c:rich>
                  <a:bodyPr/>
                  <a:lstStyle/>
                  <a:p>
                    <a:fld id="{A438975F-067E-41B7-A5D0-4069A2D119C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8E7B-44FE-886F-4B1445161BA3}"/>
                </c:ext>
              </c:extLst>
            </c:dLbl>
            <c:dLbl>
              <c:idx val="15"/>
              <c:tx>
                <c:rich>
                  <a:bodyPr/>
                  <a:lstStyle/>
                  <a:p>
                    <a:fld id="{62E08B58-4153-4248-BD51-49CF24F4FC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8E7B-44FE-886F-4B1445161BA3}"/>
                </c:ext>
              </c:extLst>
            </c:dLbl>
            <c:dLbl>
              <c:idx val="16"/>
              <c:tx>
                <c:rich>
                  <a:bodyPr/>
                  <a:lstStyle/>
                  <a:p>
                    <a:fld id="{A3EE673F-A5B2-46EF-86C2-E8A668BC1A5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8E7B-44FE-886F-4B1445161BA3}"/>
                </c:ext>
              </c:extLst>
            </c:dLbl>
            <c:dLbl>
              <c:idx val="17"/>
              <c:tx>
                <c:rich>
                  <a:bodyPr/>
                  <a:lstStyle/>
                  <a:p>
                    <a:fld id="{2DB650D5-154C-4BD8-8142-2D28BAC3EEA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8E7B-44FE-886F-4B1445161BA3}"/>
                </c:ext>
              </c:extLst>
            </c:dLbl>
            <c:dLbl>
              <c:idx val="18"/>
              <c:tx>
                <c:rich>
                  <a:bodyPr/>
                  <a:lstStyle/>
                  <a:p>
                    <a:fld id="{2BD32D3D-02E7-40FE-B8FB-FE02F481359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8E7B-44FE-886F-4B1445161BA3}"/>
                </c:ext>
              </c:extLst>
            </c:dLbl>
            <c:dLbl>
              <c:idx val="19"/>
              <c:tx>
                <c:rich>
                  <a:bodyPr/>
                  <a:lstStyle/>
                  <a:p>
                    <a:fld id="{C11B6CDB-8F0B-4A9E-8491-F072D6A669C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8E7B-44FE-886F-4B1445161BA3}"/>
                </c:ext>
              </c:extLst>
            </c:dLbl>
            <c:dLbl>
              <c:idx val="20"/>
              <c:tx>
                <c:rich>
                  <a:bodyPr/>
                  <a:lstStyle/>
                  <a:p>
                    <a:fld id="{1D9E3268-B5B7-4686-B94B-A64F290EA77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8E7B-44FE-886F-4B1445161BA3}"/>
                </c:ext>
              </c:extLst>
            </c:dLbl>
            <c:dLbl>
              <c:idx val="21"/>
              <c:tx>
                <c:rich>
                  <a:bodyPr/>
                  <a:lstStyle/>
                  <a:p>
                    <a:fld id="{9D2B9E76-6B12-4B35-ACBE-EBA21BE6CC5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8E7B-44FE-886F-4B1445161BA3}"/>
                </c:ext>
              </c:extLst>
            </c:dLbl>
            <c:dLbl>
              <c:idx val="22"/>
              <c:tx>
                <c:rich>
                  <a:bodyPr/>
                  <a:lstStyle/>
                  <a:p>
                    <a:fld id="{58936469-994F-46EF-99CF-6262FDCBF9C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8E7B-44FE-886F-4B1445161BA3}"/>
                </c:ext>
              </c:extLst>
            </c:dLbl>
            <c:dLbl>
              <c:idx val="23"/>
              <c:tx>
                <c:rich>
                  <a:bodyPr/>
                  <a:lstStyle/>
                  <a:p>
                    <a:fld id="{22B6EA9A-BD4C-4115-B059-7D94041C35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8E7B-44FE-886F-4B1445161BA3}"/>
                </c:ext>
              </c:extLst>
            </c:dLbl>
            <c:dLbl>
              <c:idx val="24"/>
              <c:tx>
                <c:rich>
                  <a:bodyPr/>
                  <a:lstStyle/>
                  <a:p>
                    <a:fld id="{115516F2-B3CF-42C4-80C1-0D349093469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8E7B-44FE-886F-4B1445161BA3}"/>
                </c:ext>
              </c:extLst>
            </c:dLbl>
            <c:dLbl>
              <c:idx val="25"/>
              <c:tx>
                <c:rich>
                  <a:bodyPr/>
                  <a:lstStyle/>
                  <a:p>
                    <a:fld id="{E396FF50-587E-4906-92B7-362B8A3FCDE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8E7B-44FE-886F-4B1445161BA3}"/>
                </c:ext>
              </c:extLst>
            </c:dLbl>
            <c:dLbl>
              <c:idx val="26"/>
              <c:tx>
                <c:rich>
                  <a:bodyPr/>
                  <a:lstStyle/>
                  <a:p>
                    <a:fld id="{25031DFB-F3C0-459E-B666-1711CDA9BFE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8E7B-44FE-886F-4B1445161BA3}"/>
                </c:ext>
              </c:extLst>
            </c:dLbl>
            <c:spPr>
              <a:noFill/>
              <a:ln>
                <a:noFill/>
              </a:ln>
              <a:effectLst/>
            </c:spPr>
            <c:txPr>
              <a:bodyPr rot="0" spcFirstLastPara="1" vertOverflow="ellipsis" vert="horz" wrap="square" anchor="ctr" anchorCtr="1"/>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graf'!$AG$44:$AG$70</c:f>
              <c:numCache>
                <c:formatCode>General</c:formatCode>
                <c:ptCount val="27"/>
                <c:pt idx="0">
                  <c:v>40</c:v>
                </c:pt>
                <c:pt idx="1">
                  <c:v>40</c:v>
                </c:pt>
                <c:pt idx="2">
                  <c:v>40</c:v>
                </c:pt>
                <c:pt idx="3">
                  <c:v>40</c:v>
                </c:pt>
                <c:pt idx="4">
                  <c:v>40</c:v>
                </c:pt>
                <c:pt idx="5">
                  <c:v>40</c:v>
                </c:pt>
                <c:pt idx="6">
                  <c:v>40</c:v>
                </c:pt>
                <c:pt idx="7">
                  <c:v>40</c:v>
                </c:pt>
                <c:pt idx="8">
                  <c:v>40</c:v>
                </c:pt>
                <c:pt idx="9">
                  <c:v>40</c:v>
                </c:pt>
                <c:pt idx="10">
                  <c:v>40</c:v>
                </c:pt>
                <c:pt idx="11">
                  <c:v>40</c:v>
                </c:pt>
                <c:pt idx="12">
                  <c:v>40</c:v>
                </c:pt>
                <c:pt idx="13">
                  <c:v>40</c:v>
                </c:pt>
                <c:pt idx="14">
                  <c:v>40</c:v>
                </c:pt>
                <c:pt idx="15">
                  <c:v>40</c:v>
                </c:pt>
                <c:pt idx="16">
                  <c:v>40</c:v>
                </c:pt>
                <c:pt idx="17">
                  <c:v>40</c:v>
                </c:pt>
                <c:pt idx="18">
                  <c:v>40</c:v>
                </c:pt>
                <c:pt idx="19">
                  <c:v>40</c:v>
                </c:pt>
                <c:pt idx="20">
                  <c:v>40</c:v>
                </c:pt>
                <c:pt idx="21">
                  <c:v>40</c:v>
                </c:pt>
                <c:pt idx="22">
                  <c:v>40</c:v>
                </c:pt>
                <c:pt idx="23">
                  <c:v>40</c:v>
                </c:pt>
                <c:pt idx="24">
                  <c:v>40</c:v>
                </c:pt>
                <c:pt idx="25">
                  <c:v>40</c:v>
                </c:pt>
                <c:pt idx="26">
                  <c:v>40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8E7B-44FE-886F-4B1445161BA3}"/>
            </c:ext>
          </c:extLst>
        </c:ser>
        <c:ser>
          <c:idx val="0"/>
          <c:order val="2"/>
          <c:tx>
            <c:strRef>
              <c:f>'Prerađivačka_6 graf'!$AH$7</c:f>
              <c:strCache>
                <c:ptCount val="1"/>
                <c:pt idx="0">
                  <c:v>y</c:v>
                </c:pt>
              </c:strCache>
            </c:strRef>
          </c:tx>
          <c:spPr>
            <a:ln w="12700" cap="rnd">
              <a:solidFill>
                <a:srgbClr val="7F3F98"/>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graf'!$AH$44:$AH$70</c:f>
              <c:numCache>
                <c:formatCode>0.0</c:formatCode>
                <c:ptCount val="27"/>
                <c:pt idx="0">
                  <c:v>84.939031529999994</c:v>
                </c:pt>
                <c:pt idx="1">
                  <c:v>99.278094297999999</c:v>
                </c:pt>
                <c:pt idx="2">
                  <c:v>112.92011929100001</c:v>
                </c:pt>
                <c:pt idx="3">
                  <c:v>104.256935536</c:v>
                </c:pt>
                <c:pt idx="4">
                  <c:v>109.733660899</c:v>
                </c:pt>
                <c:pt idx="5">
                  <c:v>105.352280609</c:v>
                </c:pt>
                <c:pt idx="6">
                  <c:v>112.92011929100001</c:v>
                </c:pt>
                <c:pt idx="7">
                  <c:v>98.879786999000004</c:v>
                </c:pt>
                <c:pt idx="8">
                  <c:v>110.131968198</c:v>
                </c:pt>
                <c:pt idx="9">
                  <c:v>111.62562056900001</c:v>
                </c:pt>
                <c:pt idx="10">
                  <c:v>104.057781887</c:v>
                </c:pt>
                <c:pt idx="11">
                  <c:v>87.926336273999993</c:v>
                </c:pt>
                <c:pt idx="12">
                  <c:v>88.708036622999998</c:v>
                </c:pt>
                <c:pt idx="13">
                  <c:v>108.695652174</c:v>
                </c:pt>
                <c:pt idx="14">
                  <c:v>105.482041588</c:v>
                </c:pt>
                <c:pt idx="15">
                  <c:v>50.715887528000003</c:v>
                </c:pt>
                <c:pt idx="16">
                  <c:v>85.285492496000003</c:v>
                </c:pt>
                <c:pt idx="17">
                  <c:v>97.498706227</c:v>
                </c:pt>
                <c:pt idx="18">
                  <c:v>105.05433845100001</c:v>
                </c:pt>
                <c:pt idx="19">
                  <c:v>101.845782301</c:v>
                </c:pt>
                <c:pt idx="20">
                  <c:v>118.613075729</c:v>
                </c:pt>
                <c:pt idx="21">
                  <c:v>119.751595653</c:v>
                </c:pt>
                <c:pt idx="22">
                  <c:v>111.264447128</c:v>
                </c:pt>
                <c:pt idx="23">
                  <c:v>102.88080041400001</c:v>
                </c:pt>
                <c:pt idx="24">
                  <c:v>87.2</c:v>
                </c:pt>
                <c:pt idx="25">
                  <c:v>105</c:v>
                </c:pt>
                <c:pt idx="26">
                  <c:v>111.6</c:v>
                </c:pt>
              </c:numCache>
            </c:numRef>
          </c:val>
          <c:smooth val="0"/>
          <c:extLst>
            <c:ext xmlns:c16="http://schemas.microsoft.com/office/drawing/2014/chart" uri="{C3380CC4-5D6E-409C-BE32-E72D297353CC}">
              <c16:uniqueId val="{00000020-8E7B-44FE-886F-4B1445161BA3}"/>
            </c:ext>
          </c:extLst>
        </c:ser>
        <c:ser>
          <c:idx val="1"/>
          <c:order val="3"/>
          <c:tx>
            <c:strRef>
              <c:f>'Prerađivačka_6 graf'!$AI$7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graf'!$AI$44:$AI$70</c:f>
              <c:numCache>
                <c:formatCode>0.0</c:formatCode>
                <c:ptCount val="27"/>
                <c:pt idx="0">
                  <c:v>102.38545724700001</c:v>
                </c:pt>
                <c:pt idx="1">
                  <c:v>101.29487852600001</c:v>
                </c:pt>
                <c:pt idx="2">
                  <c:v>105.531218487</c:v>
                </c:pt>
                <c:pt idx="3">
                  <c:v>107.214225437</c:v>
                </c:pt>
                <c:pt idx="4">
                  <c:v>107.172248165</c:v>
                </c:pt>
                <c:pt idx="5">
                  <c:v>102.258841119</c:v>
                </c:pt>
                <c:pt idx="6">
                  <c:v>107.093801617</c:v>
                </c:pt>
                <c:pt idx="7">
                  <c:v>100.38597548200001</c:v>
                </c:pt>
                <c:pt idx="8">
                  <c:v>102.45879029</c:v>
                </c:pt>
                <c:pt idx="9">
                  <c:v>101.122133863</c:v>
                </c:pt>
                <c:pt idx="10">
                  <c:v>104.237122024</c:v>
                </c:pt>
                <c:pt idx="11">
                  <c:v>100.589105643</c:v>
                </c:pt>
                <c:pt idx="12">
                  <c:v>106.844308928</c:v>
                </c:pt>
                <c:pt idx="13">
                  <c:v>104.111659962</c:v>
                </c:pt>
                <c:pt idx="14">
                  <c:v>98.291746431000007</c:v>
                </c:pt>
                <c:pt idx="15">
                  <c:v>52.573134387000003</c:v>
                </c:pt>
                <c:pt idx="16">
                  <c:v>85.272834180000004</c:v>
                </c:pt>
                <c:pt idx="17">
                  <c:v>93.058354628000004</c:v>
                </c:pt>
                <c:pt idx="18">
                  <c:v>99.519710705999998</c:v>
                </c:pt>
                <c:pt idx="19">
                  <c:v>105.10890087</c:v>
                </c:pt>
                <c:pt idx="20">
                  <c:v>108.02135184700001</c:v>
                </c:pt>
                <c:pt idx="21">
                  <c:v>109.31125242100001</c:v>
                </c:pt>
                <c:pt idx="22">
                  <c:v>110.042792894</c:v>
                </c:pt>
                <c:pt idx="23">
                  <c:v>115.908353256</c:v>
                </c:pt>
                <c:pt idx="24">
                  <c:v>106.27721637400001</c:v>
                </c:pt>
                <c:pt idx="25">
                  <c:v>107.12825974099999</c:v>
                </c:pt>
                <c:pt idx="26">
                  <c:v>103.555916884</c:v>
                </c:pt>
              </c:numCache>
            </c:numRef>
          </c:val>
          <c:smooth val="0"/>
          <c:extLst>
            <c:ext xmlns:c16="http://schemas.microsoft.com/office/drawing/2014/chart" uri="{C3380CC4-5D6E-409C-BE32-E72D297353CC}">
              <c16:uniqueId val="{00000021-8E7B-44FE-886F-4B1445161BA3}"/>
            </c:ext>
          </c:extLst>
        </c:ser>
        <c:ser>
          <c:idx val="2"/>
          <c:order val="4"/>
          <c:tx>
            <c:strRef>
              <c:f>'Prerađivačka_6 graf'!$AJ$7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graf'!$AJ$44:$AJ$70</c:f>
              <c:numCache>
                <c:formatCode>0.0</c:formatCode>
                <c:ptCount val="27"/>
                <c:pt idx="0">
                  <c:v>102.359007273</c:v>
                </c:pt>
                <c:pt idx="1">
                  <c:v>102.891586004</c:v>
                </c:pt>
                <c:pt idx="2">
                  <c:v>103.363459214</c:v>
                </c:pt>
                <c:pt idx="3">
                  <c:v>103.733396353</c:v>
                </c:pt>
                <c:pt idx="4">
                  <c:v>103.961042206</c:v>
                </c:pt>
                <c:pt idx="5">
                  <c:v>104.027454824</c:v>
                </c:pt>
                <c:pt idx="6">
                  <c:v>103.911667872</c:v>
                </c:pt>
                <c:pt idx="7">
                  <c:v>103.587962281</c:v>
                </c:pt>
                <c:pt idx="8">
                  <c:v>103.065866939</c:v>
                </c:pt>
                <c:pt idx="9">
                  <c:v>102.39728002299999</c:v>
                </c:pt>
                <c:pt idx="10">
                  <c:v>101.686365842</c:v>
                </c:pt>
                <c:pt idx="11">
                  <c:v>101.05194781100001</c:v>
                </c:pt>
                <c:pt idx="12">
                  <c:v>100.597469799</c:v>
                </c:pt>
                <c:pt idx="13">
                  <c:v>100.408866053</c:v>
                </c:pt>
                <c:pt idx="14">
                  <c:v>100.521540251</c:v>
                </c:pt>
                <c:pt idx="15">
                  <c:v>100.929946824</c:v>
                </c:pt>
                <c:pt idx="16">
                  <c:v>101.592185442</c:v>
                </c:pt>
                <c:pt idx="17">
                  <c:v>102.424567647</c:v>
                </c:pt>
                <c:pt idx="18">
                  <c:v>103.334494944</c:v>
                </c:pt>
                <c:pt idx="19">
                  <c:v>104.23203370100001</c:v>
                </c:pt>
                <c:pt idx="20">
                  <c:v>105.035270758</c:v>
                </c:pt>
                <c:pt idx="21">
                  <c:v>105.673307666</c:v>
                </c:pt>
                <c:pt idx="22">
                  <c:v>106.10163875000001</c:v>
                </c:pt>
                <c:pt idx="23">
                  <c:v>106.29432060000001</c:v>
                </c:pt>
                <c:pt idx="24">
                  <c:v>106.27225489</c:v>
                </c:pt>
                <c:pt idx="25">
                  <c:v>106.08496782100001</c:v>
                </c:pt>
                <c:pt idx="26">
                  <c:v>105.811131854</c:v>
                </c:pt>
              </c:numCache>
            </c:numRef>
          </c:val>
          <c:smooth val="0"/>
          <c:extLst>
            <c:ext xmlns:c16="http://schemas.microsoft.com/office/drawing/2014/chart" uri="{C3380CC4-5D6E-409C-BE32-E72D297353CC}">
              <c16:uniqueId val="{00000022-8E7B-44FE-886F-4B1445161BA3}"/>
            </c:ext>
          </c:extLst>
        </c:ser>
        <c:dLbls>
          <c:showLegendKey val="0"/>
          <c:showVal val="0"/>
          <c:showCatName val="0"/>
          <c:showSerName val="0"/>
          <c:showPercent val="0"/>
          <c:showBubbleSize val="0"/>
        </c:dLbls>
        <c:marker val="1"/>
        <c:smooth val="0"/>
        <c:axId val="2092125712"/>
        <c:axId val="2092128432"/>
      </c:lineChart>
      <c:dateAx>
        <c:axId val="209212571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28432"/>
        <c:crosses val="autoZero"/>
        <c:auto val="1"/>
        <c:lblOffset val="0"/>
        <c:baseTimeUnit val="months"/>
        <c:majorUnit val="12"/>
        <c:majorTimeUnit val="months"/>
      </c:dateAx>
      <c:valAx>
        <c:axId val="2092128432"/>
        <c:scaling>
          <c:orientation val="minMax"/>
          <c:max val="120"/>
          <c:min val="4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25712"/>
        <c:crosses val="autoZero"/>
        <c:crossBetween val="midCat"/>
        <c:majorUnit val="1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graf'!$AP$7</c:f>
              <c:strCache>
                <c:ptCount val="1"/>
                <c:pt idx="0">
                  <c:v>Series4</c:v>
                </c:pt>
              </c:strCache>
            </c:strRef>
          </c:tx>
          <c:spPr>
            <a:ln w="28575" cap="rnd">
              <a:solidFill>
                <a:schemeClr val="accent4"/>
              </a:solidFill>
              <a:round/>
            </a:ln>
            <a:effectLst/>
          </c:spPr>
          <c:marker>
            <c:symbol val="square"/>
            <c:size val="2"/>
            <c:spPr>
              <a:solidFill>
                <a:sysClr val="window" lastClr="FFFFFF"/>
              </a:solidFill>
              <a:ln w="9525">
                <a:noFill/>
              </a:ln>
              <a:effectLst/>
            </c:spPr>
          </c:marker>
          <c:dLbls>
            <c:dLbl>
              <c:idx val="0"/>
              <c:layout>
                <c:manualLayout>
                  <c:x val="0.13853135339276484"/>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27-4D66-B525-B36562E24864}"/>
                </c:ext>
              </c:extLst>
            </c:dLbl>
            <c:dLbl>
              <c:idx val="12"/>
              <c:layout>
                <c:manualLayout>
                  <c:x val="0.1428287133679964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27-4D66-B525-B36562E24864}"/>
                </c:ext>
              </c:extLst>
            </c:dLbl>
            <c:dLbl>
              <c:idx val="24"/>
              <c:layout>
                <c:manualLayout>
                  <c:x val="-8.5437548906523719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27-4D66-B525-B36562E2486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graf'!$AP$44:$AP$70</c:f>
              <c:numCache>
                <c:formatCode>General</c:formatCode>
                <c:ptCount val="27"/>
                <c:pt idx="0">
                  <c:v>0</c:v>
                </c:pt>
                <c:pt idx="12">
                  <c:v>0</c:v>
                </c:pt>
                <c:pt idx="24">
                  <c:v>0</c:v>
                </c:pt>
              </c:numCache>
            </c:numRef>
          </c:val>
          <c:smooth val="0"/>
          <c:extLst>
            <c:ext xmlns:c16="http://schemas.microsoft.com/office/drawing/2014/chart" uri="{C3380CC4-5D6E-409C-BE32-E72D297353CC}">
              <c16:uniqueId val="{00000003-6227-4D66-B525-B36562E24864}"/>
            </c:ext>
          </c:extLst>
        </c:ser>
        <c:ser>
          <c:idx val="4"/>
          <c:order val="1"/>
          <c:tx>
            <c:strRef>
              <c:f>'Prerađivačka_6 graf'!$AQ$7</c:f>
              <c:strCache>
                <c:ptCount val="1"/>
                <c:pt idx="0">
                  <c:v>Series5</c:v>
                </c:pt>
              </c:strCache>
            </c:strRef>
          </c:tx>
          <c:spPr>
            <a:ln w="25400" cap="rnd">
              <a:noFill/>
              <a:round/>
            </a:ln>
            <a:effectLst/>
          </c:spPr>
          <c:marker>
            <c:symbol val="none"/>
          </c:marker>
          <c:dLbls>
            <c:dLbl>
              <c:idx val="0"/>
              <c:tx>
                <c:rich>
                  <a:bodyPr/>
                  <a:lstStyle/>
                  <a:p>
                    <a:fld id="{3196AB97-CDDA-4BAA-8CE2-D2177DF17B2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6227-4D66-B525-B36562E24864}"/>
                </c:ext>
              </c:extLst>
            </c:dLbl>
            <c:dLbl>
              <c:idx val="1"/>
              <c:tx>
                <c:rich>
                  <a:bodyPr/>
                  <a:lstStyle/>
                  <a:p>
                    <a:fld id="{A43499DB-9128-45F3-A482-4E6F7C7B03D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6227-4D66-B525-B36562E24864}"/>
                </c:ext>
              </c:extLst>
            </c:dLbl>
            <c:dLbl>
              <c:idx val="2"/>
              <c:tx>
                <c:rich>
                  <a:bodyPr/>
                  <a:lstStyle/>
                  <a:p>
                    <a:fld id="{8240288D-E82F-40E9-AF7B-7921FE7E633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6227-4D66-B525-B36562E24864}"/>
                </c:ext>
              </c:extLst>
            </c:dLbl>
            <c:dLbl>
              <c:idx val="3"/>
              <c:tx>
                <c:rich>
                  <a:bodyPr/>
                  <a:lstStyle/>
                  <a:p>
                    <a:fld id="{1532EA6C-CA29-4040-A735-D44A5266A72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6227-4D66-B525-B36562E24864}"/>
                </c:ext>
              </c:extLst>
            </c:dLbl>
            <c:dLbl>
              <c:idx val="4"/>
              <c:tx>
                <c:rich>
                  <a:bodyPr/>
                  <a:lstStyle/>
                  <a:p>
                    <a:fld id="{3273AF47-D9B7-4483-AA43-75F2073235D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6227-4D66-B525-B36562E24864}"/>
                </c:ext>
              </c:extLst>
            </c:dLbl>
            <c:dLbl>
              <c:idx val="5"/>
              <c:tx>
                <c:rich>
                  <a:bodyPr/>
                  <a:lstStyle/>
                  <a:p>
                    <a:fld id="{0B39B09E-A07B-4778-BE15-2F3CBD2C96D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6227-4D66-B525-B36562E24864}"/>
                </c:ext>
              </c:extLst>
            </c:dLbl>
            <c:dLbl>
              <c:idx val="6"/>
              <c:tx>
                <c:rich>
                  <a:bodyPr/>
                  <a:lstStyle/>
                  <a:p>
                    <a:fld id="{0FBA5D92-3D0A-426E-8E7E-2EF0502098F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6227-4D66-B525-B36562E24864}"/>
                </c:ext>
              </c:extLst>
            </c:dLbl>
            <c:dLbl>
              <c:idx val="7"/>
              <c:tx>
                <c:rich>
                  <a:bodyPr/>
                  <a:lstStyle/>
                  <a:p>
                    <a:fld id="{B3491100-A59F-437A-8987-CA1BC0C4890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6227-4D66-B525-B36562E24864}"/>
                </c:ext>
              </c:extLst>
            </c:dLbl>
            <c:dLbl>
              <c:idx val="8"/>
              <c:tx>
                <c:rich>
                  <a:bodyPr/>
                  <a:lstStyle/>
                  <a:p>
                    <a:fld id="{148435C0-88EB-42B1-B3F3-00164C5BCD6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6227-4D66-B525-B36562E24864}"/>
                </c:ext>
              </c:extLst>
            </c:dLbl>
            <c:dLbl>
              <c:idx val="9"/>
              <c:tx>
                <c:rich>
                  <a:bodyPr/>
                  <a:lstStyle/>
                  <a:p>
                    <a:fld id="{03FBE2F1-8C01-4999-A7CB-D1F581E6D2B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6227-4D66-B525-B36562E24864}"/>
                </c:ext>
              </c:extLst>
            </c:dLbl>
            <c:dLbl>
              <c:idx val="10"/>
              <c:tx>
                <c:rich>
                  <a:bodyPr/>
                  <a:lstStyle/>
                  <a:p>
                    <a:fld id="{1FC565E8-E293-4D38-ACFD-5DA53C5848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6227-4D66-B525-B36562E24864}"/>
                </c:ext>
              </c:extLst>
            </c:dLbl>
            <c:dLbl>
              <c:idx val="11"/>
              <c:tx>
                <c:rich>
                  <a:bodyPr/>
                  <a:lstStyle/>
                  <a:p>
                    <a:fld id="{AF040B62-75E8-4BAE-8CC2-B08CEB730B0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6227-4D66-B525-B36562E24864}"/>
                </c:ext>
              </c:extLst>
            </c:dLbl>
            <c:dLbl>
              <c:idx val="12"/>
              <c:tx>
                <c:rich>
                  <a:bodyPr/>
                  <a:lstStyle/>
                  <a:p>
                    <a:fld id="{586DF4DA-4D5E-4372-8F69-552D2D5B79D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6227-4D66-B525-B36562E24864}"/>
                </c:ext>
              </c:extLst>
            </c:dLbl>
            <c:dLbl>
              <c:idx val="13"/>
              <c:tx>
                <c:rich>
                  <a:bodyPr/>
                  <a:lstStyle/>
                  <a:p>
                    <a:fld id="{6E8058A9-8D65-45A2-83AE-2BFE3095380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6227-4D66-B525-B36562E24864}"/>
                </c:ext>
              </c:extLst>
            </c:dLbl>
            <c:dLbl>
              <c:idx val="14"/>
              <c:tx>
                <c:rich>
                  <a:bodyPr/>
                  <a:lstStyle/>
                  <a:p>
                    <a:fld id="{F0E80D23-CA8B-4D00-BA84-1BB834CB8C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6227-4D66-B525-B36562E24864}"/>
                </c:ext>
              </c:extLst>
            </c:dLbl>
            <c:dLbl>
              <c:idx val="15"/>
              <c:tx>
                <c:rich>
                  <a:bodyPr/>
                  <a:lstStyle/>
                  <a:p>
                    <a:fld id="{95CDF993-1BAA-4B87-9944-F24A9C799E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6227-4D66-B525-B36562E24864}"/>
                </c:ext>
              </c:extLst>
            </c:dLbl>
            <c:dLbl>
              <c:idx val="16"/>
              <c:tx>
                <c:rich>
                  <a:bodyPr/>
                  <a:lstStyle/>
                  <a:p>
                    <a:fld id="{1AB2B34A-D643-4D17-9197-6414299D51D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6227-4D66-B525-B36562E24864}"/>
                </c:ext>
              </c:extLst>
            </c:dLbl>
            <c:dLbl>
              <c:idx val="17"/>
              <c:tx>
                <c:rich>
                  <a:bodyPr/>
                  <a:lstStyle/>
                  <a:p>
                    <a:fld id="{3280685B-5CB4-484A-8B7C-D4DE3BBEC26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6227-4D66-B525-B36562E24864}"/>
                </c:ext>
              </c:extLst>
            </c:dLbl>
            <c:dLbl>
              <c:idx val="18"/>
              <c:tx>
                <c:rich>
                  <a:bodyPr/>
                  <a:lstStyle/>
                  <a:p>
                    <a:fld id="{BBBB5977-9D6E-48CF-890A-B5726B2FD16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6227-4D66-B525-B36562E24864}"/>
                </c:ext>
              </c:extLst>
            </c:dLbl>
            <c:dLbl>
              <c:idx val="19"/>
              <c:tx>
                <c:rich>
                  <a:bodyPr/>
                  <a:lstStyle/>
                  <a:p>
                    <a:fld id="{D70DBAD7-BB53-4E58-8C8C-5930C7D300F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6227-4D66-B525-B36562E24864}"/>
                </c:ext>
              </c:extLst>
            </c:dLbl>
            <c:dLbl>
              <c:idx val="20"/>
              <c:tx>
                <c:rich>
                  <a:bodyPr/>
                  <a:lstStyle/>
                  <a:p>
                    <a:fld id="{9FFE9036-ADA1-4EFF-9A72-F3D89C75E19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6227-4D66-B525-B36562E24864}"/>
                </c:ext>
              </c:extLst>
            </c:dLbl>
            <c:dLbl>
              <c:idx val="21"/>
              <c:tx>
                <c:rich>
                  <a:bodyPr/>
                  <a:lstStyle/>
                  <a:p>
                    <a:fld id="{60528103-3C19-411B-9FC1-3C99F0A02A1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6227-4D66-B525-B36562E24864}"/>
                </c:ext>
              </c:extLst>
            </c:dLbl>
            <c:dLbl>
              <c:idx val="22"/>
              <c:tx>
                <c:rich>
                  <a:bodyPr/>
                  <a:lstStyle/>
                  <a:p>
                    <a:fld id="{0A423258-A57C-4A28-8151-449DB24E5CA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6227-4D66-B525-B36562E24864}"/>
                </c:ext>
              </c:extLst>
            </c:dLbl>
            <c:dLbl>
              <c:idx val="23"/>
              <c:tx>
                <c:rich>
                  <a:bodyPr/>
                  <a:lstStyle/>
                  <a:p>
                    <a:fld id="{0B0FEDE8-B508-4D43-A76E-B2F712D5E17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6227-4D66-B525-B36562E24864}"/>
                </c:ext>
              </c:extLst>
            </c:dLbl>
            <c:dLbl>
              <c:idx val="24"/>
              <c:tx>
                <c:rich>
                  <a:bodyPr/>
                  <a:lstStyle/>
                  <a:p>
                    <a:fld id="{68FFE087-C81F-49BA-B18E-7EA134D6EA8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6227-4D66-B525-B36562E24864}"/>
                </c:ext>
              </c:extLst>
            </c:dLbl>
            <c:dLbl>
              <c:idx val="25"/>
              <c:tx>
                <c:rich>
                  <a:bodyPr/>
                  <a:lstStyle/>
                  <a:p>
                    <a:fld id="{4238780D-F525-4F4D-94A8-941355B3989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6227-4D66-B525-B36562E24864}"/>
                </c:ext>
              </c:extLst>
            </c:dLbl>
            <c:dLbl>
              <c:idx val="26"/>
              <c:tx>
                <c:rich>
                  <a:bodyPr/>
                  <a:lstStyle/>
                  <a:p>
                    <a:fld id="{44E49C27-5E33-4509-A8E3-2F3383839B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6227-4D66-B525-B36562E2486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graf'!$AQ$44:$AQ$70</c:f>
              <c:numCache>
                <c:formatCode>General</c:formatCode>
                <c:ptCount val="2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6227-4D66-B525-B36562E24864}"/>
            </c:ext>
          </c:extLst>
        </c:ser>
        <c:ser>
          <c:idx val="0"/>
          <c:order val="2"/>
          <c:tx>
            <c:strRef>
              <c:f>'Prerađivačka_6 graf'!$AR$7</c:f>
              <c:strCache>
                <c:ptCount val="1"/>
                <c:pt idx="0">
                  <c:v>y</c:v>
                </c:pt>
              </c:strCache>
            </c:strRef>
          </c:tx>
          <c:spPr>
            <a:ln w="12700" cap="rnd">
              <a:solidFill>
                <a:srgbClr val="7F3F98"/>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graf'!$AR$44:$AR$70</c:f>
              <c:numCache>
                <c:formatCode>0.0</c:formatCode>
                <c:ptCount val="27"/>
                <c:pt idx="0">
                  <c:v>122.36856851837763</c:v>
                </c:pt>
                <c:pt idx="1">
                  <c:v>140.25719400093706</c:v>
                </c:pt>
                <c:pt idx="2">
                  <c:v>141.42384348893006</c:v>
                </c:pt>
                <c:pt idx="3">
                  <c:v>146.86820776623077</c:v>
                </c:pt>
                <c:pt idx="4">
                  <c:v>164.49757780701398</c:v>
                </c:pt>
                <c:pt idx="5">
                  <c:v>138.5720336293916</c:v>
                </c:pt>
                <c:pt idx="6">
                  <c:v>98.776323316741255</c:v>
                </c:pt>
                <c:pt idx="7">
                  <c:v>84.776529460825174</c:v>
                </c:pt>
                <c:pt idx="8">
                  <c:v>139.86831083827275</c:v>
                </c:pt>
                <c:pt idx="9">
                  <c:v>143.10900386047553</c:v>
                </c:pt>
                <c:pt idx="10">
                  <c:v>125.99814470324475</c:v>
                </c:pt>
                <c:pt idx="11">
                  <c:v>93.591214481216781</c:v>
                </c:pt>
                <c:pt idx="12">
                  <c:v>115.01182033096926</c:v>
                </c:pt>
                <c:pt idx="13">
                  <c:v>125.18918918918918</c:v>
                </c:pt>
                <c:pt idx="14">
                  <c:v>102.49266862170087</c:v>
                </c:pt>
                <c:pt idx="15">
                  <c:v>24</c:v>
                </c:pt>
                <c:pt idx="16">
                  <c:v>46.45989304812835</c:v>
                </c:pt>
                <c:pt idx="17">
                  <c:v>73.15508021390373</c:v>
                </c:pt>
                <c:pt idx="18">
                  <c:v>98.951871657753983</c:v>
                </c:pt>
                <c:pt idx="19">
                  <c:v>80.085561497326196</c:v>
                </c:pt>
                <c:pt idx="20">
                  <c:v>135.27272727272725</c:v>
                </c:pt>
                <c:pt idx="21">
                  <c:v>135.27272727272725</c:v>
                </c:pt>
                <c:pt idx="22">
                  <c:v>128.72727272727272</c:v>
                </c:pt>
                <c:pt idx="23">
                  <c:v>119.35828877005346</c:v>
                </c:pt>
                <c:pt idx="24">
                  <c:v>97.3</c:v>
                </c:pt>
                <c:pt idx="25">
                  <c:v>115.8</c:v>
                </c:pt>
                <c:pt idx="26">
                  <c:v>139.80000000000001</c:v>
                </c:pt>
              </c:numCache>
            </c:numRef>
          </c:val>
          <c:smooth val="0"/>
          <c:extLst>
            <c:ext xmlns:c16="http://schemas.microsoft.com/office/drawing/2014/chart" uri="{C3380CC4-5D6E-409C-BE32-E72D297353CC}">
              <c16:uniqueId val="{00000020-6227-4D66-B525-B36562E24864}"/>
            </c:ext>
          </c:extLst>
        </c:ser>
        <c:ser>
          <c:idx val="1"/>
          <c:order val="3"/>
          <c:tx>
            <c:strRef>
              <c:f>'Prerađivačka_6 graf'!$AS$7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graf'!$AS$44:$AS$70</c:f>
              <c:numCache>
                <c:formatCode>0.0</c:formatCode>
                <c:ptCount val="27"/>
                <c:pt idx="0">
                  <c:v>126.73981761504238</c:v>
                </c:pt>
                <c:pt idx="1">
                  <c:v>125.69584500997263</c:v>
                </c:pt>
                <c:pt idx="2">
                  <c:v>121.52786798874776</c:v>
                </c:pt>
                <c:pt idx="3">
                  <c:v>125.22976604758037</c:v>
                </c:pt>
                <c:pt idx="4">
                  <c:v>139.04127143527214</c:v>
                </c:pt>
                <c:pt idx="5">
                  <c:v>137.90295586892057</c:v>
                </c:pt>
                <c:pt idx="6">
                  <c:v>128.24766753407846</c:v>
                </c:pt>
                <c:pt idx="7">
                  <c:v>131.5766000941226</c:v>
                </c:pt>
                <c:pt idx="8">
                  <c:v>128.39244985251889</c:v>
                </c:pt>
                <c:pt idx="9">
                  <c:v>132.0549474989339</c:v>
                </c:pt>
                <c:pt idx="10">
                  <c:v>129.92418752860459</c:v>
                </c:pt>
                <c:pt idx="11">
                  <c:v>107.14723609150894</c:v>
                </c:pt>
                <c:pt idx="12">
                  <c:v>120.31516327239351</c:v>
                </c:pt>
                <c:pt idx="13">
                  <c:v>113.27416192898194</c:v>
                </c:pt>
                <c:pt idx="14">
                  <c:v>86.957613215422498</c:v>
                </c:pt>
                <c:pt idx="15">
                  <c:v>20.652964459227455</c:v>
                </c:pt>
                <c:pt idx="16">
                  <c:v>40.702171161542964</c:v>
                </c:pt>
                <c:pt idx="17">
                  <c:v>68.698186208872414</c:v>
                </c:pt>
                <c:pt idx="18">
                  <c:v>129.45809165606431</c:v>
                </c:pt>
                <c:pt idx="19">
                  <c:v>126.15558148934416</c:v>
                </c:pt>
                <c:pt idx="20">
                  <c:v>118.6495813625763</c:v>
                </c:pt>
                <c:pt idx="21">
                  <c:v>126.98506255028107</c:v>
                </c:pt>
                <c:pt idx="22">
                  <c:v>128.6083174872125</c:v>
                </c:pt>
                <c:pt idx="23">
                  <c:v>132.45098125787663</c:v>
                </c:pt>
                <c:pt idx="24">
                  <c:v>105.94127959036305</c:v>
                </c:pt>
                <c:pt idx="25">
                  <c:v>110.52397715942516</c:v>
                </c:pt>
                <c:pt idx="26">
                  <c:v>117.39643417701727</c:v>
                </c:pt>
              </c:numCache>
            </c:numRef>
          </c:val>
          <c:smooth val="0"/>
          <c:extLst>
            <c:ext xmlns:c16="http://schemas.microsoft.com/office/drawing/2014/chart" uri="{C3380CC4-5D6E-409C-BE32-E72D297353CC}">
              <c16:uniqueId val="{00000021-6227-4D66-B525-B36562E24864}"/>
            </c:ext>
          </c:extLst>
        </c:ser>
        <c:ser>
          <c:idx val="2"/>
          <c:order val="4"/>
          <c:tx>
            <c:strRef>
              <c:f>'Prerađivačka_6 graf'!$AT$7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graf'!$AT$44:$AT$70</c:f>
              <c:numCache>
                <c:formatCode>0.0</c:formatCode>
                <c:ptCount val="27"/>
                <c:pt idx="0">
                  <c:v>122.10230170791669</c:v>
                </c:pt>
                <c:pt idx="1">
                  <c:v>124.17788602887265</c:v>
                </c:pt>
                <c:pt idx="2">
                  <c:v>127.08533609376053</c:v>
                </c:pt>
                <c:pt idx="3">
                  <c:v>129.7767018084281</c:v>
                </c:pt>
                <c:pt idx="4">
                  <c:v>131.56217988229309</c:v>
                </c:pt>
                <c:pt idx="5">
                  <c:v>133.06789175860428</c:v>
                </c:pt>
                <c:pt idx="6">
                  <c:v>133.53591398600247</c:v>
                </c:pt>
                <c:pt idx="7">
                  <c:v>132.62570248759124</c:v>
                </c:pt>
                <c:pt idx="8">
                  <c:v>130.37287254521874</c:v>
                </c:pt>
                <c:pt idx="9">
                  <c:v>127.21934584258344</c:v>
                </c:pt>
                <c:pt idx="10">
                  <c:v>123.64603493489085</c:v>
                </c:pt>
                <c:pt idx="11">
                  <c:v>119.6714060658562</c:v>
                </c:pt>
                <c:pt idx="12">
                  <c:v>115.24765970382262</c:v>
                </c:pt>
                <c:pt idx="13">
                  <c:v>110.78267042419574</c:v>
                </c:pt>
                <c:pt idx="14">
                  <c:v>107.46286235142382</c:v>
                </c:pt>
                <c:pt idx="15">
                  <c:v>105.90111540537293</c:v>
                </c:pt>
                <c:pt idx="16">
                  <c:v>106.39473388979022</c:v>
                </c:pt>
                <c:pt idx="17">
                  <c:v>108.70968185840522</c:v>
                </c:pt>
                <c:pt idx="18">
                  <c:v>112.97961516745798</c:v>
                </c:pt>
                <c:pt idx="19">
                  <c:v>118.52990594038414</c:v>
                </c:pt>
                <c:pt idx="20">
                  <c:v>123.14237913232247</c:v>
                </c:pt>
                <c:pt idx="21">
                  <c:v>125.43261070933076</c:v>
                </c:pt>
                <c:pt idx="22">
                  <c:v>125.12367567045946</c:v>
                </c:pt>
                <c:pt idx="23">
                  <c:v>123.01486079158765</c:v>
                </c:pt>
                <c:pt idx="24">
                  <c:v>119.84761682050762</c:v>
                </c:pt>
                <c:pt idx="25">
                  <c:v>116.8562907822914</c:v>
                </c:pt>
                <c:pt idx="26">
                  <c:v>114.95163152226358</c:v>
                </c:pt>
              </c:numCache>
            </c:numRef>
          </c:val>
          <c:smooth val="0"/>
          <c:extLst>
            <c:ext xmlns:c16="http://schemas.microsoft.com/office/drawing/2014/chart" uri="{C3380CC4-5D6E-409C-BE32-E72D297353CC}">
              <c16:uniqueId val="{00000022-6227-4D66-B525-B36562E24864}"/>
            </c:ext>
          </c:extLst>
        </c:ser>
        <c:dLbls>
          <c:showLegendKey val="0"/>
          <c:showVal val="0"/>
          <c:showCatName val="0"/>
          <c:showSerName val="0"/>
          <c:showPercent val="0"/>
          <c:showBubbleSize val="0"/>
        </c:dLbls>
        <c:marker val="1"/>
        <c:smooth val="0"/>
        <c:axId val="2092167600"/>
        <c:axId val="2092172496"/>
      </c:lineChart>
      <c:dateAx>
        <c:axId val="20921676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72496"/>
        <c:crosses val="autoZero"/>
        <c:auto val="1"/>
        <c:lblOffset val="0"/>
        <c:baseTimeUnit val="months"/>
        <c:majorUnit val="12"/>
        <c:majorTimeUnit val="months"/>
      </c:dateAx>
      <c:valAx>
        <c:axId val="2092172496"/>
        <c:scaling>
          <c:orientation val="minMax"/>
          <c:max val="165"/>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6760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4012119030477561"/>
        </c:manualLayout>
      </c:layout>
      <c:lineChart>
        <c:grouping val="standard"/>
        <c:varyColors val="0"/>
        <c:ser>
          <c:idx val="3"/>
          <c:order val="0"/>
          <c:tx>
            <c:strRef>
              <c:f>'Prerađivačka_6 graf'!$Q$7</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3830697466139455"/>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1E6-4D9B-8FCC-1093790867F5}"/>
                </c:ext>
              </c:extLst>
            </c:dLbl>
            <c:dLbl>
              <c:idx val="12"/>
              <c:layout>
                <c:manualLayout>
                  <c:x val="0.13823917882906514"/>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1E6-4D9B-8FCC-1093790867F5}"/>
                </c:ext>
              </c:extLst>
            </c:dLbl>
            <c:dLbl>
              <c:idx val="24"/>
              <c:layout>
                <c:manualLayout>
                  <c:x val="-8.3132648786320897E-3"/>
                  <c:y val="3.657807807807807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1E6-4D9B-8FCC-1093790867F5}"/>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graf'!$Q$44:$Q$70</c:f>
              <c:numCache>
                <c:formatCode>General</c:formatCode>
                <c:ptCount val="27"/>
                <c:pt idx="0">
                  <c:v>0</c:v>
                </c:pt>
                <c:pt idx="12">
                  <c:v>0</c:v>
                </c:pt>
                <c:pt idx="24">
                  <c:v>0</c:v>
                </c:pt>
              </c:numCache>
            </c:numRef>
          </c:val>
          <c:smooth val="0"/>
          <c:extLst>
            <c:ext xmlns:c16="http://schemas.microsoft.com/office/drawing/2014/chart" uri="{C3380CC4-5D6E-409C-BE32-E72D297353CC}">
              <c16:uniqueId val="{00000003-31E6-4D9B-8FCC-1093790867F5}"/>
            </c:ext>
          </c:extLst>
        </c:ser>
        <c:ser>
          <c:idx val="4"/>
          <c:order val="1"/>
          <c:tx>
            <c:strRef>
              <c:f>'Prerađivačka_6 graf'!$R$7</c:f>
              <c:strCache>
                <c:ptCount val="1"/>
                <c:pt idx="0">
                  <c:v>Series5</c:v>
                </c:pt>
              </c:strCache>
            </c:strRef>
          </c:tx>
          <c:spPr>
            <a:ln w="25400" cap="rnd">
              <a:noFill/>
              <a:round/>
            </a:ln>
            <a:effectLst/>
          </c:spPr>
          <c:marker>
            <c:symbol val="none"/>
          </c:marker>
          <c:dLbls>
            <c:dLbl>
              <c:idx val="0"/>
              <c:tx>
                <c:rich>
                  <a:bodyPr/>
                  <a:lstStyle/>
                  <a:p>
                    <a:fld id="{4153C854-244A-4D6B-A371-4665A1D408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31E6-4D9B-8FCC-1093790867F5}"/>
                </c:ext>
              </c:extLst>
            </c:dLbl>
            <c:dLbl>
              <c:idx val="1"/>
              <c:tx>
                <c:rich>
                  <a:bodyPr/>
                  <a:lstStyle/>
                  <a:p>
                    <a:fld id="{960D1CA1-A7C7-4FA2-8CCD-AEC6FE0D3E4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31E6-4D9B-8FCC-1093790867F5}"/>
                </c:ext>
              </c:extLst>
            </c:dLbl>
            <c:dLbl>
              <c:idx val="2"/>
              <c:tx>
                <c:rich>
                  <a:bodyPr/>
                  <a:lstStyle/>
                  <a:p>
                    <a:fld id="{8ED8122B-EC17-43E4-AB9B-19118360770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31E6-4D9B-8FCC-1093790867F5}"/>
                </c:ext>
              </c:extLst>
            </c:dLbl>
            <c:dLbl>
              <c:idx val="3"/>
              <c:tx>
                <c:rich>
                  <a:bodyPr/>
                  <a:lstStyle/>
                  <a:p>
                    <a:fld id="{D977D104-FAE1-42B9-AD2B-D93453FCAED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31E6-4D9B-8FCC-1093790867F5}"/>
                </c:ext>
              </c:extLst>
            </c:dLbl>
            <c:dLbl>
              <c:idx val="4"/>
              <c:tx>
                <c:rich>
                  <a:bodyPr/>
                  <a:lstStyle/>
                  <a:p>
                    <a:fld id="{6E712FC4-8F9B-46BF-AAD3-F881C5E5C14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31E6-4D9B-8FCC-1093790867F5}"/>
                </c:ext>
              </c:extLst>
            </c:dLbl>
            <c:dLbl>
              <c:idx val="5"/>
              <c:tx>
                <c:rich>
                  <a:bodyPr/>
                  <a:lstStyle/>
                  <a:p>
                    <a:fld id="{86631B99-5674-4EE7-A84A-3E2E450041C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31E6-4D9B-8FCC-1093790867F5}"/>
                </c:ext>
              </c:extLst>
            </c:dLbl>
            <c:dLbl>
              <c:idx val="6"/>
              <c:tx>
                <c:rich>
                  <a:bodyPr/>
                  <a:lstStyle/>
                  <a:p>
                    <a:fld id="{9587F47E-A27F-41A7-B220-22C7E530890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31E6-4D9B-8FCC-1093790867F5}"/>
                </c:ext>
              </c:extLst>
            </c:dLbl>
            <c:dLbl>
              <c:idx val="7"/>
              <c:tx>
                <c:rich>
                  <a:bodyPr/>
                  <a:lstStyle/>
                  <a:p>
                    <a:fld id="{E47BBE12-3BCA-47D9-A3CA-2BA0F9CCA04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31E6-4D9B-8FCC-1093790867F5}"/>
                </c:ext>
              </c:extLst>
            </c:dLbl>
            <c:dLbl>
              <c:idx val="8"/>
              <c:tx>
                <c:rich>
                  <a:bodyPr/>
                  <a:lstStyle/>
                  <a:p>
                    <a:fld id="{38A6F5C7-7227-4500-BD11-E72BDBA3EBF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31E6-4D9B-8FCC-1093790867F5}"/>
                </c:ext>
              </c:extLst>
            </c:dLbl>
            <c:dLbl>
              <c:idx val="9"/>
              <c:tx>
                <c:rich>
                  <a:bodyPr/>
                  <a:lstStyle/>
                  <a:p>
                    <a:fld id="{B285C91E-5CE3-4015-AB9C-DB4B95E8DF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31E6-4D9B-8FCC-1093790867F5}"/>
                </c:ext>
              </c:extLst>
            </c:dLbl>
            <c:dLbl>
              <c:idx val="10"/>
              <c:tx>
                <c:rich>
                  <a:bodyPr/>
                  <a:lstStyle/>
                  <a:p>
                    <a:fld id="{F645DD93-0535-402A-B7B4-CB76C1B1D55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31E6-4D9B-8FCC-1093790867F5}"/>
                </c:ext>
              </c:extLst>
            </c:dLbl>
            <c:dLbl>
              <c:idx val="11"/>
              <c:tx>
                <c:rich>
                  <a:bodyPr/>
                  <a:lstStyle/>
                  <a:p>
                    <a:fld id="{9EFD4D4A-DFEF-44B1-B2F2-144137C3A12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31E6-4D9B-8FCC-1093790867F5}"/>
                </c:ext>
              </c:extLst>
            </c:dLbl>
            <c:dLbl>
              <c:idx val="12"/>
              <c:tx>
                <c:rich>
                  <a:bodyPr/>
                  <a:lstStyle/>
                  <a:p>
                    <a:fld id="{E45C3BF7-090F-47EB-9022-35AD921DE13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31E6-4D9B-8FCC-1093790867F5}"/>
                </c:ext>
              </c:extLst>
            </c:dLbl>
            <c:dLbl>
              <c:idx val="13"/>
              <c:tx>
                <c:rich>
                  <a:bodyPr/>
                  <a:lstStyle/>
                  <a:p>
                    <a:fld id="{095DB893-1379-4B35-93F0-E5941B3780C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31E6-4D9B-8FCC-1093790867F5}"/>
                </c:ext>
              </c:extLst>
            </c:dLbl>
            <c:dLbl>
              <c:idx val="14"/>
              <c:tx>
                <c:rich>
                  <a:bodyPr/>
                  <a:lstStyle/>
                  <a:p>
                    <a:fld id="{34379940-C230-4B4A-8B22-6306F1FE3FA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31E6-4D9B-8FCC-1093790867F5}"/>
                </c:ext>
              </c:extLst>
            </c:dLbl>
            <c:dLbl>
              <c:idx val="15"/>
              <c:tx>
                <c:rich>
                  <a:bodyPr/>
                  <a:lstStyle/>
                  <a:p>
                    <a:fld id="{DDC79002-1770-4986-8D0E-E0C5B703DCB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31E6-4D9B-8FCC-1093790867F5}"/>
                </c:ext>
              </c:extLst>
            </c:dLbl>
            <c:dLbl>
              <c:idx val="16"/>
              <c:tx>
                <c:rich>
                  <a:bodyPr/>
                  <a:lstStyle/>
                  <a:p>
                    <a:fld id="{DEEAB969-5BE6-4DD0-9BBB-594DFF3EDF4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31E6-4D9B-8FCC-1093790867F5}"/>
                </c:ext>
              </c:extLst>
            </c:dLbl>
            <c:dLbl>
              <c:idx val="17"/>
              <c:tx>
                <c:rich>
                  <a:bodyPr/>
                  <a:lstStyle/>
                  <a:p>
                    <a:fld id="{8E3589D8-AB62-42FF-B74F-70C111916B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31E6-4D9B-8FCC-1093790867F5}"/>
                </c:ext>
              </c:extLst>
            </c:dLbl>
            <c:dLbl>
              <c:idx val="18"/>
              <c:tx>
                <c:rich>
                  <a:bodyPr/>
                  <a:lstStyle/>
                  <a:p>
                    <a:fld id="{D327142D-66BD-4093-8A81-A9031204AFB7}"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31E6-4D9B-8FCC-1093790867F5}"/>
                </c:ext>
              </c:extLst>
            </c:dLbl>
            <c:dLbl>
              <c:idx val="19"/>
              <c:tx>
                <c:rich>
                  <a:bodyPr/>
                  <a:lstStyle/>
                  <a:p>
                    <a:fld id="{D97734DA-EAD8-4D3B-83B4-31579F472B9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31E6-4D9B-8FCC-1093790867F5}"/>
                </c:ext>
              </c:extLst>
            </c:dLbl>
            <c:dLbl>
              <c:idx val="20"/>
              <c:tx>
                <c:rich>
                  <a:bodyPr/>
                  <a:lstStyle/>
                  <a:p>
                    <a:fld id="{B71512B9-F334-461F-A928-EEC4A640DE6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31E6-4D9B-8FCC-1093790867F5}"/>
                </c:ext>
              </c:extLst>
            </c:dLbl>
            <c:dLbl>
              <c:idx val="21"/>
              <c:tx>
                <c:rich>
                  <a:bodyPr/>
                  <a:lstStyle/>
                  <a:p>
                    <a:fld id="{38AD366D-218B-435B-9FBC-58B4431401B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31E6-4D9B-8FCC-1093790867F5}"/>
                </c:ext>
              </c:extLst>
            </c:dLbl>
            <c:dLbl>
              <c:idx val="22"/>
              <c:tx>
                <c:rich>
                  <a:bodyPr/>
                  <a:lstStyle/>
                  <a:p>
                    <a:fld id="{FD7924E8-3FB0-4F0A-95D5-47B980B3BAB4}"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31E6-4D9B-8FCC-1093790867F5}"/>
                </c:ext>
              </c:extLst>
            </c:dLbl>
            <c:dLbl>
              <c:idx val="23"/>
              <c:tx>
                <c:rich>
                  <a:bodyPr/>
                  <a:lstStyle/>
                  <a:p>
                    <a:fld id="{E38F83A5-3A05-4E38-BF19-60CC21B1A5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31E6-4D9B-8FCC-1093790867F5}"/>
                </c:ext>
              </c:extLst>
            </c:dLbl>
            <c:dLbl>
              <c:idx val="24"/>
              <c:tx>
                <c:rich>
                  <a:bodyPr/>
                  <a:lstStyle/>
                  <a:p>
                    <a:fld id="{10C26254-B8B1-4FD9-8E15-DE99BF56ACA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31E6-4D9B-8FCC-1093790867F5}"/>
                </c:ext>
              </c:extLst>
            </c:dLbl>
            <c:dLbl>
              <c:idx val="25"/>
              <c:tx>
                <c:rich>
                  <a:bodyPr/>
                  <a:lstStyle/>
                  <a:p>
                    <a:fld id="{691A543A-8ABE-4249-803F-40059E95752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31E6-4D9B-8FCC-1093790867F5}"/>
                </c:ext>
              </c:extLst>
            </c:dLbl>
            <c:dLbl>
              <c:idx val="26"/>
              <c:tx>
                <c:rich>
                  <a:bodyPr/>
                  <a:lstStyle/>
                  <a:p>
                    <a:fld id="{40DB0177-37C6-4645-8EFD-149890F9012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31E6-4D9B-8FCC-1093790867F5}"/>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graf'!$R$44:$R$70</c:f>
              <c:numCache>
                <c:formatCode>General</c:formatCode>
                <c:ptCount val="2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numCache>
            </c:numRef>
          </c:val>
          <c:smooth val="0"/>
          <c:extLst>
            <c:ext xmlns:c15="http://schemas.microsoft.com/office/drawing/2012/chart" uri="{02D57815-91ED-43cb-92C2-25804820EDAC}">
              <c15:datalabelsRange>
                <c15:f>'Prerađivačka_6 graf'!$E$44:$E$70</c15:f>
                <c15:dlblRange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15:dlblRangeCache>
              </c15:datalabelsRange>
            </c:ext>
            <c:ext xmlns:c16="http://schemas.microsoft.com/office/drawing/2014/chart" uri="{C3380CC4-5D6E-409C-BE32-E72D297353CC}">
              <c16:uniqueId val="{0000001F-31E6-4D9B-8FCC-1093790867F5}"/>
            </c:ext>
          </c:extLst>
        </c:ser>
        <c:ser>
          <c:idx val="0"/>
          <c:order val="2"/>
          <c:tx>
            <c:strRef>
              <c:f>'Prerađivačka_6 graf'!$S$7</c:f>
              <c:strCache>
                <c:ptCount val="1"/>
                <c:pt idx="0">
                  <c:v>y</c:v>
                </c:pt>
              </c:strCache>
            </c:strRef>
          </c:tx>
          <c:spPr>
            <a:ln w="12700" cap="rnd">
              <a:solidFill>
                <a:srgbClr val="92278F"/>
              </a:solidFill>
              <a:prstDash val="sysDash"/>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graf'!$S$44:$S$70</c:f>
              <c:numCache>
                <c:formatCode>0.0</c:formatCode>
                <c:ptCount val="27"/>
                <c:pt idx="0">
                  <c:v>101.81870991293054</c:v>
                </c:pt>
                <c:pt idx="1">
                  <c:v>92.328009495514536</c:v>
                </c:pt>
                <c:pt idx="2">
                  <c:v>9.9033395659993229</c:v>
                </c:pt>
                <c:pt idx="3">
                  <c:v>34.145889545268503</c:v>
                </c:pt>
                <c:pt idx="4">
                  <c:v>94.803844387014365</c:v>
                </c:pt>
                <c:pt idx="5">
                  <c:v>74.481366319286579</c:v>
                </c:pt>
                <c:pt idx="6">
                  <c:v>123.37910542640824</c:v>
                </c:pt>
                <c:pt idx="7">
                  <c:v>118.73691500484607</c:v>
                </c:pt>
                <c:pt idx="8">
                  <c:v>123.37910542640824</c:v>
                </c:pt>
                <c:pt idx="9">
                  <c:v>119.35587372772103</c:v>
                </c:pt>
                <c:pt idx="10">
                  <c:v>119.45903351486685</c:v>
                </c:pt>
                <c:pt idx="11">
                  <c:v>107.69881778024266</c:v>
                </c:pt>
                <c:pt idx="12">
                  <c:v>98.342059336823738</c:v>
                </c:pt>
                <c:pt idx="13">
                  <c:v>91.025641025641022</c:v>
                </c:pt>
                <c:pt idx="14">
                  <c:v>101.73267326732673</c:v>
                </c:pt>
                <c:pt idx="15">
                  <c:v>64.090803078597531</c:v>
                </c:pt>
                <c:pt idx="16">
                  <c:v>81.536189069423926</c:v>
                </c:pt>
                <c:pt idx="17">
                  <c:v>107.47104097022469</c:v>
                </c:pt>
                <c:pt idx="18">
                  <c:v>110.08318432713986</c:v>
                </c:pt>
                <c:pt idx="19">
                  <c:v>103.27295343232528</c:v>
                </c:pt>
                <c:pt idx="20">
                  <c:v>113.81481769416153</c:v>
                </c:pt>
                <c:pt idx="21">
                  <c:v>114.93430770426805</c:v>
                </c:pt>
                <c:pt idx="22">
                  <c:v>102.80649926144756</c:v>
                </c:pt>
                <c:pt idx="23">
                  <c:v>110.92280183471973</c:v>
                </c:pt>
                <c:pt idx="24">
                  <c:v>112.7</c:v>
                </c:pt>
                <c:pt idx="25">
                  <c:v>113.6</c:v>
                </c:pt>
                <c:pt idx="26">
                  <c:v>41.1</c:v>
                </c:pt>
              </c:numCache>
            </c:numRef>
          </c:val>
          <c:smooth val="0"/>
          <c:extLst>
            <c:ext xmlns:c16="http://schemas.microsoft.com/office/drawing/2014/chart" uri="{C3380CC4-5D6E-409C-BE32-E72D297353CC}">
              <c16:uniqueId val="{00000020-31E6-4D9B-8FCC-1093790867F5}"/>
            </c:ext>
          </c:extLst>
        </c:ser>
        <c:ser>
          <c:idx val="1"/>
          <c:order val="3"/>
          <c:tx>
            <c:strRef>
              <c:f>'Prerađivačka_6 graf'!$T$7</c:f>
              <c:strCache>
                <c:ptCount val="1"/>
                <c:pt idx="0">
                  <c:v>sa</c:v>
                </c:pt>
              </c:strCache>
            </c:strRef>
          </c:tx>
          <c:spPr>
            <a:ln w="22225" cap="rnd">
              <a:solidFill>
                <a:srgbClr val="25AAE1"/>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graf'!$T$44:$T$70</c:f>
              <c:numCache>
                <c:formatCode>0.0</c:formatCode>
                <c:ptCount val="27"/>
                <c:pt idx="0">
                  <c:v>107.35543591006574</c:v>
                </c:pt>
                <c:pt idx="1">
                  <c:v>109.18786537671646</c:v>
                </c:pt>
                <c:pt idx="2">
                  <c:v>11.244949848942515</c:v>
                </c:pt>
                <c:pt idx="3">
                  <c:v>40.6031280562989</c:v>
                </c:pt>
                <c:pt idx="4">
                  <c:v>99.622282458877066</c:v>
                </c:pt>
                <c:pt idx="5">
                  <c:v>73.057134487176498</c:v>
                </c:pt>
                <c:pt idx="6">
                  <c:v>114.29959794482045</c:v>
                </c:pt>
                <c:pt idx="7">
                  <c:v>110.68482094734711</c:v>
                </c:pt>
                <c:pt idx="8">
                  <c:v>110.13899895194587</c:v>
                </c:pt>
                <c:pt idx="9">
                  <c:v>107.4788813203034</c:v>
                </c:pt>
                <c:pt idx="10">
                  <c:v>108.5097579787612</c:v>
                </c:pt>
                <c:pt idx="11">
                  <c:v>104.74842172033509</c:v>
                </c:pt>
                <c:pt idx="12">
                  <c:v>101.12624338734507</c:v>
                </c:pt>
                <c:pt idx="13">
                  <c:v>103.32566278184797</c:v>
                </c:pt>
                <c:pt idx="14">
                  <c:v>118.69247335117346</c:v>
                </c:pt>
                <c:pt idx="15">
                  <c:v>77.569335624208904</c:v>
                </c:pt>
                <c:pt idx="16">
                  <c:v>87.32722681161988</c:v>
                </c:pt>
                <c:pt idx="17">
                  <c:v>107.55826218640456</c:v>
                </c:pt>
                <c:pt idx="18">
                  <c:v>101.54792566542261</c:v>
                </c:pt>
                <c:pt idx="19">
                  <c:v>95.96752990897923</c:v>
                </c:pt>
                <c:pt idx="20">
                  <c:v>101.55703309672489</c:v>
                </c:pt>
                <c:pt idx="21">
                  <c:v>102.75392104520071</c:v>
                </c:pt>
                <c:pt idx="22">
                  <c:v>93.637338056204186</c:v>
                </c:pt>
                <c:pt idx="23">
                  <c:v>107.08952068668808</c:v>
                </c:pt>
                <c:pt idx="24">
                  <c:v>113.53024709103254</c:v>
                </c:pt>
                <c:pt idx="25">
                  <c:v>128.92523136240007</c:v>
                </c:pt>
                <c:pt idx="26">
                  <c:v>49.02146242259618</c:v>
                </c:pt>
              </c:numCache>
            </c:numRef>
          </c:val>
          <c:smooth val="0"/>
          <c:extLst>
            <c:ext xmlns:c16="http://schemas.microsoft.com/office/drawing/2014/chart" uri="{C3380CC4-5D6E-409C-BE32-E72D297353CC}">
              <c16:uniqueId val="{00000021-31E6-4D9B-8FCC-1093790867F5}"/>
            </c:ext>
          </c:extLst>
        </c:ser>
        <c:ser>
          <c:idx val="2"/>
          <c:order val="4"/>
          <c:tx>
            <c:strRef>
              <c:f>'Prerađivačka_6 graf'!$U$7</c:f>
              <c:strCache>
                <c:ptCount val="1"/>
                <c:pt idx="0">
                  <c:v>t</c:v>
                </c:pt>
              </c:strCache>
            </c:strRef>
          </c:tx>
          <c:spPr>
            <a:ln w="25400" cap="rnd">
              <a:solidFill>
                <a:srgbClr val="FF0000"/>
              </a:solidFill>
              <a:round/>
            </a:ln>
            <a:effectLst/>
          </c:spPr>
          <c:marker>
            <c:symbol val="none"/>
          </c:marker>
          <c:cat>
            <c:numRef>
              <c:f>'Prerađivačka_6 graf'!$C$44:$C$70</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numRef>
          </c:cat>
          <c:val>
            <c:numRef>
              <c:f>'Prerađivačka_6 graf'!$U$44:$U$70</c:f>
              <c:numCache>
                <c:formatCode>0.0</c:formatCode>
                <c:ptCount val="27"/>
                <c:pt idx="0">
                  <c:v>105.78456320331817</c:v>
                </c:pt>
                <c:pt idx="1">
                  <c:v>105.58056927322953</c:v>
                </c:pt>
                <c:pt idx="2">
                  <c:v>105.56534782816857</c:v>
                </c:pt>
                <c:pt idx="3">
                  <c:v>105.75989434108703</c:v>
                </c:pt>
                <c:pt idx="4">
                  <c:v>106.16303678206476</c:v>
                </c:pt>
                <c:pt idx="5">
                  <c:v>106.68620450475001</c:v>
                </c:pt>
                <c:pt idx="6">
                  <c:v>107.17801672741304</c:v>
                </c:pt>
                <c:pt idx="7">
                  <c:v>107.50511279366083</c:v>
                </c:pt>
                <c:pt idx="8">
                  <c:v>107.570802873039</c:v>
                </c:pt>
                <c:pt idx="9">
                  <c:v>107.34513822201271</c:v>
                </c:pt>
                <c:pt idx="10">
                  <c:v>106.81083942076413</c:v>
                </c:pt>
                <c:pt idx="11">
                  <c:v>106.02839561411885</c:v>
                </c:pt>
                <c:pt idx="12">
                  <c:v>105.07056209935644</c:v>
                </c:pt>
                <c:pt idx="13">
                  <c:v>103.99782061660542</c:v>
                </c:pt>
                <c:pt idx="14">
                  <c:v>102.96830162864978</c:v>
                </c:pt>
                <c:pt idx="15">
                  <c:v>102.14591551320351</c:v>
                </c:pt>
                <c:pt idx="16">
                  <c:v>101.6106380791099</c:v>
                </c:pt>
                <c:pt idx="17">
                  <c:v>101.37023842243293</c:v>
                </c:pt>
                <c:pt idx="18">
                  <c:v>101.35448535542437</c:v>
                </c:pt>
                <c:pt idx="19">
                  <c:v>101.44652680462046</c:v>
                </c:pt>
                <c:pt idx="20">
                  <c:v>101.54737578423646</c:v>
                </c:pt>
                <c:pt idx="21">
                  <c:v>101.54114826990104</c:v>
                </c:pt>
                <c:pt idx="22">
                  <c:v>101.32451587504136</c:v>
                </c:pt>
                <c:pt idx="23">
                  <c:v>100.82016161588129</c:v>
                </c:pt>
                <c:pt idx="24">
                  <c:v>100.0075411047534</c:v>
                </c:pt>
                <c:pt idx="25">
                  <c:v>98.900247905911286</c:v>
                </c:pt>
                <c:pt idx="26">
                  <c:v>97.536908724831321</c:v>
                </c:pt>
              </c:numCache>
            </c:numRef>
          </c:val>
          <c:smooth val="0"/>
          <c:extLst>
            <c:ext xmlns:c16="http://schemas.microsoft.com/office/drawing/2014/chart" uri="{C3380CC4-5D6E-409C-BE32-E72D297353CC}">
              <c16:uniqueId val="{00000022-31E6-4D9B-8FCC-1093790867F5}"/>
            </c:ext>
          </c:extLst>
        </c:ser>
        <c:dLbls>
          <c:showLegendKey val="0"/>
          <c:showVal val="0"/>
          <c:showCatName val="0"/>
          <c:showSerName val="0"/>
          <c:showPercent val="0"/>
          <c:showBubbleSize val="0"/>
        </c:dLbls>
        <c:marker val="1"/>
        <c:smooth val="0"/>
        <c:axId val="2092134960"/>
        <c:axId val="2092135504"/>
      </c:lineChart>
      <c:dateAx>
        <c:axId val="209213496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35504"/>
        <c:crosses val="autoZero"/>
        <c:auto val="1"/>
        <c:lblOffset val="0"/>
        <c:baseTimeUnit val="months"/>
        <c:majorUnit val="12"/>
        <c:majorTimeUnit val="months"/>
      </c:dateAx>
      <c:valAx>
        <c:axId val="2092135504"/>
        <c:scaling>
          <c:orientation val="minMax"/>
          <c:max val="14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34960"/>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4.2497000239980799E-2"/>
          <c:w val="0.88461960155100949"/>
          <c:h val="0.84012087087087106"/>
        </c:manualLayout>
      </c:layout>
      <c:lineChart>
        <c:grouping val="standard"/>
        <c:varyColors val="0"/>
        <c:ser>
          <c:idx val="0"/>
          <c:order val="0"/>
          <c:tx>
            <c:strRef>
              <c:f>Usluge!$G$2</c:f>
              <c:strCache>
                <c:ptCount val="1"/>
                <c:pt idx="0">
                  <c:v>Оригинални подаци</c:v>
                </c:pt>
              </c:strCache>
            </c:strRef>
          </c:tx>
          <c:spPr>
            <a:ln w="12700" cap="rnd">
              <a:solidFill>
                <a:srgbClr val="7F3F98"/>
              </a:solidFill>
              <a:prstDash val="sysDash"/>
              <a:round/>
            </a:ln>
            <a:effectLst/>
          </c:spPr>
          <c:marker>
            <c:symbol val="none"/>
          </c:marker>
          <c:cat>
            <c:numRef>
              <c:f>Usluge!$A$114:$A$152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Usluge!$G$114:$G$152</c:f>
              <c:numCache>
                <c:formatCode>0.0</c:formatCode>
                <c:ptCount val="27"/>
                <c:pt idx="0">
                  <c:v>80.124571783999997</c:v>
                </c:pt>
                <c:pt idx="1">
                  <c:v>78.181251946000003</c:v>
                </c:pt>
                <c:pt idx="2">
                  <c:v>90.738087823000001</c:v>
                </c:pt>
                <c:pt idx="3">
                  <c:v>93.578324508999998</c:v>
                </c:pt>
                <c:pt idx="4">
                  <c:v>93.653067579999998</c:v>
                </c:pt>
                <c:pt idx="5">
                  <c:v>96.194331984000002</c:v>
                </c:pt>
                <c:pt idx="6">
                  <c:v>99.632513235999994</c:v>
                </c:pt>
                <c:pt idx="7">
                  <c:v>102.099034569</c:v>
                </c:pt>
                <c:pt idx="8">
                  <c:v>97.091248832000005</c:v>
                </c:pt>
                <c:pt idx="9">
                  <c:v>103.967611336</c:v>
                </c:pt>
                <c:pt idx="10">
                  <c:v>101.276860791</c:v>
                </c:pt>
                <c:pt idx="11">
                  <c:v>111.292432264</c:v>
                </c:pt>
                <c:pt idx="12">
                  <c:v>89.542198691999999</c:v>
                </c:pt>
                <c:pt idx="13">
                  <c:v>88.720024914000007</c:v>
                </c:pt>
                <c:pt idx="14">
                  <c:v>95.596387418000006</c:v>
                </c:pt>
                <c:pt idx="15">
                  <c:v>77.209592026999999</c:v>
                </c:pt>
                <c:pt idx="16">
                  <c:v>98.511367175000004</c:v>
                </c:pt>
                <c:pt idx="17">
                  <c:v>107.405792588</c:v>
                </c:pt>
                <c:pt idx="18">
                  <c:v>104.715042043</c:v>
                </c:pt>
                <c:pt idx="19">
                  <c:v>106.957334164</c:v>
                </c:pt>
                <c:pt idx="20">
                  <c:v>105.08875739600001</c:v>
                </c:pt>
                <c:pt idx="21">
                  <c:v>110.769230769</c:v>
                </c:pt>
                <c:pt idx="22">
                  <c:v>103.145437558</c:v>
                </c:pt>
                <c:pt idx="23">
                  <c:v>112.338835254</c:v>
                </c:pt>
                <c:pt idx="24">
                  <c:v>92.531921519999997</c:v>
                </c:pt>
                <c:pt idx="25">
                  <c:v>91.410775459000007</c:v>
                </c:pt>
                <c:pt idx="26">
                  <c:v>100.97788850800001</c:v>
                </c:pt>
              </c:numCache>
              <c:extLst/>
            </c:numRef>
          </c:val>
          <c:smooth val="0"/>
          <c:extLst>
            <c:ext xmlns:c16="http://schemas.microsoft.com/office/drawing/2014/chart" uri="{C3380CC4-5D6E-409C-BE32-E72D297353CC}">
              <c16:uniqueId val="{00000000-9479-4AA1-BFB5-777D8FD35DDF}"/>
            </c:ext>
          </c:extLst>
        </c:ser>
        <c:ser>
          <c:idx val="1"/>
          <c:order val="1"/>
          <c:tx>
            <c:strRef>
              <c:f>Usluge!$H$2</c:f>
              <c:strCache>
                <c:ptCount val="1"/>
                <c:pt idx="0">
                  <c:v>Десезонирани подаци</c:v>
                </c:pt>
              </c:strCache>
            </c:strRef>
          </c:tx>
          <c:spPr>
            <a:ln w="22225" cap="rnd">
              <a:solidFill>
                <a:srgbClr val="25AAE1"/>
              </a:solidFill>
              <a:round/>
            </a:ln>
            <a:effectLst/>
          </c:spPr>
          <c:marker>
            <c:symbol val="none"/>
          </c:marker>
          <c:cat>
            <c:numRef>
              <c:f>Usluge!$A$114:$A$152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Usluge!$H$114:$H$152</c:f>
              <c:numCache>
                <c:formatCode>0.0</c:formatCode>
                <c:ptCount val="27"/>
                <c:pt idx="0">
                  <c:v>91.278123890000003</c:v>
                </c:pt>
                <c:pt idx="1">
                  <c:v>91.898516142999995</c:v>
                </c:pt>
                <c:pt idx="2">
                  <c:v>94.771578851000001</c:v>
                </c:pt>
                <c:pt idx="3">
                  <c:v>92.576390298000007</c:v>
                </c:pt>
                <c:pt idx="4">
                  <c:v>93.730510460999994</c:v>
                </c:pt>
                <c:pt idx="5">
                  <c:v>95.361320254999995</c:v>
                </c:pt>
                <c:pt idx="6">
                  <c:v>96.069854852000006</c:v>
                </c:pt>
                <c:pt idx="7">
                  <c:v>96.066731844000003</c:v>
                </c:pt>
                <c:pt idx="8">
                  <c:v>96.979876150999999</c:v>
                </c:pt>
                <c:pt idx="9">
                  <c:v>98.176660877000003</c:v>
                </c:pt>
                <c:pt idx="10">
                  <c:v>99.706758565000001</c:v>
                </c:pt>
                <c:pt idx="11">
                  <c:v>100.37472162</c:v>
                </c:pt>
                <c:pt idx="12">
                  <c:v>101.181547194</c:v>
                </c:pt>
                <c:pt idx="13">
                  <c:v>101.302683551</c:v>
                </c:pt>
                <c:pt idx="14">
                  <c:v>100.556151098</c:v>
                </c:pt>
                <c:pt idx="15">
                  <c:v>76.538532439999997</c:v>
                </c:pt>
                <c:pt idx="16">
                  <c:v>99.456685675000003</c:v>
                </c:pt>
                <c:pt idx="17">
                  <c:v>105.736267376</c:v>
                </c:pt>
                <c:pt idx="18">
                  <c:v>101.176528425</c:v>
                </c:pt>
                <c:pt idx="19">
                  <c:v>101.98170503999999</c:v>
                </c:pt>
                <c:pt idx="20">
                  <c:v>103.84840520100001</c:v>
                </c:pt>
                <c:pt idx="21">
                  <c:v>103.735356594</c:v>
                </c:pt>
                <c:pt idx="22">
                  <c:v>103.301726496</c:v>
                </c:pt>
                <c:pt idx="23">
                  <c:v>100.359488505</c:v>
                </c:pt>
                <c:pt idx="24">
                  <c:v>104.979730867</c:v>
                </c:pt>
                <c:pt idx="25">
                  <c:v>106.533822052</c:v>
                </c:pt>
                <c:pt idx="26">
                  <c:v>105.020125073</c:v>
                </c:pt>
              </c:numCache>
              <c:extLst/>
            </c:numRef>
          </c:val>
          <c:smooth val="0"/>
          <c:extLst>
            <c:ext xmlns:c16="http://schemas.microsoft.com/office/drawing/2014/chart" uri="{C3380CC4-5D6E-409C-BE32-E72D297353CC}">
              <c16:uniqueId val="{00000001-9479-4AA1-BFB5-777D8FD35DDF}"/>
            </c:ext>
          </c:extLst>
        </c:ser>
        <c:ser>
          <c:idx val="2"/>
          <c:order val="2"/>
          <c:tx>
            <c:strRef>
              <c:f>Usluge!$I$2</c:f>
              <c:strCache>
                <c:ptCount val="1"/>
                <c:pt idx="0">
                  <c:v>Тренд циклус</c:v>
                </c:pt>
              </c:strCache>
            </c:strRef>
          </c:tx>
          <c:spPr>
            <a:ln w="25400" cap="rnd">
              <a:solidFill>
                <a:srgbClr val="FF0000"/>
              </a:solidFill>
              <a:round/>
            </a:ln>
            <a:effectLst/>
          </c:spPr>
          <c:marker>
            <c:symbol val="none"/>
          </c:marker>
          <c:cat>
            <c:numRef>
              <c:f>Usluge!$A$114:$A$152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Usluge!$I$114:$I$152</c:f>
              <c:numCache>
                <c:formatCode>0.0</c:formatCode>
                <c:ptCount val="27"/>
                <c:pt idx="0">
                  <c:v>91.030133418999995</c:v>
                </c:pt>
                <c:pt idx="1">
                  <c:v>91.819847652999997</c:v>
                </c:pt>
                <c:pt idx="2">
                  <c:v>92.637673363000005</c:v>
                </c:pt>
                <c:pt idx="3">
                  <c:v>93.403821629999996</c:v>
                </c:pt>
                <c:pt idx="4">
                  <c:v>94.114211241000007</c:v>
                </c:pt>
                <c:pt idx="5">
                  <c:v>94.835722020999995</c:v>
                </c:pt>
                <c:pt idx="6">
                  <c:v>95.605973868999996</c:v>
                </c:pt>
                <c:pt idx="7">
                  <c:v>96.465093529000001</c:v>
                </c:pt>
                <c:pt idx="8">
                  <c:v>97.425999859000001</c:v>
                </c:pt>
                <c:pt idx="9">
                  <c:v>98.431075219999997</c:v>
                </c:pt>
                <c:pt idx="10">
                  <c:v>99.390858477999998</c:v>
                </c:pt>
                <c:pt idx="11">
                  <c:v>100.199189305</c:v>
                </c:pt>
                <c:pt idx="12">
                  <c:v>100.746026786</c:v>
                </c:pt>
                <c:pt idx="13">
                  <c:v>100.984303809</c:v>
                </c:pt>
                <c:pt idx="14">
                  <c:v>100.970861325</c:v>
                </c:pt>
                <c:pt idx="15">
                  <c:v>100.894683336</c:v>
                </c:pt>
                <c:pt idx="16">
                  <c:v>100.955921554</c:v>
                </c:pt>
                <c:pt idx="17">
                  <c:v>101.252028642</c:v>
                </c:pt>
                <c:pt idx="18">
                  <c:v>101.73325802399999</c:v>
                </c:pt>
                <c:pt idx="19">
                  <c:v>102.28685562699999</c:v>
                </c:pt>
                <c:pt idx="20">
                  <c:v>102.84964394399999</c:v>
                </c:pt>
                <c:pt idx="21">
                  <c:v>103.373744763</c:v>
                </c:pt>
                <c:pt idx="22">
                  <c:v>103.85595054700001</c:v>
                </c:pt>
                <c:pt idx="23">
                  <c:v>104.29844505600001</c:v>
                </c:pt>
                <c:pt idx="24">
                  <c:v>104.741277238</c:v>
                </c:pt>
                <c:pt idx="25">
                  <c:v>105.20256624699999</c:v>
                </c:pt>
                <c:pt idx="26">
                  <c:v>105.71529861800001</c:v>
                </c:pt>
              </c:numCache>
              <c:extLst/>
            </c:numRef>
          </c:val>
          <c:smooth val="0"/>
          <c:extLst>
            <c:ext xmlns:c16="http://schemas.microsoft.com/office/drawing/2014/chart" uri="{C3380CC4-5D6E-409C-BE32-E72D297353CC}">
              <c16:uniqueId val="{00000002-9479-4AA1-BFB5-777D8FD35DDF}"/>
            </c:ext>
          </c:extLst>
        </c:ser>
        <c:ser>
          <c:idx val="3"/>
          <c:order val="3"/>
          <c:spPr>
            <a:ln w="28575" cap="rnd">
              <a:noFill/>
              <a:round/>
            </a:ln>
            <a:effectLst/>
          </c:spPr>
          <c:marker>
            <c:symbol val="square"/>
            <c:size val="2"/>
            <c:spPr>
              <a:solidFill>
                <a:sysClr val="window" lastClr="FFFFFF"/>
              </a:solidFill>
              <a:ln w="9525">
                <a:noFill/>
              </a:ln>
              <a:effectLst/>
            </c:spPr>
          </c:marker>
          <c:dLbls>
            <c:dLbl>
              <c:idx val="0"/>
              <c:layout>
                <c:manualLayout>
                  <c:x val="0.1294112827036713"/>
                  <c:y val="7.4911411411411416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479-4AA1-BFB5-777D8FD35DDF}"/>
                </c:ext>
              </c:extLst>
            </c:dLbl>
            <c:dLbl>
              <c:idx val="12"/>
              <c:layout>
                <c:manualLayout>
                  <c:x val="0.1337433592707028"/>
                  <c:y val="7.735810810810811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479-4AA1-BFB5-777D8FD35DDF}"/>
                </c:ext>
              </c:extLst>
            </c:dLbl>
            <c:dLbl>
              <c:idx val="24"/>
              <c:layout>
                <c:manualLayout>
                  <c:x val="-1.2827835284567468E-2"/>
                  <c:y val="7.735810810810811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479-4AA1-BFB5-777D8FD35DDF}"/>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Usluge!$A$114:$A$152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Usluge!$B$114:$B$152</c:f>
              <c:numCache>
                <c:formatCode>General</c:formatCode>
                <c:ptCount val="27"/>
                <c:pt idx="0">
                  <c:v>70</c:v>
                </c:pt>
                <c:pt idx="12">
                  <c:v>70</c:v>
                </c:pt>
                <c:pt idx="24">
                  <c:v>70</c:v>
                </c:pt>
              </c:numCache>
              <c:extLst/>
            </c:numRef>
          </c:val>
          <c:smooth val="0"/>
          <c:extLst>
            <c:ext xmlns:c16="http://schemas.microsoft.com/office/drawing/2014/chart" uri="{C3380CC4-5D6E-409C-BE32-E72D297353CC}">
              <c16:uniqueId val="{00000006-9479-4AA1-BFB5-777D8FD35DDF}"/>
            </c:ext>
          </c:extLst>
        </c:ser>
        <c:dLbls>
          <c:showLegendKey val="0"/>
          <c:showVal val="0"/>
          <c:showCatName val="0"/>
          <c:showSerName val="0"/>
          <c:showPercent val="0"/>
          <c:showBubbleSize val="0"/>
        </c:dLbls>
        <c:marker val="1"/>
        <c:smooth val="0"/>
        <c:axId val="2092186640"/>
        <c:axId val="2092182288"/>
      </c:lineChart>
      <c:lineChart>
        <c:grouping val="standard"/>
        <c:varyColors val="0"/>
        <c:ser>
          <c:idx val="4"/>
          <c:order val="4"/>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Usluge!$E$114:$E$152</c:f>
              <c:str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strCache>
              <c:extLst/>
            </c:strRef>
          </c:cat>
          <c:val>
            <c:numRef>
              <c:f>Usluge!$C$114:$C$152</c:f>
              <c:numCache>
                <c:formatCode>General</c:formatCode>
                <c:ptCount val="27"/>
                <c:pt idx="0">
                  <c:v>70</c:v>
                </c:pt>
                <c:pt idx="1">
                  <c:v>70</c:v>
                </c:pt>
                <c:pt idx="2">
                  <c:v>70</c:v>
                </c:pt>
                <c:pt idx="3">
                  <c:v>70</c:v>
                </c:pt>
                <c:pt idx="4">
                  <c:v>70</c:v>
                </c:pt>
                <c:pt idx="5">
                  <c:v>70</c:v>
                </c:pt>
                <c:pt idx="6">
                  <c:v>70</c:v>
                </c:pt>
                <c:pt idx="7">
                  <c:v>70</c:v>
                </c:pt>
                <c:pt idx="8">
                  <c:v>70</c:v>
                </c:pt>
                <c:pt idx="9">
                  <c:v>70</c:v>
                </c:pt>
                <c:pt idx="10">
                  <c:v>70</c:v>
                </c:pt>
                <c:pt idx="11">
                  <c:v>70</c:v>
                </c:pt>
                <c:pt idx="12">
                  <c:v>70</c:v>
                </c:pt>
                <c:pt idx="13">
                  <c:v>70</c:v>
                </c:pt>
                <c:pt idx="14">
                  <c:v>70</c:v>
                </c:pt>
                <c:pt idx="15">
                  <c:v>70</c:v>
                </c:pt>
                <c:pt idx="16">
                  <c:v>70</c:v>
                </c:pt>
                <c:pt idx="17">
                  <c:v>70</c:v>
                </c:pt>
                <c:pt idx="18">
                  <c:v>70</c:v>
                </c:pt>
                <c:pt idx="19">
                  <c:v>70</c:v>
                </c:pt>
                <c:pt idx="20">
                  <c:v>70</c:v>
                </c:pt>
                <c:pt idx="21">
                  <c:v>70</c:v>
                </c:pt>
                <c:pt idx="22">
                  <c:v>70</c:v>
                </c:pt>
                <c:pt idx="23">
                  <c:v>70</c:v>
                </c:pt>
                <c:pt idx="24">
                  <c:v>70</c:v>
                </c:pt>
                <c:pt idx="25">
                  <c:v>70</c:v>
                </c:pt>
                <c:pt idx="26">
                  <c:v>70</c:v>
                </c:pt>
              </c:numCache>
              <c:extLst/>
            </c:numRef>
          </c:val>
          <c:smooth val="0"/>
          <c:extLst>
            <c:ext xmlns:c16="http://schemas.microsoft.com/office/drawing/2014/chart" uri="{C3380CC4-5D6E-409C-BE32-E72D297353CC}">
              <c16:uniqueId val="{00000007-9479-4AA1-BFB5-777D8FD35DDF}"/>
            </c:ext>
          </c:extLst>
        </c:ser>
        <c:dLbls>
          <c:showLegendKey val="0"/>
          <c:showVal val="0"/>
          <c:showCatName val="0"/>
          <c:showSerName val="0"/>
          <c:showPercent val="0"/>
          <c:showBubbleSize val="0"/>
        </c:dLbls>
        <c:marker val="1"/>
        <c:smooth val="0"/>
        <c:axId val="2092184464"/>
        <c:axId val="2092183376"/>
      </c:lineChart>
      <c:dateAx>
        <c:axId val="209218664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2092182288"/>
        <c:crosses val="autoZero"/>
        <c:auto val="1"/>
        <c:lblOffset val="0"/>
        <c:baseTimeUnit val="months"/>
      </c:dateAx>
      <c:valAx>
        <c:axId val="2092182288"/>
        <c:scaling>
          <c:orientation val="minMax"/>
          <c:max val="120"/>
          <c:min val="7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6640"/>
        <c:crosses val="autoZero"/>
        <c:crossBetween val="midCat"/>
      </c:valAx>
      <c:valAx>
        <c:axId val="2092183376"/>
        <c:scaling>
          <c:orientation val="minMax"/>
          <c:max val="120"/>
          <c:min val="70"/>
        </c:scaling>
        <c:delete val="0"/>
        <c:axPos val="r"/>
        <c:numFmt formatCode="General"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4464"/>
        <c:crosses val="max"/>
        <c:crossBetween val="midCat"/>
      </c:valAx>
      <c:catAx>
        <c:axId val="2092184464"/>
        <c:scaling>
          <c:orientation val="minMax"/>
        </c:scaling>
        <c:delete val="0"/>
        <c:axPos val="t"/>
        <c:numFmt formatCode="General" sourceLinked="1"/>
        <c:majorTickMark val="out"/>
        <c:minorTickMark val="none"/>
        <c:tickLblPos val="none"/>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83376"/>
        <c:crosses val="max"/>
        <c:auto val="1"/>
        <c:lblAlgn val="ctr"/>
        <c:lblOffset val="100"/>
        <c:noMultiLvlLbl val="0"/>
      </c:cat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69410569105691"/>
          <c:y val="5.8005314731772131E-2"/>
          <c:w val="0.83454945799457991"/>
          <c:h val="0.75134444444444448"/>
        </c:manualLayout>
      </c:layout>
      <c:lineChart>
        <c:grouping val="standard"/>
        <c:varyColors val="0"/>
        <c:ser>
          <c:idx val="0"/>
          <c:order val="0"/>
          <c:tx>
            <c:strRef>
              <c:f>'Commodities 2'!$N$89</c:f>
              <c:strCache>
                <c:ptCount val="1"/>
                <c:pt idx="0">
                  <c:v>Храна</c:v>
                </c:pt>
              </c:strCache>
            </c:strRef>
          </c:tx>
          <c:spPr>
            <a:ln w="22225" cap="rnd">
              <a:solidFill>
                <a:srgbClr val="00A651"/>
              </a:solidFill>
              <a:round/>
            </a:ln>
            <a:effectLst/>
          </c:spPr>
          <c:marker>
            <c:symbol val="none"/>
          </c:marker>
          <c:cat>
            <c:numRef>
              <c:f>'Commodities 2'!$J$130:$J$135</c:f>
              <c:numCache>
                <c:formatCode>General</c:formatCode>
                <c:ptCount val="6"/>
                <c:pt idx="0">
                  <c:v>2019</c:v>
                </c:pt>
                <c:pt idx="1">
                  <c:v>2020</c:v>
                </c:pt>
                <c:pt idx="2">
                  <c:v>2021</c:v>
                </c:pt>
                <c:pt idx="3">
                  <c:v>2022</c:v>
                </c:pt>
                <c:pt idx="4">
                  <c:v>2023</c:v>
                </c:pt>
                <c:pt idx="5">
                  <c:v>2024</c:v>
                </c:pt>
              </c:numCache>
            </c:numRef>
          </c:cat>
          <c:val>
            <c:numRef>
              <c:f>'Commodities 2'!$N$130:$N$135</c:f>
              <c:numCache>
                <c:formatCode>0.0</c:formatCode>
                <c:ptCount val="6"/>
                <c:pt idx="0">
                  <c:v>100</c:v>
                </c:pt>
                <c:pt idx="1">
                  <c:v>101.65844822381001</c:v>
                </c:pt>
                <c:pt idx="2">
                  <c:v>115.804568783335</c:v>
                </c:pt>
                <c:pt idx="3">
                  <c:v>113.51112005635504</c:v>
                </c:pt>
                <c:pt idx="4">
                  <c:v>112.92241119050016</c:v>
                </c:pt>
                <c:pt idx="5">
                  <c:v>112.99184864647277</c:v>
                </c:pt>
              </c:numCache>
            </c:numRef>
          </c:val>
          <c:smooth val="0"/>
          <c:extLst>
            <c:ext xmlns:c16="http://schemas.microsoft.com/office/drawing/2014/chart" uri="{C3380CC4-5D6E-409C-BE32-E72D297353CC}">
              <c16:uniqueId val="{00000000-6FB7-4519-A3D0-5FA8D1423915}"/>
            </c:ext>
          </c:extLst>
        </c:ser>
        <c:ser>
          <c:idx val="1"/>
          <c:order val="1"/>
          <c:tx>
            <c:strRef>
              <c:f>'Commodities 2'!$O$89</c:f>
              <c:strCache>
                <c:ptCount val="1"/>
                <c:pt idx="0">
                  <c:v>Метали</c:v>
                </c:pt>
              </c:strCache>
            </c:strRef>
          </c:tx>
          <c:spPr>
            <a:ln w="22225" cap="rnd">
              <a:solidFill>
                <a:srgbClr val="EC008C"/>
              </a:solidFill>
              <a:round/>
            </a:ln>
            <a:effectLst/>
          </c:spPr>
          <c:marker>
            <c:symbol val="none"/>
          </c:marker>
          <c:cat>
            <c:numRef>
              <c:f>'Commodities 2'!$J$130:$J$135</c:f>
              <c:numCache>
                <c:formatCode>General</c:formatCode>
                <c:ptCount val="6"/>
                <c:pt idx="0">
                  <c:v>2019</c:v>
                </c:pt>
                <c:pt idx="1">
                  <c:v>2020</c:v>
                </c:pt>
                <c:pt idx="2">
                  <c:v>2021</c:v>
                </c:pt>
                <c:pt idx="3">
                  <c:v>2022</c:v>
                </c:pt>
                <c:pt idx="4">
                  <c:v>2023</c:v>
                </c:pt>
                <c:pt idx="5">
                  <c:v>2024</c:v>
                </c:pt>
              </c:numCache>
            </c:numRef>
          </c:cat>
          <c:val>
            <c:numRef>
              <c:f>'Commodities 2'!$O$130:$O$135</c:f>
              <c:numCache>
                <c:formatCode>0.0</c:formatCode>
                <c:ptCount val="6"/>
                <c:pt idx="0">
                  <c:v>100</c:v>
                </c:pt>
                <c:pt idx="1">
                  <c:v>103.502253669151</c:v>
                </c:pt>
                <c:pt idx="2">
                  <c:v>136.73221673710154</c:v>
                </c:pt>
                <c:pt idx="3">
                  <c:v>130.60845366471028</c:v>
                </c:pt>
                <c:pt idx="4">
                  <c:v>130.04078067987535</c:v>
                </c:pt>
                <c:pt idx="5">
                  <c:v>129.52713654496608</c:v>
                </c:pt>
              </c:numCache>
            </c:numRef>
          </c:val>
          <c:smooth val="0"/>
          <c:extLst>
            <c:ext xmlns:c16="http://schemas.microsoft.com/office/drawing/2014/chart" uri="{C3380CC4-5D6E-409C-BE32-E72D297353CC}">
              <c16:uniqueId val="{00000001-6FB7-4519-A3D0-5FA8D1423915}"/>
            </c:ext>
          </c:extLst>
        </c:ser>
        <c:ser>
          <c:idx val="2"/>
          <c:order val="2"/>
          <c:tx>
            <c:strRef>
              <c:f>'Commodities 2'!$P$89</c:f>
              <c:strCache>
                <c:ptCount val="1"/>
                <c:pt idx="0">
                  <c:v>Просечна цена нафте</c:v>
                </c:pt>
              </c:strCache>
            </c:strRef>
          </c:tx>
          <c:spPr>
            <a:ln w="22225" cap="rnd">
              <a:solidFill>
                <a:srgbClr val="003891"/>
              </a:solidFill>
              <a:round/>
            </a:ln>
            <a:effectLst/>
          </c:spPr>
          <c:marker>
            <c:symbol val="none"/>
          </c:marker>
          <c:cat>
            <c:numRef>
              <c:f>'Commodities 2'!$J$130:$J$135</c:f>
              <c:numCache>
                <c:formatCode>General</c:formatCode>
                <c:ptCount val="6"/>
                <c:pt idx="0">
                  <c:v>2019</c:v>
                </c:pt>
                <c:pt idx="1">
                  <c:v>2020</c:v>
                </c:pt>
                <c:pt idx="2">
                  <c:v>2021</c:v>
                </c:pt>
                <c:pt idx="3">
                  <c:v>2022</c:v>
                </c:pt>
                <c:pt idx="4">
                  <c:v>2023</c:v>
                </c:pt>
                <c:pt idx="5">
                  <c:v>2024</c:v>
                </c:pt>
              </c:numCache>
            </c:numRef>
          </c:cat>
          <c:val>
            <c:numRef>
              <c:f>'Commodities 2'!$P$130:$P$135</c:f>
              <c:numCache>
                <c:formatCode>0.0</c:formatCode>
                <c:ptCount val="6"/>
                <c:pt idx="0">
                  <c:v>100</c:v>
                </c:pt>
                <c:pt idx="1">
                  <c:v>67.25176365613585</c:v>
                </c:pt>
                <c:pt idx="2">
                  <c:v>95.310626551041452</c:v>
                </c:pt>
                <c:pt idx="3">
                  <c:v>89.309316008142105</c:v>
                </c:pt>
                <c:pt idx="4">
                  <c:v>85.578451328667427</c:v>
                </c:pt>
                <c:pt idx="5">
                  <c:v>83.570811142403031</c:v>
                </c:pt>
              </c:numCache>
            </c:numRef>
          </c:val>
          <c:smooth val="0"/>
          <c:extLst>
            <c:ext xmlns:c16="http://schemas.microsoft.com/office/drawing/2014/chart" uri="{C3380CC4-5D6E-409C-BE32-E72D297353CC}">
              <c16:uniqueId val="{00000002-6FB7-4519-A3D0-5FA8D1423915}"/>
            </c:ext>
          </c:extLst>
        </c:ser>
        <c:ser>
          <c:idx val="3"/>
          <c:order val="3"/>
          <c:tx>
            <c:strRef>
              <c:f>'Commodities 2'!$Q$89</c:f>
              <c:strCache>
                <c:ptCount val="1"/>
                <c:pt idx="0">
                  <c:v> </c:v>
                </c:pt>
              </c:strCache>
            </c:strRef>
          </c:tx>
          <c:spPr>
            <a:ln w="28575" cap="rnd">
              <a:noFill/>
              <a:round/>
            </a:ln>
            <a:effectLst/>
          </c:spPr>
          <c:marker>
            <c:symbol val="square"/>
            <c:size val="2"/>
            <c:spPr>
              <a:solidFill>
                <a:schemeClr val="bg1"/>
              </a:solidFill>
              <a:ln w="9525">
                <a:noFill/>
              </a:ln>
              <a:effectLst/>
            </c:spPr>
          </c:marker>
          <c:cat>
            <c:numRef>
              <c:f>'Commodities 2'!$J$130:$J$135</c:f>
              <c:numCache>
                <c:formatCode>General</c:formatCode>
                <c:ptCount val="6"/>
                <c:pt idx="0">
                  <c:v>2019</c:v>
                </c:pt>
                <c:pt idx="1">
                  <c:v>2020</c:v>
                </c:pt>
                <c:pt idx="2">
                  <c:v>2021</c:v>
                </c:pt>
                <c:pt idx="3">
                  <c:v>2022</c:v>
                </c:pt>
                <c:pt idx="4">
                  <c:v>2023</c:v>
                </c:pt>
                <c:pt idx="5">
                  <c:v>2024</c:v>
                </c:pt>
              </c:numCache>
            </c:numRef>
          </c:cat>
          <c:val>
            <c:numRef>
              <c:f>'Commodities 2'!$Q$130:$Q$135</c:f>
              <c:numCache>
                <c:formatCode>General</c:formatCode>
                <c:ptCount val="6"/>
                <c:pt idx="0">
                  <c:v>60</c:v>
                </c:pt>
                <c:pt idx="1">
                  <c:v>60</c:v>
                </c:pt>
                <c:pt idx="2">
                  <c:v>60</c:v>
                </c:pt>
                <c:pt idx="3">
                  <c:v>60</c:v>
                </c:pt>
                <c:pt idx="4">
                  <c:v>60</c:v>
                </c:pt>
                <c:pt idx="5">
                  <c:v>60</c:v>
                </c:pt>
              </c:numCache>
            </c:numRef>
          </c:val>
          <c:smooth val="0"/>
          <c:extLst>
            <c:ext xmlns:c16="http://schemas.microsoft.com/office/drawing/2014/chart" uri="{C3380CC4-5D6E-409C-BE32-E72D297353CC}">
              <c16:uniqueId val="{00000003-6FB7-4519-A3D0-5FA8D1423915}"/>
            </c:ext>
          </c:extLst>
        </c:ser>
        <c:dLbls>
          <c:showLegendKey val="0"/>
          <c:showVal val="0"/>
          <c:showCatName val="0"/>
          <c:showSerName val="0"/>
          <c:showPercent val="0"/>
          <c:showBubbleSize val="0"/>
        </c:dLbls>
        <c:smooth val="0"/>
        <c:axId val="1767812416"/>
        <c:axId val="1767804256"/>
      </c:lineChart>
      <c:catAx>
        <c:axId val="176781241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7804256"/>
        <c:crosses val="autoZero"/>
        <c:auto val="1"/>
        <c:lblAlgn val="ctr"/>
        <c:lblOffset val="100"/>
        <c:noMultiLvlLbl val="0"/>
      </c:catAx>
      <c:valAx>
        <c:axId val="1767804256"/>
        <c:scaling>
          <c:orientation val="minMax"/>
          <c:max val="140"/>
          <c:min val="6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7812416"/>
        <c:crosses val="autoZero"/>
        <c:crossBetween val="midCat"/>
        <c:majorUnit val="10"/>
      </c:valAx>
      <c:spPr>
        <a:noFill/>
        <a:ln>
          <a:noFill/>
        </a:ln>
        <a:effectLst/>
      </c:spPr>
    </c:plotArea>
    <c:legend>
      <c:legendPos val="b"/>
      <c:legendEntry>
        <c:idx val="3"/>
        <c:delete val="1"/>
      </c:legendEntry>
      <c:layout>
        <c:manualLayout>
          <c:xMode val="edge"/>
          <c:yMode val="edge"/>
          <c:x val="5.000000000000001E-2"/>
          <c:y val="0.91002076067098492"/>
          <c:w val="0.9"/>
          <c:h val="7.9432818468692906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33333333333E-2"/>
          <c:y val="4.3644144144144144E-2"/>
          <c:w val="0.86257083333333318"/>
          <c:h val="0.8328986486486486"/>
        </c:manualLayout>
      </c:layout>
      <c:lineChart>
        <c:grouping val="standard"/>
        <c:varyColors val="0"/>
        <c:ser>
          <c:idx val="0"/>
          <c:order val="0"/>
          <c:tx>
            <c:strRef>
              <c:f>'BoP_izvoz usluga'!$G$2</c:f>
              <c:strCache>
                <c:ptCount val="1"/>
                <c:pt idx="0">
                  <c:v>Оригинални подаци</c:v>
                </c:pt>
              </c:strCache>
            </c:strRef>
          </c:tx>
          <c:spPr>
            <a:ln w="12700" cap="rnd">
              <a:solidFill>
                <a:srgbClr val="7F3F98"/>
              </a:solidFill>
              <a:prstDash val="sysDash"/>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usluga'!$AC$78:$AC$115</c:f>
              <c:numCache>
                <c:formatCode>0.0</c:formatCode>
                <c:ptCount val="26"/>
                <c:pt idx="0">
                  <c:v>82.394578727988332</c:v>
                </c:pt>
                <c:pt idx="1">
                  <c:v>90.631108631034152</c:v>
                </c:pt>
                <c:pt idx="2">
                  <c:v>97.982128263115158</c:v>
                </c:pt>
                <c:pt idx="3">
                  <c:v>102.16069724717505</c:v>
                </c:pt>
                <c:pt idx="4">
                  <c:v>95.061968855549267</c:v>
                </c:pt>
                <c:pt idx="5">
                  <c:v>94.603825119411454</c:v>
                </c:pt>
                <c:pt idx="6">
                  <c:v>105.89548597790865</c:v>
                </c:pt>
                <c:pt idx="7">
                  <c:v>92.535966721082374</c:v>
                </c:pt>
                <c:pt idx="8">
                  <c:v>93.960967991491501</c:v>
                </c:pt>
                <c:pt idx="9">
                  <c:v>107.427607222229</c:v>
                </c:pt>
                <c:pt idx="10">
                  <c:v>108.61296526723218</c:v>
                </c:pt>
                <c:pt idx="11">
                  <c:v>114.86129795402123</c:v>
                </c:pt>
                <c:pt idx="12">
                  <c:v>101.64273223811517</c:v>
                </c:pt>
                <c:pt idx="13">
                  <c:v>109.8707012801531</c:v>
                </c:pt>
                <c:pt idx="14">
                  <c:v>95.888171884342029</c:v>
                </c:pt>
                <c:pt idx="15">
                  <c:v>94.355826588592606</c:v>
                </c:pt>
                <c:pt idx="16">
                  <c:v>87.651321673143642</c:v>
                </c:pt>
                <c:pt idx="17">
                  <c:v>96.569822639948327</c:v>
                </c:pt>
                <c:pt idx="18">
                  <c:v>91.299706781475194</c:v>
                </c:pt>
                <c:pt idx="19">
                  <c:v>83.82438356997551</c:v>
                </c:pt>
                <c:pt idx="20">
                  <c:v>91.951460122056361</c:v>
                </c:pt>
                <c:pt idx="21">
                  <c:v>103.82741769605943</c:v>
                </c:pt>
                <c:pt idx="22">
                  <c:v>99.953711191981398</c:v>
                </c:pt>
                <c:pt idx="23">
                  <c:v>143.16474433415718</c:v>
                </c:pt>
                <c:pt idx="24">
                  <c:v>99.414542318584978</c:v>
                </c:pt>
                <c:pt idx="25">
                  <c:v>103.54387680998369</c:v>
                </c:pt>
              </c:numCache>
              <c:extLst/>
            </c:numRef>
          </c:val>
          <c:smooth val="0"/>
          <c:extLst>
            <c:ext xmlns:c16="http://schemas.microsoft.com/office/drawing/2014/chart" uri="{C3380CC4-5D6E-409C-BE32-E72D297353CC}">
              <c16:uniqueId val="{00000000-CD14-4052-A4A2-4CAA7C5FFB52}"/>
            </c:ext>
          </c:extLst>
        </c:ser>
        <c:ser>
          <c:idx val="1"/>
          <c:order val="1"/>
          <c:tx>
            <c:strRef>
              <c:f>'BoP_izvoz usluga'!$H$2</c:f>
              <c:strCache>
                <c:ptCount val="1"/>
                <c:pt idx="0">
                  <c:v>Десезонирани подаци</c:v>
                </c:pt>
              </c:strCache>
            </c:strRef>
          </c:tx>
          <c:spPr>
            <a:ln w="22225" cap="rnd">
              <a:solidFill>
                <a:srgbClr val="25AAE1"/>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usluga'!$AD$78:$AD$115</c:f>
              <c:numCache>
                <c:formatCode>0.0</c:formatCode>
                <c:ptCount val="26"/>
                <c:pt idx="0">
                  <c:v>84.778618697350709</c:v>
                </c:pt>
                <c:pt idx="1">
                  <c:v>94.463609913035128</c:v>
                </c:pt>
                <c:pt idx="2">
                  <c:v>96.221385270020136</c:v>
                </c:pt>
                <c:pt idx="3">
                  <c:v>98.421946045219912</c:v>
                </c:pt>
                <c:pt idx="4">
                  <c:v>97.756534624891657</c:v>
                </c:pt>
                <c:pt idx="5">
                  <c:v>100.65816361102667</c:v>
                </c:pt>
                <c:pt idx="6">
                  <c:v>105.36224857212235</c:v>
                </c:pt>
                <c:pt idx="7">
                  <c:v>96.130355737764802</c:v>
                </c:pt>
                <c:pt idx="8">
                  <c:v>103.37054200042404</c:v>
                </c:pt>
                <c:pt idx="9">
                  <c:v>97.880038551366795</c:v>
                </c:pt>
                <c:pt idx="10">
                  <c:v>110.74125905190519</c:v>
                </c:pt>
                <c:pt idx="11">
                  <c:v>98.369918692565093</c:v>
                </c:pt>
                <c:pt idx="12">
                  <c:v>107.56879484838194</c:v>
                </c:pt>
                <c:pt idx="13">
                  <c:v>104.1952995997497</c:v>
                </c:pt>
                <c:pt idx="14">
                  <c:v>94.225430261382797</c:v>
                </c:pt>
                <c:pt idx="15">
                  <c:v>92.333397270484539</c:v>
                </c:pt>
                <c:pt idx="16">
                  <c:v>94.490269977565177</c:v>
                </c:pt>
                <c:pt idx="17">
                  <c:v>97.863686652483707</c:v>
                </c:pt>
                <c:pt idx="18">
                  <c:v>86.092288921889264</c:v>
                </c:pt>
                <c:pt idx="19">
                  <c:v>96.37606618136661</c:v>
                </c:pt>
                <c:pt idx="20">
                  <c:v>97.884780545398016</c:v>
                </c:pt>
                <c:pt idx="21">
                  <c:v>94.729178869991884</c:v>
                </c:pt>
                <c:pt idx="22">
                  <c:v>104.39372696941638</c:v>
                </c:pt>
                <c:pt idx="23">
                  <c:v>115.41225826874677</c:v>
                </c:pt>
                <c:pt idx="24">
                  <c:v>109.82061519512736</c:v>
                </c:pt>
                <c:pt idx="25">
                  <c:v>106.67604588816128</c:v>
                </c:pt>
              </c:numCache>
              <c:extLst/>
            </c:numRef>
          </c:val>
          <c:smooth val="0"/>
          <c:extLst>
            <c:ext xmlns:c16="http://schemas.microsoft.com/office/drawing/2014/chart" uri="{C3380CC4-5D6E-409C-BE32-E72D297353CC}">
              <c16:uniqueId val="{00000001-CD14-4052-A4A2-4CAA7C5FFB52}"/>
            </c:ext>
          </c:extLst>
        </c:ser>
        <c:ser>
          <c:idx val="2"/>
          <c:order val="2"/>
          <c:tx>
            <c:strRef>
              <c:f>'BoP_izvoz usluga'!$I$2</c:f>
              <c:strCache>
                <c:ptCount val="1"/>
                <c:pt idx="0">
                  <c:v>Тренд циклус</c:v>
                </c:pt>
              </c:strCache>
            </c:strRef>
          </c:tx>
          <c:spPr>
            <a:ln w="25400" cap="rnd">
              <a:solidFill>
                <a:srgbClr val="FF0000"/>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usluga'!$AE$78:$AE$115</c:f>
              <c:numCache>
                <c:formatCode>0.0</c:formatCode>
                <c:ptCount val="26"/>
                <c:pt idx="0">
                  <c:v>88.226874821994571</c:v>
                </c:pt>
                <c:pt idx="1">
                  <c:v>91.633249172387778</c:v>
                </c:pt>
                <c:pt idx="2">
                  <c:v>94.948885869335541</c:v>
                </c:pt>
                <c:pt idx="3">
                  <c:v>97.764764392101213</c:v>
                </c:pt>
                <c:pt idx="4">
                  <c:v>99.505874770728639</c:v>
                </c:pt>
                <c:pt idx="5">
                  <c:v>100.42889683551284</c:v>
                </c:pt>
                <c:pt idx="6">
                  <c:v>100.87056161065523</c:v>
                </c:pt>
                <c:pt idx="7">
                  <c:v>101.20429351662114</c:v>
                </c:pt>
                <c:pt idx="8">
                  <c:v>101.94656053110569</c:v>
                </c:pt>
                <c:pt idx="9">
                  <c:v>102.95451774593579</c:v>
                </c:pt>
                <c:pt idx="10">
                  <c:v>103.75335914260251</c:v>
                </c:pt>
                <c:pt idx="11">
                  <c:v>103.71428659231736</c:v>
                </c:pt>
                <c:pt idx="12">
                  <c:v>102.71881681910581</c:v>
                </c:pt>
                <c:pt idx="13">
                  <c:v>100.69989979457539</c:v>
                </c:pt>
                <c:pt idx="14">
                  <c:v>98.06225041844489</c:v>
                </c:pt>
                <c:pt idx="15">
                  <c:v>95.774134595002508</c:v>
                </c:pt>
                <c:pt idx="16">
                  <c:v>94.157894517269369</c:v>
                </c:pt>
                <c:pt idx="17">
                  <c:v>93.493246905317491</c:v>
                </c:pt>
                <c:pt idx="18">
                  <c:v>93.684991684916767</c:v>
                </c:pt>
                <c:pt idx="19">
                  <c:v>95.000996588204686</c:v>
                </c:pt>
                <c:pt idx="20">
                  <c:v>96.98363217954504</c:v>
                </c:pt>
                <c:pt idx="21">
                  <c:v>99.479271572141798</c:v>
                </c:pt>
                <c:pt idx="22">
                  <c:v>102.350493022387</c:v>
                </c:pt>
                <c:pt idx="23">
                  <c:v>105.19740676050125</c:v>
                </c:pt>
                <c:pt idx="24">
                  <c:v>107.6696661987599</c:v>
                </c:pt>
                <c:pt idx="25">
                  <c:v>109.61174871872782</c:v>
                </c:pt>
              </c:numCache>
              <c:extLst/>
            </c:numRef>
          </c:val>
          <c:smooth val="0"/>
          <c:extLst>
            <c:ext xmlns:c16="http://schemas.microsoft.com/office/drawing/2014/chart" uri="{C3380CC4-5D6E-409C-BE32-E72D297353CC}">
              <c16:uniqueId val="{00000002-CD14-4052-A4A2-4CAA7C5FFB52}"/>
            </c:ext>
          </c:extLst>
        </c:ser>
        <c:ser>
          <c:idx val="3"/>
          <c:order val="3"/>
          <c:spPr>
            <a:ln w="28575" cap="rnd">
              <a:noFill/>
              <a:round/>
            </a:ln>
            <a:effectLst/>
          </c:spPr>
          <c:marker>
            <c:symbol val="square"/>
            <c:size val="2"/>
            <c:spPr>
              <a:solidFill>
                <a:sysClr val="window" lastClr="FFFFFF"/>
              </a:solidFill>
              <a:ln w="9525">
                <a:noFill/>
              </a:ln>
              <a:effectLst/>
            </c:spPr>
          </c:marker>
          <c:dLbls>
            <c:dLbl>
              <c:idx val="0"/>
              <c:layout>
                <c:manualLayout>
                  <c:x val="0.14251666666666668"/>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D14-4052-A4A2-4CAA7C5FFB52}"/>
                </c:ext>
              </c:extLst>
            </c:dLbl>
            <c:dLbl>
              <c:idx val="12"/>
              <c:layout>
                <c:manualLayout>
                  <c:x val="0.13828868000436878"/>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D14-4052-A4A2-4CAA7C5FFB52}"/>
                </c:ext>
              </c:extLst>
            </c:dLbl>
            <c:dLbl>
              <c:idx val="24"/>
              <c:layout>
                <c:manualLayout>
                  <c:x val="-1.4536583747285062E-2"/>
                  <c:y val="6.551126126126126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D14-4052-A4A2-4CAA7C5FFB52}"/>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usluga'!$Z$78:$Z$115</c:f>
              <c:numCache>
                <c:formatCode>General</c:formatCode>
                <c:ptCount val="26"/>
                <c:pt idx="0">
                  <c:v>50</c:v>
                </c:pt>
                <c:pt idx="12">
                  <c:v>50</c:v>
                </c:pt>
                <c:pt idx="24">
                  <c:v>50</c:v>
                </c:pt>
              </c:numCache>
              <c:extLst/>
            </c:numRef>
          </c:val>
          <c:smooth val="0"/>
          <c:extLst>
            <c:ext xmlns:c16="http://schemas.microsoft.com/office/drawing/2014/chart" uri="{C3380CC4-5D6E-409C-BE32-E72D297353CC}">
              <c16:uniqueId val="{00000006-CD14-4052-A4A2-4CAA7C5FFB52}"/>
            </c:ext>
          </c:extLst>
        </c:ser>
        <c:dLbls>
          <c:showLegendKey val="0"/>
          <c:showVal val="0"/>
          <c:showCatName val="0"/>
          <c:showSerName val="0"/>
          <c:showPercent val="0"/>
          <c:showBubbleSize val="0"/>
        </c:dLbls>
        <c:marker val="1"/>
        <c:smooth val="0"/>
        <c:axId val="1828932656"/>
        <c:axId val="1828929936"/>
      </c:lineChart>
      <c:lineChart>
        <c:grouping val="standard"/>
        <c:varyColors val="0"/>
        <c:ser>
          <c:idx val="4"/>
          <c:order val="4"/>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'BoP_izvoz usluga'!$E$78:$E$115</c:f>
              <c:strCache>
                <c:ptCount val="2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strCache>
              <c:extLst/>
            </c:strRef>
          </c:cat>
          <c:val>
            <c:numRef>
              <c:f>'BoP_izvoz usluga'!$AA$78:$AA$115</c:f>
              <c:numCache>
                <c:formatCode>General</c:formatCode>
                <c:ptCount val="26"/>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numCache>
              <c:extLst/>
            </c:numRef>
          </c:val>
          <c:smooth val="0"/>
          <c:extLst>
            <c:ext xmlns:c16="http://schemas.microsoft.com/office/drawing/2014/chart" uri="{C3380CC4-5D6E-409C-BE32-E72D297353CC}">
              <c16:uniqueId val="{00000007-CD14-4052-A4A2-4CAA7C5FFB52}"/>
            </c:ext>
          </c:extLst>
        </c:ser>
        <c:dLbls>
          <c:showLegendKey val="0"/>
          <c:showVal val="0"/>
          <c:showCatName val="0"/>
          <c:showSerName val="0"/>
          <c:showPercent val="0"/>
          <c:showBubbleSize val="0"/>
        </c:dLbls>
        <c:marker val="1"/>
        <c:smooth val="0"/>
        <c:axId val="1828916336"/>
        <c:axId val="1828938096"/>
      </c:lineChart>
      <c:dateAx>
        <c:axId val="1828932656"/>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9936"/>
        <c:crosses val="autoZero"/>
        <c:auto val="1"/>
        <c:lblOffset val="0"/>
        <c:baseTimeUnit val="months"/>
      </c:dateAx>
      <c:valAx>
        <c:axId val="1828929936"/>
        <c:scaling>
          <c:orientation val="minMax"/>
          <c:min val="5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2656"/>
        <c:crosses val="autoZero"/>
        <c:crossBetween val="midCat"/>
      </c:valAx>
      <c:valAx>
        <c:axId val="1828938096"/>
        <c:scaling>
          <c:orientation val="minMax"/>
          <c:max val="130"/>
          <c:min val="50"/>
        </c:scaling>
        <c:delete val="0"/>
        <c:axPos val="r"/>
        <c:numFmt formatCode="General"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6336"/>
        <c:crosses val="max"/>
        <c:crossBetween val="midCat"/>
      </c:valAx>
      <c:catAx>
        <c:axId val="1828916336"/>
        <c:scaling>
          <c:orientation val="minMax"/>
        </c:scaling>
        <c:delete val="0"/>
        <c:axPos val="t"/>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8096"/>
        <c:crosses val="max"/>
        <c:auto val="1"/>
        <c:lblAlgn val="ctr"/>
        <c:lblOffset val="100"/>
        <c:noMultiLvlLbl val="0"/>
      </c:cat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8461960155100949"/>
          <c:h val="0.81151726726726725"/>
        </c:manualLayout>
      </c:layout>
      <c:lineChart>
        <c:grouping val="standard"/>
        <c:varyColors val="0"/>
        <c:ser>
          <c:idx val="0"/>
          <c:order val="0"/>
          <c:tx>
            <c:strRef>
              <c:f>Usluge!$G$2</c:f>
              <c:strCache>
                <c:ptCount val="1"/>
                <c:pt idx="0">
                  <c:v>Оригинални подаци</c:v>
                </c:pt>
              </c:strCache>
            </c:strRef>
          </c:tx>
          <c:spPr>
            <a:ln w="12700" cap="rnd">
              <a:solidFill>
                <a:srgbClr val="7F3F98"/>
              </a:solidFill>
              <a:prstDash val="sysDash"/>
              <a:round/>
            </a:ln>
            <a:effectLst/>
          </c:spPr>
          <c:marker>
            <c:symbol val="none"/>
          </c:marker>
          <c:cat>
            <c:numRef>
              <c:f>Usluge!$Z$114:$Z$152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Usluge!$W$114:$W$152</c:f>
              <c:numCache>
                <c:formatCode>0.0</c:formatCode>
                <c:ptCount val="27"/>
                <c:pt idx="0">
                  <c:v>106.66032389999999</c:v>
                </c:pt>
                <c:pt idx="1">
                  <c:v>117.601273283</c:v>
                </c:pt>
                <c:pt idx="2">
                  <c:v>122.846311009</c:v>
                </c:pt>
                <c:pt idx="3">
                  <c:v>150.25809146200001</c:v>
                </c:pt>
                <c:pt idx="4">
                  <c:v>189.664279529</c:v>
                </c:pt>
                <c:pt idx="5">
                  <c:v>191.304841412</c:v>
                </c:pt>
                <c:pt idx="6">
                  <c:v>222.53356962800001</c:v>
                </c:pt>
                <c:pt idx="7">
                  <c:v>252.11089950600001</c:v>
                </c:pt>
                <c:pt idx="8">
                  <c:v>175.31391049300001</c:v>
                </c:pt>
                <c:pt idx="9">
                  <c:v>163.627954829</c:v>
                </c:pt>
                <c:pt idx="10">
                  <c:v>124.633745559</c:v>
                </c:pt>
                <c:pt idx="11">
                  <c:v>132.71000066100001</c:v>
                </c:pt>
                <c:pt idx="12">
                  <c:v>133.43971980000001</c:v>
                </c:pt>
                <c:pt idx="13">
                  <c:v>141.208877508</c:v>
                </c:pt>
                <c:pt idx="14">
                  <c:v>66.682125815999996</c:v>
                </c:pt>
                <c:pt idx="15">
                  <c:v>8.0607744520000004</c:v>
                </c:pt>
                <c:pt idx="16">
                  <c:v>33.029514827</c:v>
                </c:pt>
                <c:pt idx="17">
                  <c:v>108.399187911</c:v>
                </c:pt>
                <c:pt idx="18">
                  <c:v>142.692504302</c:v>
                </c:pt>
                <c:pt idx="19">
                  <c:v>209.11958640899999</c:v>
                </c:pt>
                <c:pt idx="20">
                  <c:v>135.089570073</c:v>
                </c:pt>
                <c:pt idx="21">
                  <c:v>102.322645772</c:v>
                </c:pt>
                <c:pt idx="22">
                  <c:v>66.802681378000003</c:v>
                </c:pt>
                <c:pt idx="23">
                  <c:v>53.152811753999998</c:v>
                </c:pt>
                <c:pt idx="24">
                  <c:v>86.949199280000002</c:v>
                </c:pt>
                <c:pt idx="25">
                  <c:v>91.873787551000007</c:v>
                </c:pt>
                <c:pt idx="26">
                  <c:v>80.897426181</c:v>
                </c:pt>
              </c:numCache>
              <c:extLst/>
            </c:numRef>
          </c:val>
          <c:smooth val="0"/>
          <c:extLst>
            <c:ext xmlns:c16="http://schemas.microsoft.com/office/drawing/2014/chart" uri="{C3380CC4-5D6E-409C-BE32-E72D297353CC}">
              <c16:uniqueId val="{00000000-A41B-4EC5-B391-D495776221C7}"/>
            </c:ext>
          </c:extLst>
        </c:ser>
        <c:ser>
          <c:idx val="1"/>
          <c:order val="1"/>
          <c:tx>
            <c:strRef>
              <c:f>Usluge!$H$2</c:f>
              <c:strCache>
                <c:ptCount val="1"/>
                <c:pt idx="0">
                  <c:v>Десезонирани подаци</c:v>
                </c:pt>
              </c:strCache>
            </c:strRef>
          </c:tx>
          <c:spPr>
            <a:ln w="22225" cap="rnd">
              <a:solidFill>
                <a:srgbClr val="25AAE1"/>
              </a:solidFill>
              <a:round/>
            </a:ln>
            <a:effectLst/>
          </c:spPr>
          <c:marker>
            <c:symbol val="none"/>
          </c:marker>
          <c:cat>
            <c:numRef>
              <c:f>Usluge!$Z$114:$Z$152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Usluge!$X$114:$X$152</c:f>
              <c:numCache>
                <c:formatCode>0.0</c:formatCode>
                <c:ptCount val="27"/>
                <c:pt idx="0">
                  <c:v>140.88370381999999</c:v>
                </c:pt>
                <c:pt idx="1">
                  <c:v>149.11106934</c:v>
                </c:pt>
                <c:pt idx="2">
                  <c:v>156.59020629099999</c:v>
                </c:pt>
                <c:pt idx="3">
                  <c:v>160.38205913100001</c:v>
                </c:pt>
                <c:pt idx="4">
                  <c:v>159.82447917799999</c:v>
                </c:pt>
                <c:pt idx="5">
                  <c:v>163.957091569</c:v>
                </c:pt>
                <c:pt idx="6">
                  <c:v>159.92012927799999</c:v>
                </c:pt>
                <c:pt idx="7">
                  <c:v>161.698735489</c:v>
                </c:pt>
                <c:pt idx="8">
                  <c:v>168.45789666300001</c:v>
                </c:pt>
                <c:pt idx="9">
                  <c:v>169.47945632299999</c:v>
                </c:pt>
                <c:pt idx="10">
                  <c:v>178.20825930800001</c:v>
                </c:pt>
                <c:pt idx="11">
                  <c:v>180.511950603</c:v>
                </c:pt>
                <c:pt idx="12">
                  <c:v>173.53574176699999</c:v>
                </c:pt>
                <c:pt idx="13">
                  <c:v>191.48813855200001</c:v>
                </c:pt>
                <c:pt idx="14">
                  <c:v>88.598567549999999</c:v>
                </c:pt>
                <c:pt idx="15">
                  <c:v>8.6739583939999996</c:v>
                </c:pt>
                <c:pt idx="16">
                  <c:v>27.366373406000001</c:v>
                </c:pt>
                <c:pt idx="17">
                  <c:v>94.654046910000005</c:v>
                </c:pt>
                <c:pt idx="18">
                  <c:v>100.660479947</c:v>
                </c:pt>
                <c:pt idx="19">
                  <c:v>136.16087634300001</c:v>
                </c:pt>
                <c:pt idx="20">
                  <c:v>128.233989364</c:v>
                </c:pt>
                <c:pt idx="21">
                  <c:v>104.049723781</c:v>
                </c:pt>
                <c:pt idx="22">
                  <c:v>98.420867908000005</c:v>
                </c:pt>
                <c:pt idx="23">
                  <c:v>72.767483639999995</c:v>
                </c:pt>
                <c:pt idx="24">
                  <c:v>110.49325193</c:v>
                </c:pt>
                <c:pt idx="25">
                  <c:v>112.68495955900001</c:v>
                </c:pt>
                <c:pt idx="26">
                  <c:v>109.444720436</c:v>
                </c:pt>
              </c:numCache>
              <c:extLst/>
            </c:numRef>
          </c:val>
          <c:smooth val="0"/>
          <c:extLst>
            <c:ext xmlns:c16="http://schemas.microsoft.com/office/drawing/2014/chart" uri="{C3380CC4-5D6E-409C-BE32-E72D297353CC}">
              <c16:uniqueId val="{00000001-A41B-4EC5-B391-D495776221C7}"/>
            </c:ext>
          </c:extLst>
        </c:ser>
        <c:ser>
          <c:idx val="2"/>
          <c:order val="2"/>
          <c:tx>
            <c:strRef>
              <c:f>Usluge!$I$2</c:f>
              <c:strCache>
                <c:ptCount val="1"/>
                <c:pt idx="0">
                  <c:v>Тренд циклус</c:v>
                </c:pt>
              </c:strCache>
            </c:strRef>
          </c:tx>
          <c:spPr>
            <a:ln w="25400" cap="rnd">
              <a:solidFill>
                <a:srgbClr val="FF0000"/>
              </a:solidFill>
              <a:round/>
            </a:ln>
            <a:effectLst/>
          </c:spPr>
          <c:marker>
            <c:symbol val="none"/>
          </c:marker>
          <c:cat>
            <c:numRef>
              <c:f>Usluge!$Z$114:$Z$152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Usluge!$Y$114:$Y$152</c:f>
              <c:numCache>
                <c:formatCode>0.0</c:formatCode>
                <c:ptCount val="27"/>
                <c:pt idx="0">
                  <c:v>152.51620178100001</c:v>
                </c:pt>
                <c:pt idx="1">
                  <c:v>154.12183045</c:v>
                </c:pt>
                <c:pt idx="2">
                  <c:v>156.12177221600001</c:v>
                </c:pt>
                <c:pt idx="3">
                  <c:v>158.04933070999999</c:v>
                </c:pt>
                <c:pt idx="4">
                  <c:v>159.656409771</c:v>
                </c:pt>
                <c:pt idx="5">
                  <c:v>160.996134987</c:v>
                </c:pt>
                <c:pt idx="6">
                  <c:v>162.41071112399999</c:v>
                </c:pt>
                <c:pt idx="7">
                  <c:v>164.341911229</c:v>
                </c:pt>
                <c:pt idx="8">
                  <c:v>167.318056834</c:v>
                </c:pt>
                <c:pt idx="9">
                  <c:v>171.35023740599999</c:v>
                </c:pt>
                <c:pt idx="10">
                  <c:v>175.93277691099999</c:v>
                </c:pt>
                <c:pt idx="11">
                  <c:v>180.56518151899999</c:v>
                </c:pt>
                <c:pt idx="12">
                  <c:v>184.78834671499999</c:v>
                </c:pt>
                <c:pt idx="13">
                  <c:v>188.52003920199999</c:v>
                </c:pt>
                <c:pt idx="14">
                  <c:v>90.212486959000003</c:v>
                </c:pt>
                <c:pt idx="15">
                  <c:v>91.920717182000004</c:v>
                </c:pt>
                <c:pt idx="16">
                  <c:v>93.718033102999996</c:v>
                </c:pt>
                <c:pt idx="17">
                  <c:v>95.646097824999998</c:v>
                </c:pt>
                <c:pt idx="18">
                  <c:v>97.593240726999994</c:v>
                </c:pt>
                <c:pt idx="19">
                  <c:v>99.524265638000003</c:v>
                </c:pt>
                <c:pt idx="20">
                  <c:v>101.43435918599999</c:v>
                </c:pt>
                <c:pt idx="21">
                  <c:v>103.404784264</c:v>
                </c:pt>
                <c:pt idx="22">
                  <c:v>105.537840469</c:v>
                </c:pt>
                <c:pt idx="23">
                  <c:v>107.765434009</c:v>
                </c:pt>
                <c:pt idx="24">
                  <c:v>109.978405419</c:v>
                </c:pt>
                <c:pt idx="25">
                  <c:v>112.087314201</c:v>
                </c:pt>
                <c:pt idx="26">
                  <c:v>114.001389883</c:v>
                </c:pt>
              </c:numCache>
              <c:extLst/>
            </c:numRef>
          </c:val>
          <c:smooth val="0"/>
          <c:extLst>
            <c:ext xmlns:c16="http://schemas.microsoft.com/office/drawing/2014/chart" uri="{C3380CC4-5D6E-409C-BE32-E72D297353CC}">
              <c16:uniqueId val="{00000002-A41B-4EC5-B391-D495776221C7}"/>
            </c:ext>
          </c:extLst>
        </c:ser>
        <c:ser>
          <c:idx val="3"/>
          <c:order val="3"/>
          <c:spPr>
            <a:ln w="28575" cap="rnd">
              <a:noFill/>
              <a:round/>
            </a:ln>
            <a:effectLst/>
          </c:spPr>
          <c:marker>
            <c:symbol val="square"/>
            <c:size val="2"/>
            <c:spPr>
              <a:solidFill>
                <a:sysClr val="window" lastClr="FFFFFF"/>
              </a:solidFill>
              <a:ln w="9525">
                <a:noFill/>
              </a:ln>
              <a:effectLst/>
            </c:spPr>
          </c:marker>
          <c:dLbls>
            <c:dLbl>
              <c:idx val="0"/>
              <c:layout>
                <c:manualLayout>
                  <c:x val="0.14313485656958944"/>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41B-4EC5-B391-D495776221C7}"/>
                </c:ext>
              </c:extLst>
            </c:dLbl>
            <c:dLbl>
              <c:idx val="12"/>
              <c:layout>
                <c:manualLayout>
                  <c:x val="0.13805181352901874"/>
                  <c:y val="6.089789789789790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41B-4EC5-B391-D495776221C7}"/>
                </c:ext>
              </c:extLst>
            </c:dLbl>
            <c:dLbl>
              <c:idx val="24"/>
              <c:layout>
                <c:manualLayout>
                  <c:x val="-8.4957897431665163E-3"/>
                  <c:y val="6.788663663663663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41B-4EC5-B391-D495776221C7}"/>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Usluge!$Z$114:$Z$152</c:f>
              <c:numCache>
                <c:formatCode>yyyy</c:formatCode>
                <c:ptCount val="27"/>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pt idx="26">
                  <c:v>44256</c:v>
                </c:pt>
              </c:numCache>
              <c:extLst/>
            </c:numRef>
          </c:cat>
          <c:val>
            <c:numRef>
              <c:f>Usluge!$AA$114:$AA$152</c:f>
              <c:numCache>
                <c:formatCode>General</c:formatCode>
                <c:ptCount val="27"/>
                <c:pt idx="0">
                  <c:v>1</c:v>
                </c:pt>
                <c:pt idx="12">
                  <c:v>1</c:v>
                </c:pt>
                <c:pt idx="24">
                  <c:v>1</c:v>
                </c:pt>
              </c:numCache>
              <c:extLst/>
            </c:numRef>
          </c:val>
          <c:smooth val="0"/>
          <c:extLst>
            <c:ext xmlns:c16="http://schemas.microsoft.com/office/drawing/2014/chart" uri="{C3380CC4-5D6E-409C-BE32-E72D297353CC}">
              <c16:uniqueId val="{00000006-A41B-4EC5-B391-D495776221C7}"/>
            </c:ext>
          </c:extLst>
        </c:ser>
        <c:dLbls>
          <c:showLegendKey val="0"/>
          <c:showVal val="0"/>
          <c:showCatName val="0"/>
          <c:showSerName val="0"/>
          <c:showPercent val="0"/>
          <c:showBubbleSize val="0"/>
        </c:dLbls>
        <c:marker val="1"/>
        <c:smooth val="0"/>
        <c:axId val="1828917968"/>
        <c:axId val="1828917424"/>
      </c:lineChart>
      <c:lineChart>
        <c:grouping val="standard"/>
        <c:varyColors val="0"/>
        <c:ser>
          <c:idx val="4"/>
          <c:order val="4"/>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Usluge!$E$114:$E$152</c:f>
              <c:strCache>
                <c:ptCount val="27"/>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pt idx="26">
                  <c:v>III</c:v>
                </c:pt>
              </c:strCache>
              <c:extLst/>
            </c:strRef>
          </c:cat>
          <c:val>
            <c:numRef>
              <c:f>Usluge!$AB$114:$AB$152</c:f>
              <c:numCache>
                <c:formatCode>General</c:formatCode>
                <c:ptCount val="2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numCache>
              <c:extLst/>
            </c:numRef>
          </c:val>
          <c:smooth val="0"/>
          <c:extLst>
            <c:ext xmlns:c16="http://schemas.microsoft.com/office/drawing/2014/chart" uri="{C3380CC4-5D6E-409C-BE32-E72D297353CC}">
              <c16:uniqueId val="{00000007-A41B-4EC5-B391-D495776221C7}"/>
            </c:ext>
          </c:extLst>
        </c:ser>
        <c:dLbls>
          <c:showLegendKey val="0"/>
          <c:showVal val="0"/>
          <c:showCatName val="0"/>
          <c:showSerName val="0"/>
          <c:showPercent val="0"/>
          <c:showBubbleSize val="0"/>
        </c:dLbls>
        <c:marker val="1"/>
        <c:smooth val="0"/>
        <c:axId val="1828934832"/>
        <c:axId val="1828923408"/>
      </c:lineChart>
      <c:dateAx>
        <c:axId val="182891796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17424"/>
        <c:crosses val="autoZero"/>
        <c:auto val="1"/>
        <c:lblOffset val="0"/>
        <c:baseTimeUnit val="months"/>
        <c:majorUnit val="12"/>
        <c:majorTimeUnit val="months"/>
      </c:dateAx>
      <c:valAx>
        <c:axId val="1828917424"/>
        <c:scaling>
          <c:orientation val="minMax"/>
          <c:max val="25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7968"/>
        <c:crosses val="autoZero"/>
        <c:crossBetween val="midCat"/>
        <c:majorUnit val="50"/>
      </c:valAx>
      <c:valAx>
        <c:axId val="1828923408"/>
        <c:scaling>
          <c:orientation val="minMax"/>
          <c:max val="160"/>
        </c:scaling>
        <c:delete val="0"/>
        <c:axPos val="r"/>
        <c:numFmt formatCode="General"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4832"/>
        <c:crosses val="max"/>
        <c:crossBetween val="midCat"/>
        <c:majorUnit val="20"/>
      </c:valAx>
      <c:catAx>
        <c:axId val="1828934832"/>
        <c:scaling>
          <c:orientation val="minMax"/>
        </c:scaling>
        <c:delete val="0"/>
        <c:axPos val="t"/>
        <c:numFmt formatCode="General" sourceLinked="1"/>
        <c:majorTickMark val="out"/>
        <c:minorTickMark val="none"/>
        <c:tickLblPos val="none"/>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23408"/>
        <c:crosses val="max"/>
        <c:auto val="1"/>
        <c:lblAlgn val="ctr"/>
        <c:lblOffset val="100"/>
        <c:noMultiLvlLbl val="0"/>
      </c:cat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6.5355171586273103E-2"/>
          <c:w val="0.87139027777777778"/>
          <c:h val="0.81151726726726725"/>
        </c:manualLayout>
      </c:layout>
      <c:lineChart>
        <c:grouping val="standard"/>
        <c:varyColors val="0"/>
        <c:ser>
          <c:idx val="0"/>
          <c:order val="0"/>
          <c:tx>
            <c:strRef>
              <c:f>Usluge!$L$5</c:f>
              <c:strCache>
                <c:ptCount val="1"/>
                <c:pt idx="0">
                  <c:v>y</c:v>
                </c:pt>
              </c:strCache>
            </c:strRef>
          </c:tx>
          <c:spPr>
            <a:ln w="12700" cap="rnd">
              <a:solidFill>
                <a:srgbClr val="7F3F98"/>
              </a:solidFill>
              <a:prstDash val="sysDash"/>
              <a:round/>
            </a:ln>
            <a:effectLst/>
          </c:spPr>
          <c:marker>
            <c:symbol val="none"/>
          </c:marker>
          <c:cat>
            <c:numRef>
              <c:f>Usluge!$A$126:$A$151</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numRef>
          </c:cat>
          <c:val>
            <c:numRef>
              <c:f>Usluge!$L$126:$L$151</c:f>
              <c:numCache>
                <c:formatCode>0.0</c:formatCode>
                <c:ptCount val="26"/>
                <c:pt idx="0">
                  <c:v>117.88862230700001</c:v>
                </c:pt>
                <c:pt idx="1">
                  <c:v>122.95783306600001</c:v>
                </c:pt>
                <c:pt idx="2">
                  <c:v>136.60615253700001</c:v>
                </c:pt>
                <c:pt idx="3">
                  <c:v>128.68299569000001</c:v>
                </c:pt>
                <c:pt idx="4">
                  <c:v>141.551295259</c:v>
                </c:pt>
                <c:pt idx="5">
                  <c:v>141.692846554</c:v>
                </c:pt>
                <c:pt idx="6">
                  <c:v>142.401310787</c:v>
                </c:pt>
                <c:pt idx="7">
                  <c:v>144.39492913800001</c:v>
                </c:pt>
                <c:pt idx="8">
                  <c:v>148.00480236600001</c:v>
                </c:pt>
                <c:pt idx="9">
                  <c:v>136.16441817699999</c:v>
                </c:pt>
                <c:pt idx="10">
                  <c:v>122.003318686</c:v>
                </c:pt>
                <c:pt idx="11">
                  <c:v>140.30381648900001</c:v>
                </c:pt>
                <c:pt idx="12">
                  <c:v>151.80000000000001</c:v>
                </c:pt>
                <c:pt idx="13">
                  <c:v>151.69999999999999</c:v>
                </c:pt>
                <c:pt idx="14">
                  <c:v>91.2</c:v>
                </c:pt>
                <c:pt idx="15">
                  <c:v>24.4</c:v>
                </c:pt>
                <c:pt idx="16">
                  <c:v>81</c:v>
                </c:pt>
                <c:pt idx="17">
                  <c:v>120.2</c:v>
                </c:pt>
                <c:pt idx="18">
                  <c:v>95.5</c:v>
                </c:pt>
                <c:pt idx="19">
                  <c:v>107.2</c:v>
                </c:pt>
                <c:pt idx="20">
                  <c:v>108.5</c:v>
                </c:pt>
                <c:pt idx="21">
                  <c:v>110.4</c:v>
                </c:pt>
                <c:pt idx="22">
                  <c:v>80.2</c:v>
                </c:pt>
                <c:pt idx="23">
                  <c:v>78.5</c:v>
                </c:pt>
                <c:pt idx="24">
                  <c:v>133.6</c:v>
                </c:pt>
                <c:pt idx="25">
                  <c:v>138.19999999999999</c:v>
                </c:pt>
              </c:numCache>
            </c:numRef>
          </c:val>
          <c:smooth val="0"/>
          <c:extLst>
            <c:ext xmlns:c16="http://schemas.microsoft.com/office/drawing/2014/chart" uri="{C3380CC4-5D6E-409C-BE32-E72D297353CC}">
              <c16:uniqueId val="{00000000-A77A-4EF1-AC15-55829148CCF4}"/>
            </c:ext>
          </c:extLst>
        </c:ser>
        <c:ser>
          <c:idx val="1"/>
          <c:order val="1"/>
          <c:tx>
            <c:strRef>
              <c:f>Usluge!$M$5</c:f>
              <c:strCache>
                <c:ptCount val="1"/>
                <c:pt idx="0">
                  <c:v>sa</c:v>
                </c:pt>
              </c:strCache>
            </c:strRef>
          </c:tx>
          <c:spPr>
            <a:ln w="22225" cap="rnd">
              <a:solidFill>
                <a:srgbClr val="25AAE1"/>
              </a:solidFill>
              <a:round/>
            </a:ln>
            <a:effectLst/>
          </c:spPr>
          <c:marker>
            <c:symbol val="none"/>
          </c:marker>
          <c:cat>
            <c:numRef>
              <c:f>Usluge!$A$126:$A$151</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numRef>
          </c:cat>
          <c:val>
            <c:numRef>
              <c:f>Usluge!$M$126:$M$151</c:f>
              <c:numCache>
                <c:formatCode>0.0</c:formatCode>
                <c:ptCount val="26"/>
                <c:pt idx="0">
                  <c:v>122.515684609</c:v>
                </c:pt>
                <c:pt idx="1">
                  <c:v>124.155301287</c:v>
                </c:pt>
                <c:pt idx="2">
                  <c:v>136.77849853999999</c:v>
                </c:pt>
                <c:pt idx="3">
                  <c:v>128.61792388500001</c:v>
                </c:pt>
                <c:pt idx="4">
                  <c:v>130.83842832900001</c:v>
                </c:pt>
                <c:pt idx="5">
                  <c:v>132.57370774699999</c:v>
                </c:pt>
                <c:pt idx="6">
                  <c:v>135.77313685799999</c:v>
                </c:pt>
                <c:pt idx="7">
                  <c:v>141.06836822400001</c:v>
                </c:pt>
                <c:pt idx="8">
                  <c:v>144.807185887</c:v>
                </c:pt>
                <c:pt idx="9">
                  <c:v>142.39135485400001</c:v>
                </c:pt>
                <c:pt idx="10">
                  <c:v>143.293739792</c:v>
                </c:pt>
                <c:pt idx="11">
                  <c:v>148.007146463</c:v>
                </c:pt>
                <c:pt idx="12">
                  <c:v>151.82644872899999</c:v>
                </c:pt>
                <c:pt idx="13">
                  <c:v>157.314218173</c:v>
                </c:pt>
                <c:pt idx="14">
                  <c:v>89.174405159000003</c:v>
                </c:pt>
                <c:pt idx="15">
                  <c:v>24.426040769</c:v>
                </c:pt>
                <c:pt idx="16">
                  <c:v>75.070312951000005</c:v>
                </c:pt>
                <c:pt idx="17">
                  <c:v>109.547976378</c:v>
                </c:pt>
                <c:pt idx="18">
                  <c:v>91.714647475000007</c:v>
                </c:pt>
                <c:pt idx="19">
                  <c:v>106.639348732</c:v>
                </c:pt>
                <c:pt idx="20">
                  <c:v>109.660135913</c:v>
                </c:pt>
                <c:pt idx="21">
                  <c:v>116.16816644399999</c:v>
                </c:pt>
                <c:pt idx="22">
                  <c:v>92.971423896999994</c:v>
                </c:pt>
                <c:pt idx="23">
                  <c:v>82.925046316000007</c:v>
                </c:pt>
                <c:pt idx="24">
                  <c:v>132.05003277399999</c:v>
                </c:pt>
                <c:pt idx="25">
                  <c:v>134.137633298</c:v>
                </c:pt>
              </c:numCache>
            </c:numRef>
          </c:val>
          <c:smooth val="0"/>
          <c:extLst>
            <c:ext xmlns:c16="http://schemas.microsoft.com/office/drawing/2014/chart" uri="{C3380CC4-5D6E-409C-BE32-E72D297353CC}">
              <c16:uniqueId val="{00000001-A77A-4EF1-AC15-55829148CCF4}"/>
            </c:ext>
          </c:extLst>
        </c:ser>
        <c:ser>
          <c:idx val="2"/>
          <c:order val="2"/>
          <c:tx>
            <c:strRef>
              <c:f>Usluge!$N$5</c:f>
              <c:strCache>
                <c:ptCount val="1"/>
                <c:pt idx="0">
                  <c:v>t</c:v>
                </c:pt>
              </c:strCache>
            </c:strRef>
          </c:tx>
          <c:spPr>
            <a:ln w="25400" cap="rnd">
              <a:solidFill>
                <a:srgbClr val="FF0000"/>
              </a:solidFill>
              <a:round/>
            </a:ln>
            <a:effectLst/>
          </c:spPr>
          <c:marker>
            <c:symbol val="none"/>
          </c:marker>
          <c:cat>
            <c:numRef>
              <c:f>Usluge!$A$126:$A$151</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numRef>
          </c:cat>
          <c:val>
            <c:numRef>
              <c:f>Usluge!$N$126:$N$151</c:f>
              <c:numCache>
                <c:formatCode>0.0</c:formatCode>
                <c:ptCount val="26"/>
                <c:pt idx="0">
                  <c:v>126.0861125</c:v>
                </c:pt>
                <c:pt idx="1">
                  <c:v>125.928731673</c:v>
                </c:pt>
                <c:pt idx="2">
                  <c:v>126.578592379</c:v>
                </c:pt>
                <c:pt idx="3">
                  <c:v>128.21908448100001</c:v>
                </c:pt>
                <c:pt idx="4">
                  <c:v>130.762176896</c:v>
                </c:pt>
                <c:pt idx="5">
                  <c:v>133.775390375</c:v>
                </c:pt>
                <c:pt idx="6">
                  <c:v>136.70138181300001</c:v>
                </c:pt>
                <c:pt idx="7">
                  <c:v>139.249108079</c:v>
                </c:pt>
                <c:pt idx="8">
                  <c:v>141.55867803300001</c:v>
                </c:pt>
                <c:pt idx="9">
                  <c:v>143.83727482200001</c:v>
                </c:pt>
                <c:pt idx="10">
                  <c:v>146.260826745</c:v>
                </c:pt>
                <c:pt idx="11">
                  <c:v>148.88523345300001</c:v>
                </c:pt>
                <c:pt idx="12">
                  <c:v>151.66936189099999</c:v>
                </c:pt>
                <c:pt idx="13">
                  <c:v>154.419530232</c:v>
                </c:pt>
                <c:pt idx="14">
                  <c:v>78.857823206000006</c:v>
                </c:pt>
                <c:pt idx="15">
                  <c:v>79.471434673999994</c:v>
                </c:pt>
                <c:pt idx="16">
                  <c:v>79.602053257999998</c:v>
                </c:pt>
                <c:pt idx="17">
                  <c:v>107.804961531</c:v>
                </c:pt>
                <c:pt idx="18">
                  <c:v>108.126877183</c:v>
                </c:pt>
                <c:pt idx="19">
                  <c:v>109.329262656</c:v>
                </c:pt>
                <c:pt idx="20">
                  <c:v>111.79448963</c:v>
                </c:pt>
                <c:pt idx="21">
                  <c:v>115.548170416</c:v>
                </c:pt>
                <c:pt idx="22">
                  <c:v>120.264299411</c:v>
                </c:pt>
                <c:pt idx="23">
                  <c:v>125.253536242</c:v>
                </c:pt>
                <c:pt idx="24">
                  <c:v>129.758703142</c:v>
                </c:pt>
                <c:pt idx="25">
                  <c:v>133.207641279</c:v>
                </c:pt>
              </c:numCache>
            </c:numRef>
          </c:val>
          <c:smooth val="0"/>
          <c:extLst>
            <c:ext xmlns:c16="http://schemas.microsoft.com/office/drawing/2014/chart" uri="{C3380CC4-5D6E-409C-BE32-E72D297353CC}">
              <c16:uniqueId val="{00000002-A77A-4EF1-AC15-55829148CCF4}"/>
            </c:ext>
          </c:extLst>
        </c:ser>
        <c:ser>
          <c:idx val="3"/>
          <c:order val="3"/>
          <c:tx>
            <c:strRef>
              <c:f>Usluge!$O$5</c:f>
              <c:strCache>
                <c:ptCount val="1"/>
                <c:pt idx="0">
                  <c:v>Series4</c:v>
                </c:pt>
              </c:strCache>
            </c:strRef>
          </c:tx>
          <c:spPr>
            <a:ln w="28575" cap="rnd">
              <a:noFill/>
              <a:round/>
            </a:ln>
            <a:effectLst/>
          </c:spPr>
          <c:marker>
            <c:symbol val="square"/>
            <c:size val="2"/>
            <c:spPr>
              <a:solidFill>
                <a:sysClr val="window" lastClr="FFFFFF"/>
              </a:solidFill>
              <a:ln w="9525">
                <a:noFill/>
              </a:ln>
              <a:effectLst/>
            </c:spPr>
          </c:marker>
          <c:dLbls>
            <c:dLbl>
              <c:idx val="0"/>
              <c:layout>
                <c:manualLayout>
                  <c:x val="0.14677376604916356"/>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A-4EF1-AC15-55829148CCF4}"/>
                </c:ext>
              </c:extLst>
            </c:dLbl>
            <c:dLbl>
              <c:idx val="12"/>
              <c:layout>
                <c:manualLayout>
                  <c:x val="0.14677376604916365"/>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77A-4EF1-AC15-55829148CCF4}"/>
                </c:ext>
              </c:extLst>
            </c:dLbl>
            <c:dLbl>
              <c:idx val="24"/>
              <c:layout>
                <c:manualLayout>
                  <c:x val="-6.313541666666667E-3"/>
                  <c:y val="6.518168168168168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77A-4EF1-AC15-55829148CCF4}"/>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Usluge!$A$126:$A$151</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numRef>
          </c:cat>
          <c:val>
            <c:numRef>
              <c:f>Usluge!$O$126:$O$151</c:f>
              <c:numCache>
                <c:formatCode>General</c:formatCode>
                <c:ptCount val="26"/>
                <c:pt idx="0">
                  <c:v>0</c:v>
                </c:pt>
                <c:pt idx="12">
                  <c:v>0</c:v>
                </c:pt>
                <c:pt idx="24">
                  <c:v>0</c:v>
                </c:pt>
              </c:numCache>
            </c:numRef>
          </c:val>
          <c:smooth val="0"/>
          <c:extLst>
            <c:ext xmlns:c16="http://schemas.microsoft.com/office/drawing/2014/chart" uri="{C3380CC4-5D6E-409C-BE32-E72D297353CC}">
              <c16:uniqueId val="{00000006-A77A-4EF1-AC15-55829148CCF4}"/>
            </c:ext>
          </c:extLst>
        </c:ser>
        <c:ser>
          <c:idx val="4"/>
          <c:order val="4"/>
          <c:tx>
            <c:strRef>
              <c:f>Usluge!$P$5</c:f>
              <c:strCache>
                <c:ptCount val="1"/>
                <c:pt idx="0">
                  <c:v>Series5</c:v>
                </c:pt>
              </c:strCache>
            </c:strRef>
          </c:tx>
          <c:spPr>
            <a:ln w="25400" cap="rnd">
              <a:noFill/>
              <a:round/>
            </a:ln>
            <a:effectLst/>
          </c:spPr>
          <c:marker>
            <c:symbol val="none"/>
          </c:marker>
          <c:dLbls>
            <c:dLbl>
              <c:idx val="0"/>
              <c:tx>
                <c:rich>
                  <a:bodyPr/>
                  <a:lstStyle/>
                  <a:p>
                    <a:fld id="{422F106B-A5B1-4156-AF5E-4305E4A5B99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A77A-4EF1-AC15-55829148CCF4}"/>
                </c:ext>
              </c:extLst>
            </c:dLbl>
            <c:dLbl>
              <c:idx val="1"/>
              <c:tx>
                <c:rich>
                  <a:bodyPr/>
                  <a:lstStyle/>
                  <a:p>
                    <a:fld id="{CF9654CB-6250-43A5-9A03-7A239B44441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A77A-4EF1-AC15-55829148CCF4}"/>
                </c:ext>
              </c:extLst>
            </c:dLbl>
            <c:dLbl>
              <c:idx val="2"/>
              <c:tx>
                <c:rich>
                  <a:bodyPr/>
                  <a:lstStyle/>
                  <a:p>
                    <a:fld id="{DEBFCC0D-CE69-4FF0-A670-B3FB72BCB04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A77A-4EF1-AC15-55829148CCF4}"/>
                </c:ext>
              </c:extLst>
            </c:dLbl>
            <c:dLbl>
              <c:idx val="3"/>
              <c:tx>
                <c:rich>
                  <a:bodyPr/>
                  <a:lstStyle/>
                  <a:p>
                    <a:fld id="{E7DD2560-8A63-4B97-8641-C9722B233C9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A77A-4EF1-AC15-55829148CCF4}"/>
                </c:ext>
              </c:extLst>
            </c:dLbl>
            <c:dLbl>
              <c:idx val="4"/>
              <c:tx>
                <c:rich>
                  <a:bodyPr/>
                  <a:lstStyle/>
                  <a:p>
                    <a:fld id="{A7A8C307-4063-49E3-A726-9D9FB7F987F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A77A-4EF1-AC15-55829148CCF4}"/>
                </c:ext>
              </c:extLst>
            </c:dLbl>
            <c:dLbl>
              <c:idx val="5"/>
              <c:tx>
                <c:rich>
                  <a:bodyPr/>
                  <a:lstStyle/>
                  <a:p>
                    <a:fld id="{B3A81B74-4659-46FD-BBAA-A3CA0F1F448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A77A-4EF1-AC15-55829148CCF4}"/>
                </c:ext>
              </c:extLst>
            </c:dLbl>
            <c:dLbl>
              <c:idx val="6"/>
              <c:tx>
                <c:rich>
                  <a:bodyPr/>
                  <a:lstStyle/>
                  <a:p>
                    <a:fld id="{771D63B0-A2F1-4092-8B2D-0EF9FFB101F0}"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D-A77A-4EF1-AC15-55829148CCF4}"/>
                </c:ext>
              </c:extLst>
            </c:dLbl>
            <c:dLbl>
              <c:idx val="7"/>
              <c:tx>
                <c:rich>
                  <a:bodyPr/>
                  <a:lstStyle/>
                  <a:p>
                    <a:fld id="{F8DCB80D-4201-4143-BC57-F3140E78BA4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A77A-4EF1-AC15-55829148CCF4}"/>
                </c:ext>
              </c:extLst>
            </c:dLbl>
            <c:dLbl>
              <c:idx val="8"/>
              <c:tx>
                <c:rich>
                  <a:bodyPr/>
                  <a:lstStyle/>
                  <a:p>
                    <a:fld id="{5409F72B-725B-44A1-9076-DEACE21A886F}"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F-A77A-4EF1-AC15-55829148CCF4}"/>
                </c:ext>
              </c:extLst>
            </c:dLbl>
            <c:dLbl>
              <c:idx val="9"/>
              <c:tx>
                <c:rich>
                  <a:bodyPr/>
                  <a:lstStyle/>
                  <a:p>
                    <a:fld id="{06FA26E8-DD6C-40EF-94AD-5223BBB5DBD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0-A77A-4EF1-AC15-55829148CCF4}"/>
                </c:ext>
              </c:extLst>
            </c:dLbl>
            <c:dLbl>
              <c:idx val="10"/>
              <c:tx>
                <c:rich>
                  <a:bodyPr/>
                  <a:lstStyle/>
                  <a:p>
                    <a:fld id="{B65963F2-0A3F-4B63-B113-2E829804889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1-A77A-4EF1-AC15-55829148CCF4}"/>
                </c:ext>
              </c:extLst>
            </c:dLbl>
            <c:dLbl>
              <c:idx val="11"/>
              <c:tx>
                <c:rich>
                  <a:bodyPr/>
                  <a:lstStyle/>
                  <a:p>
                    <a:fld id="{C066AD17-35AE-413E-BBD6-D930431242BA}"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2-A77A-4EF1-AC15-55829148CCF4}"/>
                </c:ext>
              </c:extLst>
            </c:dLbl>
            <c:dLbl>
              <c:idx val="12"/>
              <c:tx>
                <c:rich>
                  <a:bodyPr/>
                  <a:lstStyle/>
                  <a:p>
                    <a:fld id="{8D80B6D3-21F9-423F-8A55-2625666BBDEB}"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3-A77A-4EF1-AC15-55829148CCF4}"/>
                </c:ext>
              </c:extLst>
            </c:dLbl>
            <c:dLbl>
              <c:idx val="13"/>
              <c:tx>
                <c:rich>
                  <a:bodyPr/>
                  <a:lstStyle/>
                  <a:p>
                    <a:fld id="{2A677043-7907-4883-B5FC-D364F7EE6FD6}"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4-A77A-4EF1-AC15-55829148CCF4}"/>
                </c:ext>
              </c:extLst>
            </c:dLbl>
            <c:dLbl>
              <c:idx val="14"/>
              <c:tx>
                <c:rich>
                  <a:bodyPr/>
                  <a:lstStyle/>
                  <a:p>
                    <a:fld id="{FF46A213-9DCC-4D82-A56A-262FED0CBA5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5-A77A-4EF1-AC15-55829148CCF4}"/>
                </c:ext>
              </c:extLst>
            </c:dLbl>
            <c:dLbl>
              <c:idx val="15"/>
              <c:tx>
                <c:rich>
                  <a:bodyPr/>
                  <a:lstStyle/>
                  <a:p>
                    <a:fld id="{A2906CBA-4274-4D22-B1F7-6E80D95906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6-A77A-4EF1-AC15-55829148CCF4}"/>
                </c:ext>
              </c:extLst>
            </c:dLbl>
            <c:dLbl>
              <c:idx val="16"/>
              <c:tx>
                <c:rich>
                  <a:bodyPr/>
                  <a:lstStyle/>
                  <a:p>
                    <a:fld id="{8C3B2A87-EE78-4162-8590-472441EC2361}"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7-A77A-4EF1-AC15-55829148CCF4}"/>
                </c:ext>
              </c:extLst>
            </c:dLbl>
            <c:dLbl>
              <c:idx val="17"/>
              <c:tx>
                <c:rich>
                  <a:bodyPr/>
                  <a:lstStyle/>
                  <a:p>
                    <a:fld id="{F6A9B0C5-07C6-45B6-A1BF-551B18D3D155}"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8-A77A-4EF1-AC15-55829148CCF4}"/>
                </c:ext>
              </c:extLst>
            </c:dLbl>
            <c:dLbl>
              <c:idx val="18"/>
              <c:tx>
                <c:rich>
                  <a:bodyPr/>
                  <a:lstStyle/>
                  <a:p>
                    <a:fld id="{E2DD6A73-46C8-4C02-9A53-1F9EBA65A818}"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9-A77A-4EF1-AC15-55829148CCF4}"/>
                </c:ext>
              </c:extLst>
            </c:dLbl>
            <c:dLbl>
              <c:idx val="19"/>
              <c:tx>
                <c:rich>
                  <a:bodyPr/>
                  <a:lstStyle/>
                  <a:p>
                    <a:fld id="{72BDEB95-3E69-4085-9486-D599C9798ECC}"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A-A77A-4EF1-AC15-55829148CCF4}"/>
                </c:ext>
              </c:extLst>
            </c:dLbl>
            <c:dLbl>
              <c:idx val="20"/>
              <c:tx>
                <c:rich>
                  <a:bodyPr/>
                  <a:lstStyle/>
                  <a:p>
                    <a:fld id="{B67108CF-E02A-4745-8FBE-10259435E3C3}"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B-A77A-4EF1-AC15-55829148CCF4}"/>
                </c:ext>
              </c:extLst>
            </c:dLbl>
            <c:dLbl>
              <c:idx val="21"/>
              <c:tx>
                <c:rich>
                  <a:bodyPr/>
                  <a:lstStyle/>
                  <a:p>
                    <a:fld id="{C508D159-FE18-477A-8042-D8105BF71B9D}"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C-A77A-4EF1-AC15-55829148CCF4}"/>
                </c:ext>
              </c:extLst>
            </c:dLbl>
            <c:dLbl>
              <c:idx val="22"/>
              <c:tx>
                <c:rich>
                  <a:bodyPr/>
                  <a:lstStyle/>
                  <a:p>
                    <a:fld id="{4DB35587-2723-4B18-AB7B-0ABD3D36DFA2}"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D-A77A-4EF1-AC15-55829148CCF4}"/>
                </c:ext>
              </c:extLst>
            </c:dLbl>
            <c:dLbl>
              <c:idx val="23"/>
              <c:tx>
                <c:rich>
                  <a:bodyPr/>
                  <a:lstStyle/>
                  <a:p>
                    <a:fld id="{625A1E8B-BD67-4000-9B18-B80A01BC8CC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E-A77A-4EF1-AC15-55829148CCF4}"/>
                </c:ext>
              </c:extLst>
            </c:dLbl>
            <c:dLbl>
              <c:idx val="24"/>
              <c:tx>
                <c:rich>
                  <a:bodyPr/>
                  <a:lstStyle/>
                  <a:p>
                    <a:fld id="{2BF00B74-5B3E-4FE7-816F-EAFC9CFD62A9}"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1F-A77A-4EF1-AC15-55829148CCF4}"/>
                </c:ext>
              </c:extLst>
            </c:dLbl>
            <c:dLbl>
              <c:idx val="25"/>
              <c:tx>
                <c:rich>
                  <a:bodyPr/>
                  <a:lstStyle/>
                  <a:p>
                    <a:fld id="{512D31D4-FF1B-4238-99D7-E957BB38C03E}" type="CELLRANGE">
                      <a:rPr lang="sr-Latn-RS"/>
                      <a:pPr/>
                      <a:t>[CELLRANGE]</a:t>
                    </a:fld>
                    <a:endParaRPr lang="sr-Latn-R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20-A77A-4EF1-AC15-55829148CCF4}"/>
                </c:ext>
              </c:extLst>
            </c:dLbl>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cat>
            <c:numRef>
              <c:f>Usluge!$A$126:$A$151</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numRef>
          </c:cat>
          <c:val>
            <c:numRef>
              <c:f>Usluge!$P$126:$P$151</c:f>
              <c:numCache>
                <c:formatCode>General</c:formatCode>
                <c:ptCount val="2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numCache>
            </c:numRef>
          </c:val>
          <c:smooth val="0"/>
          <c:extLst>
            <c:ext xmlns:c15="http://schemas.microsoft.com/office/drawing/2012/chart" uri="{02D57815-91ED-43cb-92C2-25804820EDAC}">
              <c15:datalabelsRange>
                <c15:f>Usluge!$C$126:$C$151</c15:f>
                <c15:dlblRangeCache>
                  <c:ptCount val="2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15:dlblRangeCache>
              </c15:datalabelsRange>
            </c:ext>
            <c:ext xmlns:c16="http://schemas.microsoft.com/office/drawing/2014/chart" uri="{C3380CC4-5D6E-409C-BE32-E72D297353CC}">
              <c16:uniqueId val="{00000021-A77A-4EF1-AC15-55829148CCF4}"/>
            </c:ext>
          </c:extLst>
        </c:ser>
        <c:dLbls>
          <c:showLegendKey val="0"/>
          <c:showVal val="0"/>
          <c:showCatName val="0"/>
          <c:showSerName val="0"/>
          <c:showPercent val="0"/>
          <c:showBubbleSize val="0"/>
        </c:dLbls>
        <c:smooth val="0"/>
        <c:axId val="2092161072"/>
        <c:axId val="1828937552"/>
      </c:lineChart>
      <c:dateAx>
        <c:axId val="2092161072"/>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37552"/>
        <c:crosses val="autoZero"/>
        <c:auto val="1"/>
        <c:lblOffset val="0"/>
        <c:baseTimeUnit val="months"/>
        <c:majorUnit val="12"/>
        <c:majorTimeUnit val="months"/>
      </c:dateAx>
      <c:valAx>
        <c:axId val="1828937552"/>
        <c:scaling>
          <c:orientation val="minMax"/>
          <c:max val="160"/>
          <c:min val="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92161072"/>
        <c:crosses val="autoZero"/>
        <c:crossBetween val="midCat"/>
        <c:majorUnit val="20"/>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259167550669125"/>
          <c:h val="0.84243318318318317"/>
        </c:manualLayout>
      </c:layout>
      <c:lineChart>
        <c:grouping val="standard"/>
        <c:varyColors val="0"/>
        <c:ser>
          <c:idx val="0"/>
          <c:order val="0"/>
          <c:tx>
            <c:strRef>
              <c:f>'BoP_izvoz usluga'!$G$2</c:f>
              <c:strCache>
                <c:ptCount val="1"/>
                <c:pt idx="0">
                  <c:v>Оригинални подаци</c:v>
                </c:pt>
              </c:strCache>
            </c:strRef>
          </c:tx>
          <c:spPr>
            <a:ln w="12700" cap="rnd">
              <a:solidFill>
                <a:srgbClr val="7F3F98"/>
              </a:solidFill>
              <a:prstDash val="sysDash"/>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usluga'!$R$78:$R$115</c:f>
              <c:numCache>
                <c:formatCode>0.0</c:formatCode>
                <c:ptCount val="26"/>
                <c:pt idx="0">
                  <c:v>112.273943062</c:v>
                </c:pt>
                <c:pt idx="1">
                  <c:v>75.350306075999995</c:v>
                </c:pt>
                <c:pt idx="2">
                  <c:v>92.163608945999997</c:v>
                </c:pt>
                <c:pt idx="3">
                  <c:v>106.880447553</c:v>
                </c:pt>
                <c:pt idx="4">
                  <c:v>118.02933234</c:v>
                </c:pt>
                <c:pt idx="5">
                  <c:v>116.76808894200001</c:v>
                </c:pt>
                <c:pt idx="6">
                  <c:v>195.52379145500001</c:v>
                </c:pt>
                <c:pt idx="7">
                  <c:v>199.63421142300001</c:v>
                </c:pt>
                <c:pt idx="8">
                  <c:v>137.219727965</c:v>
                </c:pt>
                <c:pt idx="9">
                  <c:v>137.26074476599999</c:v>
                </c:pt>
                <c:pt idx="10">
                  <c:v>132.69942049400001</c:v>
                </c:pt>
                <c:pt idx="11">
                  <c:v>165.203508927</c:v>
                </c:pt>
                <c:pt idx="12">
                  <c:v>127.169616194</c:v>
                </c:pt>
                <c:pt idx="13">
                  <c:v>90.199386468</c:v>
                </c:pt>
                <c:pt idx="14">
                  <c:v>84.099349253</c:v>
                </c:pt>
                <c:pt idx="15">
                  <c:v>46.640425372000003</c:v>
                </c:pt>
                <c:pt idx="16">
                  <c:v>70.741641188000003</c:v>
                </c:pt>
                <c:pt idx="17">
                  <c:v>91.538946402999997</c:v>
                </c:pt>
                <c:pt idx="18">
                  <c:v>126.435306494</c:v>
                </c:pt>
                <c:pt idx="19">
                  <c:v>102.419384459</c:v>
                </c:pt>
                <c:pt idx="20">
                  <c:v>96.972470736000005</c:v>
                </c:pt>
                <c:pt idx="21">
                  <c:v>110.471056719</c:v>
                </c:pt>
                <c:pt idx="22">
                  <c:v>113.187698764</c:v>
                </c:pt>
                <c:pt idx="23">
                  <c:v>140.12471795100001</c:v>
                </c:pt>
                <c:pt idx="24">
                  <c:v>107.648298084</c:v>
                </c:pt>
                <c:pt idx="25">
                  <c:v>93.309559950999997</c:v>
                </c:pt>
              </c:numCache>
              <c:extLst/>
            </c:numRef>
          </c:val>
          <c:smooth val="0"/>
          <c:extLst>
            <c:ext xmlns:c16="http://schemas.microsoft.com/office/drawing/2014/chart" uri="{C3380CC4-5D6E-409C-BE32-E72D297353CC}">
              <c16:uniqueId val="{00000000-0BD8-4544-911B-DEC9565B075C}"/>
            </c:ext>
          </c:extLst>
        </c:ser>
        <c:ser>
          <c:idx val="1"/>
          <c:order val="1"/>
          <c:tx>
            <c:strRef>
              <c:f>'BoP_izvoz usluga'!$H$2</c:f>
              <c:strCache>
                <c:ptCount val="1"/>
                <c:pt idx="0">
                  <c:v>Десезонирани подаци</c:v>
                </c:pt>
              </c:strCache>
            </c:strRef>
          </c:tx>
          <c:spPr>
            <a:ln w="22225" cap="rnd">
              <a:solidFill>
                <a:srgbClr val="25AAE1"/>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usluga'!$S$78:$S$115</c:f>
              <c:numCache>
                <c:formatCode>0.0</c:formatCode>
                <c:ptCount val="26"/>
                <c:pt idx="0">
                  <c:v>125.807327259</c:v>
                </c:pt>
                <c:pt idx="1">
                  <c:v>120.409374517</c:v>
                </c:pt>
                <c:pt idx="2">
                  <c:v>131.130162587</c:v>
                </c:pt>
                <c:pt idx="3">
                  <c:v>126.529194815</c:v>
                </c:pt>
                <c:pt idx="4">
                  <c:v>132.312258657</c:v>
                </c:pt>
                <c:pt idx="5">
                  <c:v>127.14170392299999</c:v>
                </c:pt>
                <c:pt idx="6">
                  <c:v>130.80212163900001</c:v>
                </c:pt>
                <c:pt idx="7">
                  <c:v>135.89980389600001</c:v>
                </c:pt>
                <c:pt idx="8">
                  <c:v>132.45776065800001</c:v>
                </c:pt>
                <c:pt idx="9">
                  <c:v>132.91731923500001</c:v>
                </c:pt>
                <c:pt idx="10">
                  <c:v>144.13220407599999</c:v>
                </c:pt>
                <c:pt idx="11">
                  <c:v>143.93185843200001</c:v>
                </c:pt>
                <c:pt idx="12">
                  <c:v>144.453010326</c:v>
                </c:pt>
                <c:pt idx="13">
                  <c:v>143.40048856199999</c:v>
                </c:pt>
                <c:pt idx="14">
                  <c:v>111.930297849</c:v>
                </c:pt>
                <c:pt idx="15">
                  <c:v>55.814461948999998</c:v>
                </c:pt>
                <c:pt idx="16">
                  <c:v>80.741539512000003</c:v>
                </c:pt>
                <c:pt idx="17">
                  <c:v>91.337553908999993</c:v>
                </c:pt>
                <c:pt idx="18">
                  <c:v>85.872005165999994</c:v>
                </c:pt>
                <c:pt idx="19">
                  <c:v>71.973805920000004</c:v>
                </c:pt>
                <c:pt idx="20">
                  <c:v>89.671012219999994</c:v>
                </c:pt>
                <c:pt idx="21">
                  <c:v>115.614743628</c:v>
                </c:pt>
                <c:pt idx="22">
                  <c:v>117.89589525</c:v>
                </c:pt>
                <c:pt idx="23">
                  <c:v>114.927248646</c:v>
                </c:pt>
                <c:pt idx="24">
                  <c:v>122.319645272</c:v>
                </c:pt>
                <c:pt idx="25">
                  <c:v>161.12220724400001</c:v>
                </c:pt>
              </c:numCache>
              <c:extLst/>
            </c:numRef>
          </c:val>
          <c:smooth val="0"/>
          <c:extLst>
            <c:ext xmlns:c16="http://schemas.microsoft.com/office/drawing/2014/chart" uri="{C3380CC4-5D6E-409C-BE32-E72D297353CC}">
              <c16:uniqueId val="{00000001-0BD8-4544-911B-DEC9565B075C}"/>
            </c:ext>
          </c:extLst>
        </c:ser>
        <c:ser>
          <c:idx val="2"/>
          <c:order val="2"/>
          <c:tx>
            <c:strRef>
              <c:f>'BoP_izvoz usluga'!$I$2</c:f>
              <c:strCache>
                <c:ptCount val="1"/>
                <c:pt idx="0">
                  <c:v>Тренд циклус</c:v>
                </c:pt>
              </c:strCache>
            </c:strRef>
          </c:tx>
          <c:spPr>
            <a:ln w="25400" cap="rnd">
              <a:solidFill>
                <a:srgbClr val="FF0000"/>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usluga'!$T$78:$T$115</c:f>
              <c:numCache>
                <c:formatCode>0.0</c:formatCode>
                <c:ptCount val="26"/>
                <c:pt idx="0">
                  <c:v>124.47847235</c:v>
                </c:pt>
                <c:pt idx="1">
                  <c:v>125.59578885400001</c:v>
                </c:pt>
                <c:pt idx="2">
                  <c:v>126.89017274</c:v>
                </c:pt>
                <c:pt idx="3">
                  <c:v>128.191268372</c:v>
                </c:pt>
                <c:pt idx="4">
                  <c:v>129.25110247200001</c:v>
                </c:pt>
                <c:pt idx="5">
                  <c:v>130.11009521700001</c:v>
                </c:pt>
                <c:pt idx="6">
                  <c:v>131.17977820499999</c:v>
                </c:pt>
                <c:pt idx="7">
                  <c:v>132.68453627100001</c:v>
                </c:pt>
                <c:pt idx="8">
                  <c:v>134.87668907299999</c:v>
                </c:pt>
                <c:pt idx="9">
                  <c:v>137.585040615</c:v>
                </c:pt>
                <c:pt idx="10">
                  <c:v>140.17769824499999</c:v>
                </c:pt>
                <c:pt idx="11">
                  <c:v>142.17779307199999</c:v>
                </c:pt>
                <c:pt idx="12">
                  <c:v>143.180704451</c:v>
                </c:pt>
                <c:pt idx="13">
                  <c:v>143.52183569499999</c:v>
                </c:pt>
                <c:pt idx="14">
                  <c:v>143.519171704</c:v>
                </c:pt>
                <c:pt idx="15">
                  <c:v>81.591305339000002</c:v>
                </c:pt>
                <c:pt idx="16">
                  <c:v>82.186151932000001</c:v>
                </c:pt>
                <c:pt idx="17">
                  <c:v>83.219194415999993</c:v>
                </c:pt>
                <c:pt idx="18">
                  <c:v>84.248706048000003</c:v>
                </c:pt>
                <c:pt idx="19">
                  <c:v>85.073074253000001</c:v>
                </c:pt>
                <c:pt idx="20">
                  <c:v>85.659698434999996</c:v>
                </c:pt>
                <c:pt idx="21">
                  <c:v>116.84897427</c:v>
                </c:pt>
                <c:pt idx="22">
                  <c:v>117.44946831999999</c:v>
                </c:pt>
                <c:pt idx="23">
                  <c:v>118.186602681</c:v>
                </c:pt>
                <c:pt idx="24">
                  <c:v>119.24556372000001</c:v>
                </c:pt>
                <c:pt idx="25">
                  <c:v>120.66266696300001</c:v>
                </c:pt>
              </c:numCache>
              <c:extLst/>
            </c:numRef>
          </c:val>
          <c:smooth val="0"/>
          <c:extLst>
            <c:ext xmlns:c16="http://schemas.microsoft.com/office/drawing/2014/chart" uri="{C3380CC4-5D6E-409C-BE32-E72D297353CC}">
              <c16:uniqueId val="{00000002-0BD8-4544-911B-DEC9565B075C}"/>
            </c:ext>
          </c:extLst>
        </c:ser>
        <c:ser>
          <c:idx val="3"/>
          <c:order val="3"/>
          <c:spPr>
            <a:ln w="28575" cap="rnd">
              <a:noFill/>
              <a:round/>
            </a:ln>
            <a:effectLst/>
          </c:spPr>
          <c:marker>
            <c:symbol val="square"/>
            <c:size val="2"/>
            <c:spPr>
              <a:solidFill>
                <a:sysClr val="window" lastClr="FFFFFF"/>
              </a:solidFill>
              <a:ln w="9525">
                <a:noFill/>
              </a:ln>
              <a:effectLst/>
            </c:spPr>
          </c:marker>
          <c:dLbls>
            <c:dLbl>
              <c:idx val="0"/>
              <c:layout>
                <c:manualLayout>
                  <c:x val="0.1556730062767065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BD8-4544-911B-DEC9565B075C}"/>
                </c:ext>
              </c:extLst>
            </c:dLbl>
            <c:dLbl>
              <c:idx val="12"/>
              <c:layout>
                <c:manualLayout>
                  <c:x val="0.13827174455254443"/>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BD8-4544-911B-DEC9565B075C}"/>
                </c:ext>
              </c:extLst>
            </c:dLbl>
            <c:dLbl>
              <c:idx val="24"/>
              <c:layout>
                <c:manualLayout>
                  <c:x val="-1.4579658334233568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BD8-4544-911B-DEC9565B075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usluga'!$O$78:$O$115</c:f>
              <c:numCache>
                <c:formatCode>General</c:formatCode>
                <c:ptCount val="26"/>
                <c:pt idx="0">
                  <c:v>30</c:v>
                </c:pt>
                <c:pt idx="12">
                  <c:v>30</c:v>
                </c:pt>
                <c:pt idx="24">
                  <c:v>30</c:v>
                </c:pt>
              </c:numCache>
              <c:extLst/>
            </c:numRef>
          </c:val>
          <c:smooth val="0"/>
          <c:extLst>
            <c:ext xmlns:c16="http://schemas.microsoft.com/office/drawing/2014/chart" uri="{C3380CC4-5D6E-409C-BE32-E72D297353CC}">
              <c16:uniqueId val="{00000006-0BD8-4544-911B-DEC9565B075C}"/>
            </c:ext>
          </c:extLst>
        </c:ser>
        <c:dLbls>
          <c:showLegendKey val="0"/>
          <c:showVal val="0"/>
          <c:showCatName val="0"/>
          <c:showSerName val="0"/>
          <c:showPercent val="0"/>
          <c:showBubbleSize val="0"/>
        </c:dLbls>
        <c:marker val="1"/>
        <c:smooth val="0"/>
        <c:axId val="1828937008"/>
        <c:axId val="1828920688"/>
      </c:lineChart>
      <c:lineChart>
        <c:grouping val="standard"/>
        <c:varyColors val="0"/>
        <c:ser>
          <c:idx val="4"/>
          <c:order val="4"/>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'BoP_izvoz usluga'!$E$78:$E$115</c:f>
              <c:strCache>
                <c:ptCount val="2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strCache>
              <c:extLst/>
            </c:strRef>
          </c:cat>
          <c:val>
            <c:numRef>
              <c:f>'BoP_izvoz usluga'!$P$78:$P$115</c:f>
              <c:numCache>
                <c:formatCode>General</c:formatCode>
                <c:ptCount val="26"/>
                <c:pt idx="0">
                  <c:v>30</c:v>
                </c:pt>
                <c:pt idx="1">
                  <c:v>30</c:v>
                </c:pt>
                <c:pt idx="2">
                  <c:v>30</c:v>
                </c:pt>
                <c:pt idx="3">
                  <c:v>30</c:v>
                </c:pt>
                <c:pt idx="4">
                  <c:v>30</c:v>
                </c:pt>
                <c:pt idx="5">
                  <c:v>30</c:v>
                </c:pt>
                <c:pt idx="6">
                  <c:v>30</c:v>
                </c:pt>
                <c:pt idx="7">
                  <c:v>30</c:v>
                </c:pt>
                <c:pt idx="8">
                  <c:v>30</c:v>
                </c:pt>
                <c:pt idx="9">
                  <c:v>30</c:v>
                </c:pt>
                <c:pt idx="10">
                  <c:v>30</c:v>
                </c:pt>
                <c:pt idx="11">
                  <c:v>30</c:v>
                </c:pt>
                <c:pt idx="12">
                  <c:v>30</c:v>
                </c:pt>
                <c:pt idx="13">
                  <c:v>30</c:v>
                </c:pt>
                <c:pt idx="14">
                  <c:v>30</c:v>
                </c:pt>
                <c:pt idx="15">
                  <c:v>30</c:v>
                </c:pt>
                <c:pt idx="16">
                  <c:v>30</c:v>
                </c:pt>
                <c:pt idx="17">
                  <c:v>30</c:v>
                </c:pt>
                <c:pt idx="18">
                  <c:v>30</c:v>
                </c:pt>
                <c:pt idx="19">
                  <c:v>30</c:v>
                </c:pt>
                <c:pt idx="20">
                  <c:v>30</c:v>
                </c:pt>
                <c:pt idx="21">
                  <c:v>30</c:v>
                </c:pt>
                <c:pt idx="22">
                  <c:v>30</c:v>
                </c:pt>
                <c:pt idx="23">
                  <c:v>30</c:v>
                </c:pt>
                <c:pt idx="24">
                  <c:v>30</c:v>
                </c:pt>
                <c:pt idx="25">
                  <c:v>30</c:v>
                </c:pt>
              </c:numCache>
              <c:extLst/>
            </c:numRef>
          </c:val>
          <c:smooth val="0"/>
          <c:extLst>
            <c:ext xmlns:c16="http://schemas.microsoft.com/office/drawing/2014/chart" uri="{C3380CC4-5D6E-409C-BE32-E72D297353CC}">
              <c16:uniqueId val="{00000007-0BD8-4544-911B-DEC9565B075C}"/>
            </c:ext>
          </c:extLst>
        </c:ser>
        <c:dLbls>
          <c:showLegendKey val="0"/>
          <c:showVal val="0"/>
          <c:showCatName val="0"/>
          <c:showSerName val="0"/>
          <c:showPercent val="0"/>
          <c:showBubbleSize val="0"/>
        </c:dLbls>
        <c:marker val="1"/>
        <c:smooth val="0"/>
        <c:axId val="1828910896"/>
        <c:axId val="1828915792"/>
      </c:lineChart>
      <c:dateAx>
        <c:axId val="1828937008"/>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0688"/>
        <c:crosses val="autoZero"/>
        <c:auto val="1"/>
        <c:lblOffset val="0"/>
        <c:baseTimeUnit val="months"/>
      </c:dateAx>
      <c:valAx>
        <c:axId val="1828920688"/>
        <c:scaling>
          <c:orientation val="minMax"/>
          <c:max val="210"/>
          <c:min val="3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7008"/>
        <c:crosses val="autoZero"/>
        <c:crossBetween val="midCat"/>
        <c:majorUnit val="20"/>
      </c:valAx>
      <c:valAx>
        <c:axId val="1828915792"/>
        <c:scaling>
          <c:orientation val="minMax"/>
          <c:max val="170"/>
          <c:min val="30"/>
        </c:scaling>
        <c:delete val="0"/>
        <c:axPos val="r"/>
        <c:numFmt formatCode="General"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0896"/>
        <c:crosses val="max"/>
        <c:crossBetween val="midCat"/>
      </c:valAx>
      <c:catAx>
        <c:axId val="1828910896"/>
        <c:scaling>
          <c:orientation val="minMax"/>
        </c:scaling>
        <c:delete val="0"/>
        <c:axPos val="t"/>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5792"/>
        <c:crosses val="max"/>
        <c:auto val="1"/>
        <c:lblAlgn val="ctr"/>
        <c:lblOffset val="100"/>
        <c:noMultiLvlLbl val="0"/>
      </c:cat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8583366760262072E-2"/>
          <c:y val="3.9500937320235463E-2"/>
          <c:w val="0.86702970650144162"/>
          <c:h val="0.84243318318318317"/>
        </c:manualLayout>
      </c:layout>
      <c:lineChart>
        <c:grouping val="standard"/>
        <c:varyColors val="0"/>
        <c:ser>
          <c:idx val="0"/>
          <c:order val="0"/>
          <c:tx>
            <c:strRef>
              <c:f>'BoP_izvoz usluga'!$G$2</c:f>
              <c:strCache>
                <c:ptCount val="1"/>
                <c:pt idx="0">
                  <c:v>Оригинални подаци</c:v>
                </c:pt>
              </c:strCache>
            </c:strRef>
          </c:tx>
          <c:spPr>
            <a:ln w="12700" cap="rnd">
              <a:solidFill>
                <a:srgbClr val="7F3F98"/>
              </a:solidFill>
              <a:prstDash val="sysDash"/>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usluga'!$G$78:$G$115</c:f>
              <c:numCache>
                <c:formatCode>0.0</c:formatCode>
                <c:ptCount val="26"/>
                <c:pt idx="0">
                  <c:v>120.97137593710004</c:v>
                </c:pt>
                <c:pt idx="1">
                  <c:v>110.6026170927191</c:v>
                </c:pt>
                <c:pt idx="2">
                  <c:v>115.99172025098025</c:v>
                </c:pt>
                <c:pt idx="3">
                  <c:v>121.06859247504917</c:v>
                </c:pt>
                <c:pt idx="4">
                  <c:v>141.21016546171066</c:v>
                </c:pt>
                <c:pt idx="5">
                  <c:v>127.21116625472206</c:v>
                </c:pt>
                <c:pt idx="6">
                  <c:v>159.79488109284983</c:v>
                </c:pt>
                <c:pt idx="7">
                  <c:v>152.96110209733371</c:v>
                </c:pt>
                <c:pt idx="8">
                  <c:v>139.68452023601111</c:v>
                </c:pt>
                <c:pt idx="9">
                  <c:v>151.52598149374205</c:v>
                </c:pt>
                <c:pt idx="10">
                  <c:v>131.14429662036909</c:v>
                </c:pt>
                <c:pt idx="11">
                  <c:v>137.2031279939614</c:v>
                </c:pt>
                <c:pt idx="12">
                  <c:v>121.79019701751447</c:v>
                </c:pt>
                <c:pt idx="13">
                  <c:v>111.63879455632598</c:v>
                </c:pt>
                <c:pt idx="14">
                  <c:v>106.54708308397957</c:v>
                </c:pt>
                <c:pt idx="15">
                  <c:v>83.713637417900841</c:v>
                </c:pt>
                <c:pt idx="16">
                  <c:v>71.015236517082499</c:v>
                </c:pt>
                <c:pt idx="17">
                  <c:v>75.927990811918917</c:v>
                </c:pt>
                <c:pt idx="18">
                  <c:v>89.22578826463365</c:v>
                </c:pt>
                <c:pt idx="19">
                  <c:v>89.988976793747426</c:v>
                </c:pt>
                <c:pt idx="20">
                  <c:v>103.38654408423302</c:v>
                </c:pt>
                <c:pt idx="21">
                  <c:v>107.5343353312916</c:v>
                </c:pt>
                <c:pt idx="22">
                  <c:v>115.40245543258317</c:v>
                </c:pt>
                <c:pt idx="23">
                  <c:v>123.8289606887887</c:v>
                </c:pt>
                <c:pt idx="24">
                  <c:v>91.807779081102865</c:v>
                </c:pt>
                <c:pt idx="25">
                  <c:v>88.860124235602427</c:v>
                </c:pt>
              </c:numCache>
              <c:extLst/>
            </c:numRef>
          </c:val>
          <c:smooth val="0"/>
          <c:extLst>
            <c:ext xmlns:c16="http://schemas.microsoft.com/office/drawing/2014/chart" uri="{C3380CC4-5D6E-409C-BE32-E72D297353CC}">
              <c16:uniqueId val="{00000000-EA12-4B12-B552-F19B5663DC70}"/>
            </c:ext>
          </c:extLst>
        </c:ser>
        <c:ser>
          <c:idx val="1"/>
          <c:order val="1"/>
          <c:tx>
            <c:strRef>
              <c:f>'BoP_izvoz usluga'!$H$2</c:f>
              <c:strCache>
                <c:ptCount val="1"/>
                <c:pt idx="0">
                  <c:v>Десезонирани подаци</c:v>
                </c:pt>
              </c:strCache>
            </c:strRef>
          </c:tx>
          <c:spPr>
            <a:ln w="22225" cap="rnd">
              <a:solidFill>
                <a:srgbClr val="25AAE1"/>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usluga'!$H$78:$H$115</c:f>
              <c:numCache>
                <c:formatCode>0.0</c:formatCode>
                <c:ptCount val="26"/>
                <c:pt idx="0">
                  <c:v>135.71947138520233</c:v>
                </c:pt>
                <c:pt idx="1">
                  <c:v>131.8171046188618</c:v>
                </c:pt>
                <c:pt idx="2">
                  <c:v>129.73898467302737</c:v>
                </c:pt>
                <c:pt idx="3">
                  <c:v>127.03078812485791</c:v>
                </c:pt>
                <c:pt idx="4">
                  <c:v>135.74948272962735</c:v>
                </c:pt>
                <c:pt idx="5">
                  <c:v>133.66308356535745</c:v>
                </c:pt>
                <c:pt idx="6">
                  <c:v>144.84171103967452</c:v>
                </c:pt>
                <c:pt idx="7">
                  <c:v>140.31802382132622</c:v>
                </c:pt>
                <c:pt idx="8">
                  <c:v>133.93886990383342</c:v>
                </c:pt>
                <c:pt idx="9">
                  <c:v>134.05956491635499</c:v>
                </c:pt>
                <c:pt idx="10">
                  <c:v>132.63588621047529</c:v>
                </c:pt>
                <c:pt idx="11">
                  <c:v>127.79495510460082</c:v>
                </c:pt>
                <c:pt idx="12">
                  <c:v>139.46183735535968</c:v>
                </c:pt>
                <c:pt idx="13">
                  <c:v>121.53218343583166</c:v>
                </c:pt>
                <c:pt idx="14">
                  <c:v>115.88935306583046</c:v>
                </c:pt>
                <c:pt idx="15">
                  <c:v>89.878353457785011</c:v>
                </c:pt>
                <c:pt idx="16">
                  <c:v>70.356245839624563</c:v>
                </c:pt>
                <c:pt idx="17">
                  <c:v>75.264169712849466</c:v>
                </c:pt>
                <c:pt idx="18">
                  <c:v>80.602953119296814</c:v>
                </c:pt>
                <c:pt idx="19">
                  <c:v>86.520969607775768</c:v>
                </c:pt>
                <c:pt idx="20">
                  <c:v>95.473955217144649</c:v>
                </c:pt>
                <c:pt idx="21">
                  <c:v>98.006102128526365</c:v>
                </c:pt>
                <c:pt idx="22">
                  <c:v>114.18896605233374</c:v>
                </c:pt>
                <c:pt idx="23">
                  <c:v>109.49054609172684</c:v>
                </c:pt>
                <c:pt idx="24">
                  <c:v>107.40770449089439</c:v>
                </c:pt>
                <c:pt idx="25">
                  <c:v>110.19213818833406</c:v>
                </c:pt>
              </c:numCache>
              <c:extLst/>
            </c:numRef>
          </c:val>
          <c:smooth val="0"/>
          <c:extLst>
            <c:ext xmlns:c16="http://schemas.microsoft.com/office/drawing/2014/chart" uri="{C3380CC4-5D6E-409C-BE32-E72D297353CC}">
              <c16:uniqueId val="{00000001-EA12-4B12-B552-F19B5663DC70}"/>
            </c:ext>
          </c:extLst>
        </c:ser>
        <c:ser>
          <c:idx val="2"/>
          <c:order val="2"/>
          <c:tx>
            <c:strRef>
              <c:f>'BoP_izvoz usluga'!$I$2</c:f>
              <c:strCache>
                <c:ptCount val="1"/>
                <c:pt idx="0">
                  <c:v>Тренд циклус</c:v>
                </c:pt>
              </c:strCache>
            </c:strRef>
          </c:tx>
          <c:spPr>
            <a:ln w="25400" cap="rnd">
              <a:solidFill>
                <a:srgbClr val="FF0000"/>
              </a:solidFill>
              <a:round/>
            </a:ln>
            <a:effectLst/>
          </c:spPr>
          <c:marker>
            <c:symbol val="none"/>
          </c:marker>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usluga'!$I$78:$I$115</c:f>
              <c:numCache>
                <c:formatCode>0.0</c:formatCode>
                <c:ptCount val="26"/>
                <c:pt idx="0">
                  <c:v>126.76904742831206</c:v>
                </c:pt>
                <c:pt idx="1">
                  <c:v>128.53942665246149</c:v>
                </c:pt>
                <c:pt idx="2">
                  <c:v>130.63180847473257</c:v>
                </c:pt>
                <c:pt idx="3">
                  <c:v>132.72628427749322</c:v>
                </c:pt>
                <c:pt idx="4">
                  <c:v>134.50562779779264</c:v>
                </c:pt>
                <c:pt idx="5">
                  <c:v>135.8497671085378</c:v>
                </c:pt>
                <c:pt idx="6">
                  <c:v>136.70673193309742</c:v>
                </c:pt>
                <c:pt idx="7">
                  <c:v>136.85963665323126</c:v>
                </c:pt>
                <c:pt idx="8">
                  <c:v>135.95635082361875</c:v>
                </c:pt>
                <c:pt idx="9">
                  <c:v>134.01850445478271</c:v>
                </c:pt>
                <c:pt idx="10">
                  <c:v>131.31947611536808</c:v>
                </c:pt>
                <c:pt idx="11">
                  <c:v>128.33703567391481</c:v>
                </c:pt>
                <c:pt idx="12">
                  <c:v>125.58064008220487</c:v>
                </c:pt>
                <c:pt idx="13">
                  <c:v>123.46417382054715</c:v>
                </c:pt>
                <c:pt idx="14">
                  <c:v>121.96093565662957</c:v>
                </c:pt>
                <c:pt idx="15">
                  <c:v>91.078459184608306</c:v>
                </c:pt>
                <c:pt idx="16">
                  <c:v>91.332043693492224</c:v>
                </c:pt>
                <c:pt idx="17">
                  <c:v>92.343548426865638</c:v>
                </c:pt>
                <c:pt idx="18">
                  <c:v>94.212381770660471</c:v>
                </c:pt>
                <c:pt idx="19">
                  <c:v>96.899339196105288</c:v>
                </c:pt>
                <c:pt idx="20">
                  <c:v>100.18984235395803</c:v>
                </c:pt>
                <c:pt idx="21">
                  <c:v>103.63478980098526</c:v>
                </c:pt>
                <c:pt idx="22">
                  <c:v>106.6599568607527</c:v>
                </c:pt>
                <c:pt idx="23">
                  <c:v>108.85007691760002</c:v>
                </c:pt>
                <c:pt idx="24">
                  <c:v>110.03468938197108</c:v>
                </c:pt>
                <c:pt idx="25">
                  <c:v>110.57727567711078</c:v>
                </c:pt>
              </c:numCache>
              <c:extLst/>
            </c:numRef>
          </c:val>
          <c:smooth val="0"/>
          <c:extLst>
            <c:ext xmlns:c16="http://schemas.microsoft.com/office/drawing/2014/chart" uri="{C3380CC4-5D6E-409C-BE32-E72D297353CC}">
              <c16:uniqueId val="{00000002-EA12-4B12-B552-F19B5663DC70}"/>
            </c:ext>
          </c:extLst>
        </c:ser>
        <c:ser>
          <c:idx val="3"/>
          <c:order val="3"/>
          <c:spPr>
            <a:ln w="28575" cap="rnd">
              <a:noFill/>
              <a:round/>
            </a:ln>
            <a:effectLst/>
          </c:spPr>
          <c:marker>
            <c:symbol val="square"/>
            <c:size val="2"/>
            <c:spPr>
              <a:solidFill>
                <a:sysClr val="window" lastClr="FFFFFF"/>
              </a:solidFill>
              <a:ln w="9525">
                <a:noFill/>
              </a:ln>
              <a:effectLst/>
            </c:spPr>
          </c:marker>
          <c:dLbls>
            <c:dLbl>
              <c:idx val="0"/>
              <c:layout>
                <c:manualLayout>
                  <c:x val="0.1325755595267486"/>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A12-4B12-B552-F19B5663DC70}"/>
                </c:ext>
              </c:extLst>
            </c:dLbl>
            <c:dLbl>
              <c:idx val="12"/>
              <c:layout>
                <c:manualLayout>
                  <c:x val="0.12937522477094926"/>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A12-4B12-B552-F19B5663DC70}"/>
                </c:ext>
              </c:extLst>
            </c:dLbl>
            <c:dLbl>
              <c:idx val="24"/>
              <c:layout>
                <c:manualLayout>
                  <c:x val="-1.0475515849256363E-2"/>
                  <c:y val="5.597672672672672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A12-4B12-B552-F19B5663DC70}"/>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'BoP_izvoz usluga'!$A$78:$A$115</c:f>
              <c:numCache>
                <c:formatCode>yyyy</c:formatCode>
                <c:ptCount val="26"/>
                <c:pt idx="0">
                  <c:v>43466</c:v>
                </c:pt>
                <c:pt idx="1">
                  <c:v>43497</c:v>
                </c:pt>
                <c:pt idx="2">
                  <c:v>43525</c:v>
                </c:pt>
                <c:pt idx="3">
                  <c:v>43556</c:v>
                </c:pt>
                <c:pt idx="4">
                  <c:v>43586</c:v>
                </c:pt>
                <c:pt idx="5">
                  <c:v>43617</c:v>
                </c:pt>
                <c:pt idx="6">
                  <c:v>43647</c:v>
                </c:pt>
                <c:pt idx="7">
                  <c:v>43678</c:v>
                </c:pt>
                <c:pt idx="8">
                  <c:v>43709</c:v>
                </c:pt>
                <c:pt idx="9">
                  <c:v>43739</c:v>
                </c:pt>
                <c:pt idx="10">
                  <c:v>43770</c:v>
                </c:pt>
                <c:pt idx="11">
                  <c:v>43800</c:v>
                </c:pt>
                <c:pt idx="12">
                  <c:v>43831</c:v>
                </c:pt>
                <c:pt idx="13">
                  <c:v>43862</c:v>
                </c:pt>
                <c:pt idx="14">
                  <c:v>43891</c:v>
                </c:pt>
                <c:pt idx="15">
                  <c:v>43922</c:v>
                </c:pt>
                <c:pt idx="16">
                  <c:v>43952</c:v>
                </c:pt>
                <c:pt idx="17">
                  <c:v>43983</c:v>
                </c:pt>
                <c:pt idx="18">
                  <c:v>44013</c:v>
                </c:pt>
                <c:pt idx="19">
                  <c:v>44044</c:v>
                </c:pt>
                <c:pt idx="20">
                  <c:v>44075</c:v>
                </c:pt>
                <c:pt idx="21">
                  <c:v>44105</c:v>
                </c:pt>
                <c:pt idx="22">
                  <c:v>44136</c:v>
                </c:pt>
                <c:pt idx="23">
                  <c:v>44166</c:v>
                </c:pt>
                <c:pt idx="24">
                  <c:v>44197</c:v>
                </c:pt>
                <c:pt idx="25">
                  <c:v>44228</c:v>
                </c:pt>
              </c:numCache>
              <c:extLst/>
            </c:numRef>
          </c:cat>
          <c:val>
            <c:numRef>
              <c:f>'BoP_izvoz usluga'!$B$78:$B$115</c:f>
              <c:numCache>
                <c:formatCode>General</c:formatCode>
                <c:ptCount val="26"/>
                <c:pt idx="0">
                  <c:v>50</c:v>
                </c:pt>
                <c:pt idx="12">
                  <c:v>50</c:v>
                </c:pt>
                <c:pt idx="24">
                  <c:v>50</c:v>
                </c:pt>
              </c:numCache>
              <c:extLst/>
            </c:numRef>
          </c:val>
          <c:smooth val="0"/>
          <c:extLst>
            <c:ext xmlns:c16="http://schemas.microsoft.com/office/drawing/2014/chart" uri="{C3380CC4-5D6E-409C-BE32-E72D297353CC}">
              <c16:uniqueId val="{00000006-EA12-4B12-B552-F19B5663DC70}"/>
            </c:ext>
          </c:extLst>
        </c:ser>
        <c:dLbls>
          <c:showLegendKey val="0"/>
          <c:showVal val="0"/>
          <c:showCatName val="0"/>
          <c:showSerName val="0"/>
          <c:showPercent val="0"/>
          <c:showBubbleSize val="0"/>
        </c:dLbls>
        <c:marker val="1"/>
        <c:smooth val="0"/>
        <c:axId val="1828933200"/>
        <c:axId val="1828928304"/>
      </c:lineChart>
      <c:lineChart>
        <c:grouping val="standard"/>
        <c:varyColors val="0"/>
        <c:ser>
          <c:idx val="4"/>
          <c:order val="4"/>
          <c:spPr>
            <a:ln w="28575" cap="rnd">
              <a:no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500" b="0" i="0" u="none" strike="noStrike" kern="1200" baseline="0">
                    <a:solidFill>
                      <a:schemeClr val="tx2"/>
                    </a:solidFill>
                    <a:latin typeface="+mn-lt"/>
                    <a:ea typeface="+mn-ea"/>
                    <a:cs typeface="+mn-cs"/>
                  </a:defRPr>
                </a:pPr>
                <a:endParaRPr lang="sr-Latn-RS"/>
              </a:p>
            </c:txPr>
            <c:dLblPos val="t"/>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'BoP_izvoz usluga'!$E$78:$E$115</c:f>
              <c:strCache>
                <c:ptCount val="26"/>
                <c:pt idx="0">
                  <c:v>I</c:v>
                </c:pt>
                <c:pt idx="1">
                  <c:v>II</c:v>
                </c:pt>
                <c:pt idx="2">
                  <c:v>III</c:v>
                </c:pt>
                <c:pt idx="3">
                  <c:v>IV</c:v>
                </c:pt>
                <c:pt idx="4">
                  <c:v>V</c:v>
                </c:pt>
                <c:pt idx="5">
                  <c:v>VI</c:v>
                </c:pt>
                <c:pt idx="6">
                  <c:v>VII</c:v>
                </c:pt>
                <c:pt idx="7">
                  <c:v>VIII</c:v>
                </c:pt>
                <c:pt idx="8">
                  <c:v>IX</c:v>
                </c:pt>
                <c:pt idx="9">
                  <c:v>X</c:v>
                </c:pt>
                <c:pt idx="10">
                  <c:v>XI</c:v>
                </c:pt>
                <c:pt idx="11">
                  <c:v>XII</c:v>
                </c:pt>
                <c:pt idx="12">
                  <c:v>I</c:v>
                </c:pt>
                <c:pt idx="13">
                  <c:v>II</c:v>
                </c:pt>
                <c:pt idx="14">
                  <c:v>III</c:v>
                </c:pt>
                <c:pt idx="15">
                  <c:v>IV</c:v>
                </c:pt>
                <c:pt idx="16">
                  <c:v>V</c:v>
                </c:pt>
                <c:pt idx="17">
                  <c:v>VI</c:v>
                </c:pt>
                <c:pt idx="18">
                  <c:v>VII</c:v>
                </c:pt>
                <c:pt idx="19">
                  <c:v>VIII</c:v>
                </c:pt>
                <c:pt idx="20">
                  <c:v>IX</c:v>
                </c:pt>
                <c:pt idx="21">
                  <c:v>X</c:v>
                </c:pt>
                <c:pt idx="22">
                  <c:v>XI</c:v>
                </c:pt>
                <c:pt idx="23">
                  <c:v>XII</c:v>
                </c:pt>
                <c:pt idx="24">
                  <c:v>I</c:v>
                </c:pt>
                <c:pt idx="25">
                  <c:v>II</c:v>
                </c:pt>
              </c:strCache>
              <c:extLst/>
            </c:strRef>
          </c:cat>
          <c:val>
            <c:numRef>
              <c:f>'BoP_izvoz usluga'!$C$78:$C$115</c:f>
              <c:numCache>
                <c:formatCode>General</c:formatCode>
                <c:ptCount val="26"/>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pt idx="17">
                  <c:v>50</c:v>
                </c:pt>
                <c:pt idx="18">
                  <c:v>50</c:v>
                </c:pt>
                <c:pt idx="19">
                  <c:v>50</c:v>
                </c:pt>
                <c:pt idx="20">
                  <c:v>50</c:v>
                </c:pt>
                <c:pt idx="21">
                  <c:v>50</c:v>
                </c:pt>
                <c:pt idx="22">
                  <c:v>50</c:v>
                </c:pt>
                <c:pt idx="23">
                  <c:v>50</c:v>
                </c:pt>
                <c:pt idx="24">
                  <c:v>50</c:v>
                </c:pt>
                <c:pt idx="25">
                  <c:v>50</c:v>
                </c:pt>
              </c:numCache>
              <c:extLst/>
            </c:numRef>
          </c:val>
          <c:smooth val="0"/>
          <c:extLst>
            <c:ext xmlns:c16="http://schemas.microsoft.com/office/drawing/2014/chart" uri="{C3380CC4-5D6E-409C-BE32-E72D297353CC}">
              <c16:uniqueId val="{00000007-EA12-4B12-B552-F19B5663DC70}"/>
            </c:ext>
          </c:extLst>
        </c:ser>
        <c:dLbls>
          <c:showLegendKey val="0"/>
          <c:showVal val="0"/>
          <c:showCatName val="0"/>
          <c:showSerName val="0"/>
          <c:showPercent val="0"/>
          <c:showBubbleSize val="0"/>
        </c:dLbls>
        <c:marker val="1"/>
        <c:smooth val="0"/>
        <c:axId val="1828932112"/>
        <c:axId val="1828919600"/>
      </c:lineChart>
      <c:dateAx>
        <c:axId val="1828933200"/>
        <c:scaling>
          <c:orientation val="minMax"/>
        </c:scaling>
        <c:delete val="0"/>
        <c:axPos val="b"/>
        <c:numFmt formatCode="yyyy" sourceLinked="1"/>
        <c:majorTickMark val="none"/>
        <c:minorTickMark val="none"/>
        <c:tickLblPos val="none"/>
        <c:spPr>
          <a:noFill/>
          <a:ln w="6350" cap="flat" cmpd="sng" algn="ctr">
            <a:solidFill>
              <a:srgbClr val="898989"/>
            </a:solidFill>
            <a:round/>
          </a:ln>
          <a:effectLst/>
        </c:spPr>
        <c:txPr>
          <a:bodyPr rot="0" spcFirstLastPara="1" vertOverflow="ellipsis" wrap="square" anchor="ctr" anchorCtr="1"/>
          <a:lstStyle/>
          <a:p>
            <a:pPr algn="ctr">
              <a:defRPr sz="750" b="0" i="0" u="none" strike="noStrike" kern="1200" baseline="0">
                <a:solidFill>
                  <a:schemeClr val="tx2"/>
                </a:solidFill>
                <a:latin typeface="+mn-lt"/>
                <a:ea typeface="+mn-ea"/>
                <a:cs typeface="+mn-cs"/>
              </a:defRPr>
            </a:pPr>
            <a:endParaRPr lang="sr-Latn-RS"/>
          </a:p>
        </c:txPr>
        <c:crossAx val="1828928304"/>
        <c:crosses val="autoZero"/>
        <c:auto val="1"/>
        <c:lblOffset val="0"/>
        <c:baseTimeUnit val="months"/>
      </c:dateAx>
      <c:valAx>
        <c:axId val="1828928304"/>
        <c:scaling>
          <c:orientation val="minMax"/>
          <c:min val="50"/>
        </c:scaling>
        <c:delete val="0"/>
        <c:axPos val="l"/>
        <c:numFmt formatCode="0" sourceLinked="0"/>
        <c:majorTickMark val="out"/>
        <c:minorTickMark val="none"/>
        <c:tickLblPos val="nextTo"/>
        <c:spPr>
          <a:noFill/>
          <a:ln w="6350">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3200"/>
        <c:crosses val="autoZero"/>
        <c:crossBetween val="midCat"/>
        <c:majorUnit val="20"/>
      </c:valAx>
      <c:valAx>
        <c:axId val="1828919600"/>
        <c:scaling>
          <c:orientation val="minMax"/>
          <c:max val="130"/>
          <c:min val="50"/>
        </c:scaling>
        <c:delete val="0"/>
        <c:axPos val="r"/>
        <c:numFmt formatCode="General"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32112"/>
        <c:crosses val="max"/>
        <c:crossBetween val="midCat"/>
        <c:majorUnit val="10"/>
      </c:valAx>
      <c:catAx>
        <c:axId val="1828932112"/>
        <c:scaling>
          <c:orientation val="minMax"/>
        </c:scaling>
        <c:delete val="0"/>
        <c:axPos val="t"/>
        <c:numFmt formatCode="General" sourceLinked="1"/>
        <c:majorTickMark val="none"/>
        <c:minorTickMark val="none"/>
        <c:tickLblPos val="none"/>
        <c:spPr>
          <a:noFill/>
          <a:ln w="9525"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28919600"/>
        <c:crosses val="max"/>
        <c:auto val="1"/>
        <c:lblAlgn val="ctr"/>
        <c:lblOffset val="100"/>
        <c:noMultiLvlLbl val="0"/>
      </c:cat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sr-Cyrl-RS" sz="1050" b="1">
                <a:solidFill>
                  <a:srgbClr val="002060"/>
                </a:solidFill>
              </a:rPr>
              <a:t>Реалне стопе</a:t>
            </a:r>
            <a:r>
              <a:rPr lang="sr-Cyrl-RS" sz="1050" b="1" baseline="0">
                <a:solidFill>
                  <a:srgbClr val="002060"/>
                </a:solidFill>
              </a:rPr>
              <a:t> раста </a:t>
            </a:r>
            <a:r>
              <a:rPr lang="sr-Cyrl-RS" sz="1050" b="1">
                <a:solidFill>
                  <a:srgbClr val="002060"/>
                </a:solidFill>
              </a:rPr>
              <a:t>БДП, у %</a:t>
            </a:r>
            <a:endParaRPr lang="en-GB" sz="1050" b="1">
              <a:solidFill>
                <a:srgbClr val="002060"/>
              </a:solidFill>
            </a:endParaRPr>
          </a:p>
        </c:rich>
      </c:tx>
      <c:layout>
        <c:manualLayout>
          <c:xMode val="edge"/>
          <c:yMode val="edge"/>
          <c:x val="0.20432000276281254"/>
          <c:y val="1.7259978425026967E-2"/>
        </c:manualLayout>
      </c:layout>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manualLayout>
          <c:layoutTarget val="inner"/>
          <c:xMode val="edge"/>
          <c:yMode val="edge"/>
          <c:x val="0.11333782290371601"/>
          <c:y val="0.12638516210484857"/>
          <c:w val="0.83573636628754744"/>
          <c:h val="0.61834688139710681"/>
        </c:manualLayout>
      </c:layout>
      <c:lineChart>
        <c:grouping val="standard"/>
        <c:varyColors val="0"/>
        <c:ser>
          <c:idx val="0"/>
          <c:order val="0"/>
          <c:tx>
            <c:strRef>
              <c:f>БДП!$C$4</c:f>
              <c:strCache>
                <c:ptCount val="1"/>
                <c:pt idx="0">
                  <c:v>Међугодишње стопе</c:v>
                </c:pt>
              </c:strCache>
            </c:strRef>
          </c:tx>
          <c:spPr>
            <a:ln w="28575" cap="rnd">
              <a:solidFill>
                <a:srgbClr val="002060"/>
              </a:solidFill>
              <a:round/>
            </a:ln>
            <a:effectLst/>
          </c:spPr>
          <c:marker>
            <c:symbol val="circle"/>
            <c:size val="5"/>
            <c:spPr>
              <a:solidFill>
                <a:srgbClr val="002060"/>
              </a:solidFill>
              <a:ln w="9525">
                <a:noFill/>
              </a:ln>
              <a:effectLst/>
            </c:spPr>
          </c:marker>
          <c:dLbls>
            <c:dLbl>
              <c:idx val="1"/>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691-49D0-9CCD-EDE570B30F28}"/>
                </c:ext>
              </c:extLst>
            </c:dLbl>
            <c:dLbl>
              <c:idx val="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91-49D0-9CCD-EDE570B30F28}"/>
                </c:ext>
              </c:extLst>
            </c:dLbl>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91-49D0-9CCD-EDE570B30F28}"/>
                </c:ext>
              </c:extLst>
            </c:dLbl>
            <c:dLbl>
              <c:idx val="4"/>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81-4418-93FC-B01560BCEA2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206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БДП!$L$2:$S$3</c:f>
              <c:multiLvlStrCache>
                <c:ptCount val="8"/>
                <c:lvl>
                  <c:pt idx="0">
                    <c:v>Q1</c:v>
                  </c:pt>
                  <c:pt idx="1">
                    <c:v>Q2</c:v>
                  </c:pt>
                  <c:pt idx="2">
                    <c:v>Q3</c:v>
                  </c:pt>
                  <c:pt idx="3">
                    <c:v>Q4</c:v>
                  </c:pt>
                  <c:pt idx="4">
                    <c:v>Q1</c:v>
                  </c:pt>
                  <c:pt idx="5">
                    <c:v>Q2*</c:v>
                  </c:pt>
                  <c:pt idx="6">
                    <c:v>Q3*</c:v>
                  </c:pt>
                  <c:pt idx="7">
                    <c:v>Q4*</c:v>
                  </c:pt>
                </c:lvl>
                <c:lvl>
                  <c:pt idx="0">
                    <c:v>2020</c:v>
                  </c:pt>
                  <c:pt idx="4">
                    <c:v>2021</c:v>
                  </c:pt>
                </c:lvl>
              </c:multiLvlStrCache>
            </c:multiLvlStrRef>
          </c:cat>
          <c:val>
            <c:numRef>
              <c:f>БДП!$L$4:$S$4</c:f>
              <c:numCache>
                <c:formatCode>0.0</c:formatCode>
                <c:ptCount val="8"/>
                <c:pt idx="0">
                  <c:v>5.2124082740616871</c:v>
                </c:pt>
                <c:pt idx="1">
                  <c:v>-6.245058611154306</c:v>
                </c:pt>
                <c:pt idx="2">
                  <c:v>-1.3990676914802691</c:v>
                </c:pt>
                <c:pt idx="3">
                  <c:v>-1.0738031183659302</c:v>
                </c:pt>
                <c:pt idx="4">
                  <c:v>1.2</c:v>
                </c:pt>
                <c:pt idx="5">
                  <c:v>11.2</c:v>
                </c:pt>
                <c:pt idx="6">
                  <c:v>5.8</c:v>
                </c:pt>
                <c:pt idx="7">
                  <c:v>6</c:v>
                </c:pt>
              </c:numCache>
            </c:numRef>
          </c:val>
          <c:smooth val="0"/>
          <c:extLst>
            <c:ext xmlns:c16="http://schemas.microsoft.com/office/drawing/2014/chart" uri="{C3380CC4-5D6E-409C-BE32-E72D297353CC}">
              <c16:uniqueId val="{00000003-2691-49D0-9CCD-EDE570B30F28}"/>
            </c:ext>
          </c:extLst>
        </c:ser>
        <c:ser>
          <c:idx val="1"/>
          <c:order val="1"/>
          <c:tx>
            <c:strRef>
              <c:f>БДП!$C$5</c:f>
              <c:strCache>
                <c:ptCount val="1"/>
                <c:pt idx="0">
                  <c:v>Ланчане стопе (дсз подаци)</c:v>
                </c:pt>
              </c:strCache>
            </c:strRef>
          </c:tx>
          <c:spPr>
            <a:ln w="28575" cap="rnd">
              <a:solidFill>
                <a:schemeClr val="accent5">
                  <a:lumMod val="60000"/>
                  <a:lumOff val="40000"/>
                </a:schemeClr>
              </a:solidFill>
              <a:round/>
            </a:ln>
            <a:effectLst/>
          </c:spPr>
          <c:marker>
            <c:symbol val="circle"/>
            <c:size val="5"/>
            <c:spPr>
              <a:solidFill>
                <a:schemeClr val="accent5">
                  <a:lumMod val="60000"/>
                  <a:lumOff val="40000"/>
                </a:schemeClr>
              </a:solidFill>
              <a:ln w="9525">
                <a:noFill/>
              </a:ln>
              <a:effectLst/>
            </c:spPr>
          </c:marker>
          <c:dLbls>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91-49D0-9CCD-EDE570B30F28}"/>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691-49D0-9CCD-EDE570B30F28}"/>
                </c:ext>
              </c:extLst>
            </c:dLbl>
            <c:dLbl>
              <c:idx val="4"/>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81-4418-93FC-B01560BCEA2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accent5"/>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БДП!$L$2:$S$3</c:f>
              <c:multiLvlStrCache>
                <c:ptCount val="8"/>
                <c:lvl>
                  <c:pt idx="0">
                    <c:v>Q1</c:v>
                  </c:pt>
                  <c:pt idx="1">
                    <c:v>Q2</c:v>
                  </c:pt>
                  <c:pt idx="2">
                    <c:v>Q3</c:v>
                  </c:pt>
                  <c:pt idx="3">
                    <c:v>Q4</c:v>
                  </c:pt>
                  <c:pt idx="4">
                    <c:v>Q1</c:v>
                  </c:pt>
                  <c:pt idx="5">
                    <c:v>Q2*</c:v>
                  </c:pt>
                  <c:pt idx="6">
                    <c:v>Q3*</c:v>
                  </c:pt>
                  <c:pt idx="7">
                    <c:v>Q4*</c:v>
                  </c:pt>
                </c:lvl>
                <c:lvl>
                  <c:pt idx="0">
                    <c:v>2020</c:v>
                  </c:pt>
                  <c:pt idx="4">
                    <c:v>2021</c:v>
                  </c:pt>
                </c:lvl>
              </c:multiLvlStrCache>
            </c:multiLvlStrRef>
          </c:cat>
          <c:val>
            <c:numRef>
              <c:f>БДП!$L$5:$S$5</c:f>
              <c:numCache>
                <c:formatCode>0.0</c:formatCode>
                <c:ptCount val="8"/>
                <c:pt idx="0">
                  <c:v>-0.6</c:v>
                </c:pt>
                <c:pt idx="1">
                  <c:v>-9.1999999999999993</c:v>
                </c:pt>
                <c:pt idx="2">
                  <c:v>7.2</c:v>
                </c:pt>
                <c:pt idx="3">
                  <c:v>2.2000000000000002</c:v>
                </c:pt>
                <c:pt idx="4">
                  <c:v>2.2694751924953209</c:v>
                </c:pt>
                <c:pt idx="5">
                  <c:v>0.4</c:v>
                </c:pt>
                <c:pt idx="6">
                  <c:v>1.3</c:v>
                </c:pt>
                <c:pt idx="7">
                  <c:v>2</c:v>
                </c:pt>
              </c:numCache>
            </c:numRef>
          </c:val>
          <c:smooth val="0"/>
          <c:extLst>
            <c:ext xmlns:c16="http://schemas.microsoft.com/office/drawing/2014/chart" uri="{C3380CC4-5D6E-409C-BE32-E72D297353CC}">
              <c16:uniqueId val="{00000006-2691-49D0-9CCD-EDE570B30F28}"/>
            </c:ext>
          </c:extLst>
        </c:ser>
        <c:dLbls>
          <c:showLegendKey val="0"/>
          <c:showVal val="0"/>
          <c:showCatName val="0"/>
          <c:showSerName val="0"/>
          <c:showPercent val="0"/>
          <c:showBubbleSize val="0"/>
        </c:dLbls>
        <c:marker val="1"/>
        <c:smooth val="0"/>
        <c:axId val="550232304"/>
        <c:axId val="550238960"/>
      </c:lineChart>
      <c:catAx>
        <c:axId val="5502323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50238960"/>
        <c:crosses val="autoZero"/>
        <c:auto val="1"/>
        <c:lblAlgn val="ctr"/>
        <c:lblOffset val="100"/>
        <c:noMultiLvlLbl val="0"/>
      </c:catAx>
      <c:valAx>
        <c:axId val="55023896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50232304"/>
        <c:crosses val="autoZero"/>
        <c:crossBetween val="between"/>
      </c:valAx>
      <c:spPr>
        <a:noFill/>
        <a:ln>
          <a:noFill/>
        </a:ln>
        <a:effectLst/>
      </c:spPr>
    </c:plotArea>
    <c:legend>
      <c:legendPos val="b"/>
      <c:layout>
        <c:manualLayout>
          <c:xMode val="edge"/>
          <c:yMode val="edge"/>
          <c:x val="3.1192153612377399E-2"/>
          <c:y val="0.91009861631373745"/>
          <c:w val="0.96880784638762263"/>
          <c:h val="8.990138368626252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a:pPr>
      <a:endParaRPr lang="sr-Latn-R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4.6197089947089945E-2"/>
          <c:w val="0.90740810185185183"/>
          <c:h val="0.69238921957671962"/>
        </c:manualLayout>
      </c:layout>
      <c:barChart>
        <c:barDir val="col"/>
        <c:grouping val="stacked"/>
        <c:varyColors val="0"/>
        <c:ser>
          <c:idx val="2"/>
          <c:order val="0"/>
          <c:tx>
            <c:strRef>
              <c:f>BDP_doprinosi!$R$8</c:f>
              <c:strCache>
                <c:ptCount val="1"/>
                <c:pt idx="0">
                  <c:v>Приватна потрошња</c:v>
                </c:pt>
              </c:strCache>
            </c:strRef>
          </c:tx>
          <c:spPr>
            <a:solidFill>
              <a:srgbClr val="10103C"/>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BDP_doprinosi!$AC$8:$AI$8</c:f>
              <c:numCache>
                <c:formatCode>0.0</c:formatCode>
                <c:ptCount val="7"/>
                <c:pt idx="0">
                  <c:v>2.2073224566944836</c:v>
                </c:pt>
                <c:pt idx="1">
                  <c:v>2.4693233629260822</c:v>
                </c:pt>
                <c:pt idx="2">
                  <c:v>-1.3365687615417541</c:v>
                </c:pt>
                <c:pt idx="3">
                  <c:v>3.9763752357248285</c:v>
                </c:pt>
                <c:pt idx="4">
                  <c:v>2.1901360696016123</c:v>
                </c:pt>
                <c:pt idx="5">
                  <c:v>2.0374583147495766</c:v>
                </c:pt>
                <c:pt idx="6">
                  <c:v>1.4660350252959973</c:v>
                </c:pt>
              </c:numCache>
            </c:numRef>
          </c:val>
          <c:extLst>
            <c:ext xmlns:c16="http://schemas.microsoft.com/office/drawing/2014/chart" uri="{C3380CC4-5D6E-409C-BE32-E72D297353CC}">
              <c16:uniqueId val="{00000000-0F15-44E3-A84F-9333E6A34456}"/>
            </c:ext>
          </c:extLst>
        </c:ser>
        <c:ser>
          <c:idx val="3"/>
          <c:order val="1"/>
          <c:tx>
            <c:strRef>
              <c:f>BDP_doprinosi!$R$9</c:f>
              <c:strCache>
                <c:ptCount val="1"/>
                <c:pt idx="0">
                  <c:v>Државна потрошња</c:v>
                </c:pt>
              </c:strCache>
            </c:strRef>
          </c:tx>
          <c:spPr>
            <a:solidFill>
              <a:srgbClr val="29489A"/>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BDP_doprinosi!$AC$9:$AI$9</c:f>
              <c:numCache>
                <c:formatCode>0.0</c:formatCode>
                <c:ptCount val="7"/>
                <c:pt idx="0">
                  <c:v>0.6041922862215825</c:v>
                </c:pt>
                <c:pt idx="1">
                  <c:v>0.33069040425968937</c:v>
                </c:pt>
                <c:pt idx="2">
                  <c:v>0.89638096129882106</c:v>
                </c:pt>
                <c:pt idx="3">
                  <c:v>0.49784954792839842</c:v>
                </c:pt>
                <c:pt idx="4">
                  <c:v>0.17741194495907175</c:v>
                </c:pt>
                <c:pt idx="5">
                  <c:v>4.7035876666158813E-2</c:v>
                </c:pt>
                <c:pt idx="6">
                  <c:v>4.5353763022645988E-2</c:v>
                </c:pt>
              </c:numCache>
            </c:numRef>
          </c:val>
          <c:extLst>
            <c:ext xmlns:c16="http://schemas.microsoft.com/office/drawing/2014/chart" uri="{C3380CC4-5D6E-409C-BE32-E72D297353CC}">
              <c16:uniqueId val="{00000001-0F15-44E3-A84F-9333E6A34456}"/>
            </c:ext>
          </c:extLst>
        </c:ser>
        <c:ser>
          <c:idx val="1"/>
          <c:order val="2"/>
          <c:tx>
            <c:strRef>
              <c:f>BDP_doprinosi!$R$10</c:f>
              <c:strCache>
                <c:ptCount val="1"/>
                <c:pt idx="0">
                  <c:v>Инвестиције</c:v>
                </c:pt>
              </c:strCache>
            </c:strRef>
          </c:tx>
          <c:spPr>
            <a:solidFill>
              <a:srgbClr val="2183C4"/>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BDP_doprinosi!$AC$10:$AI$10</c:f>
              <c:numCache>
                <c:formatCode>0.0</c:formatCode>
                <c:ptCount val="7"/>
                <c:pt idx="0">
                  <c:v>3.1071590852949291</c:v>
                </c:pt>
                <c:pt idx="1">
                  <c:v>3.4372704606617872</c:v>
                </c:pt>
                <c:pt idx="2">
                  <c:v>-1.0934034671679576</c:v>
                </c:pt>
                <c:pt idx="3">
                  <c:v>3.1965586481262576</c:v>
                </c:pt>
                <c:pt idx="4">
                  <c:v>1.4465058857159956</c:v>
                </c:pt>
                <c:pt idx="5">
                  <c:v>1.6463276923645784</c:v>
                </c:pt>
                <c:pt idx="6">
                  <c:v>2.0315339875639915</c:v>
                </c:pt>
              </c:numCache>
            </c:numRef>
          </c:val>
          <c:extLst>
            <c:ext xmlns:c16="http://schemas.microsoft.com/office/drawing/2014/chart" uri="{C3380CC4-5D6E-409C-BE32-E72D297353CC}">
              <c16:uniqueId val="{00000002-0F15-44E3-A84F-9333E6A34456}"/>
            </c:ext>
          </c:extLst>
        </c:ser>
        <c:ser>
          <c:idx val="0"/>
          <c:order val="3"/>
          <c:tx>
            <c:strRef>
              <c:f>BDP_doprinosi!$R$11</c:f>
              <c:strCache>
                <c:ptCount val="1"/>
                <c:pt idx="0">
                  <c:v>Нето извоз</c:v>
                </c:pt>
              </c:strCache>
            </c:strRef>
          </c:tx>
          <c:spPr>
            <a:solidFill>
              <a:srgbClr val="51BBE7"/>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BDP_doprinosi!$AC$11:$AI$11</c:f>
              <c:numCache>
                <c:formatCode>0.0</c:formatCode>
                <c:ptCount val="7"/>
                <c:pt idx="0">
                  <c:v>-2.3698893504096477</c:v>
                </c:pt>
                <c:pt idx="1">
                  <c:v>-2.4317967427201155</c:v>
                </c:pt>
                <c:pt idx="2">
                  <c:v>0.49931380820055338</c:v>
                </c:pt>
                <c:pt idx="3">
                  <c:v>-1.4203233896498475</c:v>
                </c:pt>
                <c:pt idx="4">
                  <c:v>0.23303965381487518</c:v>
                </c:pt>
                <c:pt idx="5">
                  <c:v>0.30018471971242799</c:v>
                </c:pt>
                <c:pt idx="6">
                  <c:v>0.49207757615360637</c:v>
                </c:pt>
              </c:numCache>
            </c:numRef>
          </c:val>
          <c:extLst>
            <c:ext xmlns:c16="http://schemas.microsoft.com/office/drawing/2014/chart" uri="{C3380CC4-5D6E-409C-BE32-E72D297353CC}">
              <c16:uniqueId val="{00000003-0F15-44E3-A84F-9333E6A34456}"/>
            </c:ext>
          </c:extLst>
        </c:ser>
        <c:ser>
          <c:idx val="4"/>
          <c:order val="4"/>
          <c:tx>
            <c:strRef>
              <c:f>BDP_doprinosi!$R$12</c:f>
              <c:strCache>
                <c:ptCount val="1"/>
                <c:pt idx="0">
                  <c:v>Промена у залихама</c:v>
                </c:pt>
              </c:strCache>
            </c:strRef>
          </c:tx>
          <c:spPr>
            <a:solidFill>
              <a:srgbClr val="9ED1E6"/>
            </a:solidFill>
            <a:ln>
              <a:noFill/>
            </a:ln>
            <a:effectLst/>
          </c:spPr>
          <c:invertIfNegative val="0"/>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BDP_doprinosi!$AC$12:$AI$12</c:f>
              <c:numCache>
                <c:formatCode>0.0</c:formatCode>
                <c:ptCount val="7"/>
                <c:pt idx="0">
                  <c:v>0.94633412526395344</c:v>
                </c:pt>
                <c:pt idx="1">
                  <c:v>0.4430238590612352</c:v>
                </c:pt>
                <c:pt idx="2">
                  <c:v>-9.7225407896531016E-3</c:v>
                </c:pt>
                <c:pt idx="3">
                  <c:v>-0.2704600421296226</c:v>
                </c:pt>
                <c:pt idx="4">
                  <c:v>-4.7093554091543824E-2</c:v>
                </c:pt>
                <c:pt idx="5">
                  <c:v>-1.1006603492737996E-2</c:v>
                </c:pt>
                <c:pt idx="6">
                  <c:v>-3.5000352036245748E-2</c:v>
                </c:pt>
              </c:numCache>
            </c:numRef>
          </c:val>
          <c:extLst>
            <c:ext xmlns:c16="http://schemas.microsoft.com/office/drawing/2014/chart" uri="{C3380CC4-5D6E-409C-BE32-E72D297353CC}">
              <c16:uniqueId val="{00000004-0F15-44E3-A84F-9333E6A34456}"/>
            </c:ext>
          </c:extLst>
        </c:ser>
        <c:dLbls>
          <c:showLegendKey val="0"/>
          <c:showVal val="0"/>
          <c:showCatName val="0"/>
          <c:showSerName val="0"/>
          <c:showPercent val="0"/>
          <c:showBubbleSize val="0"/>
        </c:dLbls>
        <c:gapWidth val="60"/>
        <c:overlap val="100"/>
        <c:axId val="1768857248"/>
        <c:axId val="1768855072"/>
      </c:barChart>
      <c:lineChart>
        <c:grouping val="standard"/>
        <c:varyColors val="0"/>
        <c:ser>
          <c:idx val="5"/>
          <c:order val="5"/>
          <c:tx>
            <c:strRef>
              <c:f>BDP_doprinosi!$R$13</c:f>
              <c:strCache>
                <c:ptCount val="1"/>
                <c:pt idx="0">
                  <c:v>Реални раст БДП</c:v>
                </c:pt>
              </c:strCache>
            </c:strRef>
          </c:tx>
          <c:spPr>
            <a:ln w="25400" cap="rnd">
              <a:solidFill>
                <a:srgbClr val="FF0000"/>
              </a:solidFill>
              <a:round/>
            </a:ln>
            <a:effectLst/>
          </c:spPr>
          <c:marker>
            <c:symbol val="none"/>
          </c:marker>
          <c:dLbls>
            <c:dLbl>
              <c:idx val="2"/>
              <c:layout>
                <c:manualLayout>
                  <c:x val="-6.6898148148148151E-2"/>
                  <c:y val="5.1528616865682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F15-44E3-A84F-9333E6A34456}"/>
                </c:ext>
              </c:extLst>
            </c:dLbl>
            <c:dLbl>
              <c:idx val="3"/>
              <c:layout>
                <c:manualLayout>
                  <c:x val="-6.1585739282589674E-2"/>
                  <c:y val="-0.1047881182993718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F15-44E3-A84F-9333E6A34456}"/>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BDP_doprinosi!$AC$6:$AI$6</c:f>
              <c:numCache>
                <c:formatCode>General</c:formatCode>
                <c:ptCount val="7"/>
                <c:pt idx="0">
                  <c:v>2018</c:v>
                </c:pt>
                <c:pt idx="1">
                  <c:v>2019</c:v>
                </c:pt>
                <c:pt idx="2">
                  <c:v>2020</c:v>
                </c:pt>
                <c:pt idx="3">
                  <c:v>2021</c:v>
                </c:pt>
                <c:pt idx="4">
                  <c:v>2022</c:v>
                </c:pt>
                <c:pt idx="5">
                  <c:v>2023</c:v>
                </c:pt>
                <c:pt idx="6">
                  <c:v>2024</c:v>
                </c:pt>
              </c:numCache>
            </c:numRef>
          </c:cat>
          <c:val>
            <c:numRef>
              <c:f>BDP_doprinosi!$AC$13:$AI$13</c:f>
              <c:numCache>
                <c:formatCode>0.0</c:formatCode>
                <c:ptCount val="7"/>
                <c:pt idx="0">
                  <c:v>4.495118603065305</c:v>
                </c:pt>
                <c:pt idx="1">
                  <c:v>4.2485152866817302</c:v>
                </c:pt>
                <c:pt idx="2">
                  <c:v>-1.0439999999999903</c:v>
                </c:pt>
                <c:pt idx="3">
                  <c:v>5.9800000000000146</c:v>
                </c:pt>
                <c:pt idx="4">
                  <c:v>4</c:v>
                </c:pt>
                <c:pt idx="5">
                  <c:v>4</c:v>
                </c:pt>
                <c:pt idx="6">
                  <c:v>4</c:v>
                </c:pt>
              </c:numCache>
            </c:numRef>
          </c:val>
          <c:smooth val="0"/>
          <c:extLst>
            <c:ext xmlns:c16="http://schemas.microsoft.com/office/drawing/2014/chart" uri="{C3380CC4-5D6E-409C-BE32-E72D297353CC}">
              <c16:uniqueId val="{00000006-0F15-44E3-A84F-9333E6A34456}"/>
            </c:ext>
          </c:extLst>
        </c:ser>
        <c:dLbls>
          <c:showLegendKey val="0"/>
          <c:showVal val="0"/>
          <c:showCatName val="0"/>
          <c:showSerName val="0"/>
          <c:showPercent val="0"/>
          <c:showBubbleSize val="0"/>
        </c:dLbls>
        <c:marker val="1"/>
        <c:smooth val="0"/>
        <c:axId val="1768857248"/>
        <c:axId val="1768855072"/>
      </c:lineChart>
      <c:catAx>
        <c:axId val="1768857248"/>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5072"/>
        <c:crosses val="autoZero"/>
        <c:auto val="1"/>
        <c:lblAlgn val="ctr"/>
        <c:lblOffset val="100"/>
        <c:noMultiLvlLbl val="0"/>
      </c:catAx>
      <c:valAx>
        <c:axId val="1768855072"/>
        <c:scaling>
          <c:orientation val="minMax"/>
          <c:min val="-4"/>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248"/>
        <c:crosses val="autoZero"/>
        <c:crossBetween val="between"/>
      </c:valAx>
      <c:spPr>
        <a:noFill/>
        <a:ln>
          <a:noFill/>
        </a:ln>
        <a:effectLst/>
      </c:spPr>
    </c:plotArea>
    <c:legend>
      <c:legendPos val="b"/>
      <c:layout>
        <c:manualLayout>
          <c:xMode val="edge"/>
          <c:yMode val="edge"/>
          <c:x val="0"/>
          <c:y val="0.83244109195402283"/>
          <c:w val="1"/>
          <c:h val="0.167558908045977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935185185188E-2"/>
          <c:y val="7.0236607987885669E-2"/>
          <c:w val="0.90740810185185183"/>
          <c:h val="0.66834989589248528"/>
        </c:manualLayout>
      </c:layout>
      <c:barChart>
        <c:barDir val="col"/>
        <c:grouping val="stacked"/>
        <c:varyColors val="0"/>
        <c:ser>
          <c:idx val="0"/>
          <c:order val="0"/>
          <c:tx>
            <c:strRef>
              <c:f>BDP_doprinosi!$R$34</c:f>
              <c:strCache>
                <c:ptCount val="1"/>
                <c:pt idx="0">
                  <c:v>Пољопривреда</c:v>
                </c:pt>
              </c:strCache>
            </c:strRef>
          </c:tx>
          <c:spPr>
            <a:solidFill>
              <a:srgbClr val="10103C"/>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BDP_doprinosi!$AC$34:$AI$34</c:f>
              <c:numCache>
                <c:formatCode>0.0</c:formatCode>
                <c:ptCount val="7"/>
                <c:pt idx="0">
                  <c:v>0.9090306618593762</c:v>
                </c:pt>
                <c:pt idx="1">
                  <c:v>-0.10224264784152347</c:v>
                </c:pt>
                <c:pt idx="2">
                  <c:v>0.30134444575018376</c:v>
                </c:pt>
                <c:pt idx="3">
                  <c:v>-0.3</c:v>
                </c:pt>
                <c:pt idx="4">
                  <c:v>5.1970610537191701E-2</c:v>
                </c:pt>
                <c:pt idx="5">
                  <c:v>0</c:v>
                </c:pt>
                <c:pt idx="6">
                  <c:v>0</c:v>
                </c:pt>
              </c:numCache>
            </c:numRef>
          </c:val>
          <c:extLst>
            <c:ext xmlns:c16="http://schemas.microsoft.com/office/drawing/2014/chart" uri="{C3380CC4-5D6E-409C-BE32-E72D297353CC}">
              <c16:uniqueId val="{00000000-B2C3-427A-BCBE-D217150D2B61}"/>
            </c:ext>
          </c:extLst>
        </c:ser>
        <c:ser>
          <c:idx val="1"/>
          <c:order val="1"/>
          <c:tx>
            <c:strRef>
              <c:f>BDP_doprinosi!$R$35</c:f>
              <c:strCache>
                <c:ptCount val="1"/>
                <c:pt idx="0">
                  <c:v>Индустрија</c:v>
                </c:pt>
              </c:strCache>
            </c:strRef>
          </c:tx>
          <c:spPr>
            <a:solidFill>
              <a:srgbClr val="29489A"/>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BDP_doprinosi!$AC$35:$AI$35</c:f>
              <c:numCache>
                <c:formatCode>0.0</c:formatCode>
                <c:ptCount val="7"/>
                <c:pt idx="0">
                  <c:v>0.19789162760454576</c:v>
                </c:pt>
                <c:pt idx="1">
                  <c:v>8.5144054759654711E-2</c:v>
                </c:pt>
                <c:pt idx="2">
                  <c:v>0</c:v>
                </c:pt>
                <c:pt idx="3">
                  <c:v>1.33</c:v>
                </c:pt>
                <c:pt idx="4">
                  <c:v>1.1373163505096642</c:v>
                </c:pt>
                <c:pt idx="5">
                  <c:v>1.1585436591065055</c:v>
                </c:pt>
                <c:pt idx="6">
                  <c:v>1.1780182541494792</c:v>
                </c:pt>
              </c:numCache>
            </c:numRef>
          </c:val>
          <c:extLst>
            <c:ext xmlns:c16="http://schemas.microsoft.com/office/drawing/2014/chart" uri="{C3380CC4-5D6E-409C-BE32-E72D297353CC}">
              <c16:uniqueId val="{00000001-B2C3-427A-BCBE-D217150D2B61}"/>
            </c:ext>
          </c:extLst>
        </c:ser>
        <c:ser>
          <c:idx val="2"/>
          <c:order val="2"/>
          <c:tx>
            <c:strRef>
              <c:f>BDP_doprinosi!$R$36</c:f>
              <c:strCache>
                <c:ptCount val="1"/>
                <c:pt idx="0">
                  <c:v>Грађевинарство</c:v>
                </c:pt>
              </c:strCache>
            </c:strRef>
          </c:tx>
          <c:spPr>
            <a:solidFill>
              <a:srgbClr val="2183C4"/>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BDP_doprinosi!$AC$36:$AI$36</c:f>
              <c:numCache>
                <c:formatCode>0.0</c:formatCode>
                <c:ptCount val="7"/>
                <c:pt idx="0">
                  <c:v>0.5094118253743446</c:v>
                </c:pt>
                <c:pt idx="1">
                  <c:v>1.5031346763567888</c:v>
                </c:pt>
                <c:pt idx="2">
                  <c:v>-0.27232206542971427</c:v>
                </c:pt>
                <c:pt idx="3">
                  <c:v>0.8</c:v>
                </c:pt>
                <c:pt idx="4">
                  <c:v>0.34114813327835952</c:v>
                </c:pt>
                <c:pt idx="5">
                  <c:v>0.39978296868557756</c:v>
                </c:pt>
                <c:pt idx="6">
                  <c:v>0.41897255118248528</c:v>
                </c:pt>
              </c:numCache>
            </c:numRef>
          </c:val>
          <c:extLst>
            <c:ext xmlns:c16="http://schemas.microsoft.com/office/drawing/2014/chart" uri="{C3380CC4-5D6E-409C-BE32-E72D297353CC}">
              <c16:uniqueId val="{00000002-B2C3-427A-BCBE-D217150D2B61}"/>
            </c:ext>
          </c:extLst>
        </c:ser>
        <c:ser>
          <c:idx val="3"/>
          <c:order val="3"/>
          <c:tx>
            <c:strRef>
              <c:f>BDP_doprinosi!$R$37</c:f>
              <c:strCache>
                <c:ptCount val="1"/>
                <c:pt idx="0">
                  <c:v>Услуге</c:v>
                </c:pt>
              </c:strCache>
            </c:strRef>
          </c:tx>
          <c:spPr>
            <a:solidFill>
              <a:srgbClr val="51BBE7"/>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BDP_doprinosi!$AC$37:$AI$37</c:f>
              <c:numCache>
                <c:formatCode>0.0</c:formatCode>
                <c:ptCount val="7"/>
                <c:pt idx="0">
                  <c:v>1.9462949303635</c:v>
                </c:pt>
                <c:pt idx="1">
                  <c:v>2.1613615163775095</c:v>
                </c:pt>
                <c:pt idx="2">
                  <c:v>-0.77537350185145715</c:v>
                </c:pt>
                <c:pt idx="3">
                  <c:v>3.03</c:v>
                </c:pt>
                <c:pt idx="4">
                  <c:v>1.9060727164884661</c:v>
                </c:pt>
                <c:pt idx="5">
                  <c:v>1.9369820037828736</c:v>
                </c:pt>
                <c:pt idx="6">
                  <c:v>1.9884974826068862</c:v>
                </c:pt>
              </c:numCache>
            </c:numRef>
          </c:val>
          <c:extLst>
            <c:ext xmlns:c16="http://schemas.microsoft.com/office/drawing/2014/chart" uri="{C3380CC4-5D6E-409C-BE32-E72D297353CC}">
              <c16:uniqueId val="{00000003-B2C3-427A-BCBE-D217150D2B61}"/>
            </c:ext>
          </c:extLst>
        </c:ser>
        <c:ser>
          <c:idx val="4"/>
          <c:order val="4"/>
          <c:tx>
            <c:strRef>
              <c:f>BDP_doprinosi!$R$38</c:f>
              <c:strCache>
                <c:ptCount val="1"/>
                <c:pt idx="0">
                  <c:v>Нето порези</c:v>
                </c:pt>
              </c:strCache>
            </c:strRef>
          </c:tx>
          <c:spPr>
            <a:solidFill>
              <a:srgbClr val="9ED1E6"/>
            </a:solidFill>
            <a:ln>
              <a:noFill/>
            </a:ln>
            <a:effectLst/>
          </c:spPr>
          <c:invertIfNegative val="0"/>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BDP_doprinosi!$AC$38:$AI$38</c:f>
              <c:numCache>
                <c:formatCode>0.0</c:formatCode>
                <c:ptCount val="7"/>
                <c:pt idx="0">
                  <c:v>0.93248106129231578</c:v>
                </c:pt>
                <c:pt idx="1">
                  <c:v>0.60111982577334022</c:v>
                </c:pt>
                <c:pt idx="2">
                  <c:v>-0.24349370730627198</c:v>
                </c:pt>
                <c:pt idx="3">
                  <c:v>1.1000000000000001</c:v>
                </c:pt>
                <c:pt idx="4">
                  <c:v>0.55329775951516924</c:v>
                </c:pt>
                <c:pt idx="5">
                  <c:v>0.51549480700171046</c:v>
                </c:pt>
                <c:pt idx="6">
                  <c:v>0.43988890197479291</c:v>
                </c:pt>
              </c:numCache>
            </c:numRef>
          </c:val>
          <c:extLst>
            <c:ext xmlns:c16="http://schemas.microsoft.com/office/drawing/2014/chart" uri="{C3380CC4-5D6E-409C-BE32-E72D297353CC}">
              <c16:uniqueId val="{00000004-B2C3-427A-BCBE-D217150D2B61}"/>
            </c:ext>
          </c:extLst>
        </c:ser>
        <c:dLbls>
          <c:showLegendKey val="0"/>
          <c:showVal val="0"/>
          <c:showCatName val="0"/>
          <c:showSerName val="0"/>
          <c:showPercent val="0"/>
          <c:showBubbleSize val="0"/>
        </c:dLbls>
        <c:gapWidth val="60"/>
        <c:overlap val="100"/>
        <c:axId val="1768857792"/>
        <c:axId val="1768858336"/>
      </c:barChart>
      <c:lineChart>
        <c:grouping val="standard"/>
        <c:varyColors val="0"/>
        <c:ser>
          <c:idx val="5"/>
          <c:order val="5"/>
          <c:tx>
            <c:strRef>
              <c:f>BDP_doprinosi!$R$39</c:f>
              <c:strCache>
                <c:ptCount val="1"/>
                <c:pt idx="0">
                  <c:v>Реални раст БДП</c:v>
                </c:pt>
              </c:strCache>
            </c:strRef>
          </c:tx>
          <c:spPr>
            <a:ln w="25400" cap="rnd">
              <a:solidFill>
                <a:srgbClr val="FF0000"/>
              </a:solidFill>
              <a:round/>
            </a:ln>
            <a:effectLst/>
          </c:spPr>
          <c:marker>
            <c:symbol val="none"/>
          </c:marker>
          <c:dLbls>
            <c:dLbl>
              <c:idx val="2"/>
              <c:layout>
                <c:manualLayout>
                  <c:x val="-6.6898148148148151E-2"/>
                  <c:y val="5.15497823206511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2C3-427A-BCBE-D217150D2B61}"/>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BDP_doprinosi!$AC$33:$AI$33</c:f>
              <c:numCache>
                <c:formatCode>General</c:formatCode>
                <c:ptCount val="7"/>
                <c:pt idx="0">
                  <c:v>2018</c:v>
                </c:pt>
                <c:pt idx="1">
                  <c:v>2019</c:v>
                </c:pt>
                <c:pt idx="2">
                  <c:v>2020</c:v>
                </c:pt>
                <c:pt idx="3">
                  <c:v>2021</c:v>
                </c:pt>
                <c:pt idx="4">
                  <c:v>2022</c:v>
                </c:pt>
                <c:pt idx="5">
                  <c:v>2023</c:v>
                </c:pt>
                <c:pt idx="6">
                  <c:v>2024</c:v>
                </c:pt>
              </c:numCache>
            </c:numRef>
          </c:cat>
          <c:val>
            <c:numRef>
              <c:f>BDP_doprinosi!$AC$39:$AI$39</c:f>
              <c:numCache>
                <c:formatCode>0.0</c:formatCode>
                <c:ptCount val="7"/>
                <c:pt idx="0">
                  <c:v>4.4951101064940868</c:v>
                </c:pt>
                <c:pt idx="1">
                  <c:v>4.2485174254257769</c:v>
                </c:pt>
                <c:pt idx="2">
                  <c:v>-0.98984482883725966</c:v>
                </c:pt>
                <c:pt idx="3">
                  <c:v>5.9599999999999991</c:v>
                </c:pt>
                <c:pt idx="4">
                  <c:v>4</c:v>
                </c:pt>
                <c:pt idx="5">
                  <c:v>4</c:v>
                </c:pt>
                <c:pt idx="6">
                  <c:v>4</c:v>
                </c:pt>
              </c:numCache>
            </c:numRef>
          </c:val>
          <c:smooth val="0"/>
          <c:extLst>
            <c:ext xmlns:c16="http://schemas.microsoft.com/office/drawing/2014/chart" uri="{C3380CC4-5D6E-409C-BE32-E72D297353CC}">
              <c16:uniqueId val="{00000006-B2C3-427A-BCBE-D217150D2B61}"/>
            </c:ext>
          </c:extLst>
        </c:ser>
        <c:dLbls>
          <c:showLegendKey val="0"/>
          <c:showVal val="0"/>
          <c:showCatName val="0"/>
          <c:showSerName val="0"/>
          <c:showPercent val="0"/>
          <c:showBubbleSize val="0"/>
        </c:dLbls>
        <c:marker val="1"/>
        <c:smooth val="0"/>
        <c:axId val="1768857792"/>
        <c:axId val="1768858336"/>
      </c:lineChart>
      <c:catAx>
        <c:axId val="1768857792"/>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8336"/>
        <c:crosses val="autoZero"/>
        <c:auto val="1"/>
        <c:lblAlgn val="ctr"/>
        <c:lblOffset val="100"/>
        <c:noMultiLvlLbl val="0"/>
      </c:catAx>
      <c:valAx>
        <c:axId val="1768858336"/>
        <c:scaling>
          <c:orientation val="minMax"/>
          <c:max val="7"/>
          <c:min val="-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768857792"/>
        <c:crosses val="autoZero"/>
        <c:crossBetween val="between"/>
        <c:majorUnit val="2"/>
      </c:valAx>
      <c:spPr>
        <a:noFill/>
        <a:ln>
          <a:noFill/>
        </a:ln>
        <a:effectLst/>
      </c:spPr>
    </c:plotArea>
    <c:legend>
      <c:legendPos val="b"/>
      <c:layout>
        <c:manualLayout>
          <c:xMode val="edge"/>
          <c:yMode val="edge"/>
          <c:x val="2.9349664625255175E-2"/>
          <c:y val="0.84945769449176611"/>
          <c:w val="0.93586103820355804"/>
          <c:h val="0.1475728752602688"/>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0253890798861412E-2"/>
          <c:y val="9.5036966533029524E-2"/>
          <c:w val="0.90740810185185183"/>
          <c:h val="0.58088975694444445"/>
        </c:manualLayout>
      </c:layout>
      <c:barChart>
        <c:barDir val="col"/>
        <c:grouping val="stacked"/>
        <c:varyColors val="0"/>
        <c:ser>
          <c:idx val="2"/>
          <c:order val="1"/>
          <c:tx>
            <c:strRef>
              <c:f>'nepoljoprivredni BDP'!$D$5</c:f>
              <c:strCache>
                <c:ptCount val="1"/>
                <c:pt idx="0">
                  <c:v>Допринос фактора рада, п.п.</c:v>
                </c:pt>
              </c:strCache>
            </c:strRef>
          </c:tx>
          <c:spPr>
            <a:solidFill>
              <a:srgbClr val="10103C"/>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BDP'!$D$10:$D$15</c:f>
              <c:numCache>
                <c:formatCode>0.0</c:formatCode>
                <c:ptCount val="6"/>
                <c:pt idx="0">
                  <c:v>1.1327976415450824</c:v>
                </c:pt>
                <c:pt idx="1">
                  <c:v>0.9694102879167622</c:v>
                </c:pt>
                <c:pt idx="2">
                  <c:v>0.75082821669793076</c:v>
                </c:pt>
                <c:pt idx="3">
                  <c:v>0.65162986886483032</c:v>
                </c:pt>
                <c:pt idx="4">
                  <c:v>0.61450036523599816</c:v>
                </c:pt>
                <c:pt idx="5">
                  <c:v>0.63051926540335312</c:v>
                </c:pt>
              </c:numCache>
            </c:numRef>
          </c:val>
          <c:extLst>
            <c:ext xmlns:c16="http://schemas.microsoft.com/office/drawing/2014/chart" uri="{C3380CC4-5D6E-409C-BE32-E72D297353CC}">
              <c16:uniqueId val="{00000000-AD24-4C6C-AD59-0D52C4A2A518}"/>
            </c:ext>
          </c:extLst>
        </c:ser>
        <c:ser>
          <c:idx val="1"/>
          <c:order val="2"/>
          <c:tx>
            <c:strRef>
              <c:f>'nepoljoprivredni BDP'!$E$5</c:f>
              <c:strCache>
                <c:ptCount val="1"/>
                <c:pt idx="0">
                  <c:v>Допринос капитала, п.п.</c:v>
                </c:pt>
              </c:strCache>
            </c:strRef>
          </c:tx>
          <c:spPr>
            <a:solidFill>
              <a:srgbClr val="29489A"/>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BDP'!$E$10:$E$15</c:f>
              <c:numCache>
                <c:formatCode>0.0</c:formatCode>
                <c:ptCount val="6"/>
                <c:pt idx="0">
                  <c:v>1.5861942447027155</c:v>
                </c:pt>
                <c:pt idx="1">
                  <c:v>1.3425514737248223</c:v>
                </c:pt>
                <c:pt idx="2">
                  <c:v>1.6680540484536186</c:v>
                </c:pt>
                <c:pt idx="3">
                  <c:v>1.709937138774946</c:v>
                </c:pt>
                <c:pt idx="4">
                  <c:v>1.7721695022454309</c:v>
                </c:pt>
                <c:pt idx="5">
                  <c:v>1.8779429833503301</c:v>
                </c:pt>
              </c:numCache>
            </c:numRef>
          </c:val>
          <c:extLst>
            <c:ext xmlns:c16="http://schemas.microsoft.com/office/drawing/2014/chart" uri="{C3380CC4-5D6E-409C-BE32-E72D297353CC}">
              <c16:uniqueId val="{00000001-AD24-4C6C-AD59-0D52C4A2A518}"/>
            </c:ext>
          </c:extLst>
        </c:ser>
        <c:ser>
          <c:idx val="3"/>
          <c:order val="3"/>
          <c:tx>
            <c:strRef>
              <c:f>'nepoljoprivredni BDP'!$F$5</c:f>
              <c:strCache>
                <c:ptCount val="1"/>
                <c:pt idx="0">
                  <c:v>ТФП, п.п.</c:v>
                </c:pt>
              </c:strCache>
            </c:strRef>
          </c:tx>
          <c:spPr>
            <a:solidFill>
              <a:srgbClr val="51BBE7"/>
            </a:solidFill>
            <a:ln>
              <a:noFill/>
            </a:ln>
            <a:effectLst/>
          </c:spPr>
          <c:invertIfNegative val="0"/>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BDP'!$F$10:$F$15</c:f>
              <c:numCache>
                <c:formatCode>0.0</c:formatCode>
                <c:ptCount val="6"/>
                <c:pt idx="0">
                  <c:v>0.35740173328866809</c:v>
                </c:pt>
                <c:pt idx="1">
                  <c:v>0.93685809140665022</c:v>
                </c:pt>
                <c:pt idx="2">
                  <c:v>1.1361176583418242</c:v>
                </c:pt>
                <c:pt idx="3">
                  <c:v>1.4592948763283087</c:v>
                </c:pt>
                <c:pt idx="4">
                  <c:v>1.5857802965713139</c:v>
                </c:pt>
                <c:pt idx="5">
                  <c:v>1.539983955529868</c:v>
                </c:pt>
              </c:numCache>
            </c:numRef>
          </c:val>
          <c:extLst>
            <c:ext xmlns:c16="http://schemas.microsoft.com/office/drawing/2014/chart" uri="{C3380CC4-5D6E-409C-BE32-E72D297353CC}">
              <c16:uniqueId val="{00000002-AD24-4C6C-AD59-0D52C4A2A518}"/>
            </c:ext>
          </c:extLst>
        </c:ser>
        <c:dLbls>
          <c:showLegendKey val="0"/>
          <c:showVal val="0"/>
          <c:showCatName val="0"/>
          <c:showSerName val="0"/>
          <c:showPercent val="0"/>
          <c:showBubbleSize val="0"/>
        </c:dLbls>
        <c:gapWidth val="60"/>
        <c:overlap val="100"/>
        <c:axId val="1961428144"/>
        <c:axId val="1961437392"/>
      </c:barChart>
      <c:lineChart>
        <c:grouping val="standard"/>
        <c:varyColors val="0"/>
        <c:ser>
          <c:idx val="0"/>
          <c:order val="0"/>
          <c:tx>
            <c:strRef>
              <c:f>'nepoljoprivredni BDP'!$C$5</c:f>
              <c:strCache>
                <c:ptCount val="1"/>
                <c:pt idx="0">
                  <c:v>Раст потенцијалног БДП, %</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Arial" panose="020B0604020202020204" pitchFamily="34" charset="0"/>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'nepoljoprivredni BDP'!$B$10:$B$15</c:f>
              <c:numCache>
                <c:formatCode>General</c:formatCode>
                <c:ptCount val="6"/>
                <c:pt idx="0">
                  <c:v>2019</c:v>
                </c:pt>
                <c:pt idx="1">
                  <c:v>2020</c:v>
                </c:pt>
                <c:pt idx="2">
                  <c:v>2021</c:v>
                </c:pt>
                <c:pt idx="3">
                  <c:v>2022</c:v>
                </c:pt>
                <c:pt idx="4">
                  <c:v>2023</c:v>
                </c:pt>
                <c:pt idx="5">
                  <c:v>2024</c:v>
                </c:pt>
              </c:numCache>
            </c:numRef>
          </c:cat>
          <c:val>
            <c:numRef>
              <c:f>'nepoljoprivredni BDP'!$C$10:$C$15</c:f>
              <c:numCache>
                <c:formatCode>0.0</c:formatCode>
                <c:ptCount val="6"/>
                <c:pt idx="0">
                  <c:v>3.0763936195364661</c:v>
                </c:pt>
                <c:pt idx="1">
                  <c:v>3.2488198530482348</c:v>
                </c:pt>
                <c:pt idx="2">
                  <c:v>3.5549999234933738</c:v>
                </c:pt>
                <c:pt idx="3">
                  <c:v>3.8208618839680852</c:v>
                </c:pt>
                <c:pt idx="4">
                  <c:v>3.9724501640527432</c:v>
                </c:pt>
                <c:pt idx="5">
                  <c:v>4.0484462042835512</c:v>
                </c:pt>
              </c:numCache>
            </c:numRef>
          </c:val>
          <c:smooth val="0"/>
          <c:extLst>
            <c:ext xmlns:c16="http://schemas.microsoft.com/office/drawing/2014/chart" uri="{C3380CC4-5D6E-409C-BE32-E72D297353CC}">
              <c16:uniqueId val="{00000003-AD24-4C6C-AD59-0D52C4A2A518}"/>
            </c:ext>
          </c:extLst>
        </c:ser>
        <c:dLbls>
          <c:showLegendKey val="0"/>
          <c:showVal val="0"/>
          <c:showCatName val="0"/>
          <c:showSerName val="0"/>
          <c:showPercent val="0"/>
          <c:showBubbleSize val="0"/>
        </c:dLbls>
        <c:marker val="1"/>
        <c:smooth val="0"/>
        <c:axId val="1961428144"/>
        <c:axId val="1961437392"/>
      </c:lineChart>
      <c:catAx>
        <c:axId val="196142814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37392"/>
        <c:crossesAt val="0"/>
        <c:auto val="1"/>
        <c:lblAlgn val="ctr"/>
        <c:lblOffset val="100"/>
        <c:noMultiLvlLbl val="0"/>
      </c:catAx>
      <c:valAx>
        <c:axId val="1961437392"/>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crossAx val="1961428144"/>
        <c:crosses val="autoZero"/>
        <c:crossBetween val="between"/>
        <c:majorUnit val="1"/>
        <c:minorUnit val="0.2"/>
      </c:valAx>
      <c:spPr>
        <a:noFill/>
        <a:ln>
          <a:noFill/>
        </a:ln>
        <a:effectLst/>
      </c:spPr>
    </c:plotArea>
    <c:legend>
      <c:legendPos val="b"/>
      <c:layout>
        <c:manualLayout>
          <c:xMode val="edge"/>
          <c:yMode val="edge"/>
          <c:x val="1.4346234889652889E-3"/>
          <c:y val="0.79209678819444451"/>
          <c:w val="0.99827437063324831"/>
          <c:h val="0.1944487847222222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Arial" panose="020B0604020202020204" pitchFamily="34" charset="0"/>
            </a:defRPr>
          </a:pPr>
          <a:endParaRPr lang="sr-Latn-RS"/>
        </a:p>
      </c:txPr>
    </c:legend>
    <c:plotVisOnly val="1"/>
    <c:dispBlanksAs val="gap"/>
    <c:showDLblsOverMax val="0"/>
  </c:chart>
  <c:spPr>
    <a:solidFill>
      <a:sysClr val="window" lastClr="FFFFFF"/>
    </a:solidFill>
    <a:ln w="9525" cap="flat" cmpd="sng" algn="ctr">
      <a:noFill/>
      <a:round/>
    </a:ln>
    <a:effectLst/>
  </c:spPr>
  <c:txPr>
    <a:bodyPr/>
    <a:lstStyle/>
    <a:p>
      <a:pPr>
        <a:defRPr sz="750">
          <a:solidFill>
            <a:schemeClr val="tx2"/>
          </a:solidFill>
          <a:latin typeface="+mn-lt"/>
          <a:cs typeface="Arial" panose="020B0604020202020204" pitchFamily="34" charset="0"/>
        </a:defRPr>
      </a:pPr>
      <a:endParaRPr lang="sr-Latn-RS"/>
    </a:p>
  </c:txPr>
  <c:externalData r:id="rId4">
    <c:autoUpdate val="0"/>
  </c:externalData>
  <c:userShapes r:id="rId5"/>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6672863808690581E-2"/>
          <c:y val="0.10225565087946097"/>
          <c:w val="0.96452464275298921"/>
          <c:h val="0.7363283320928169"/>
        </c:manualLayout>
      </c:layout>
      <c:barChart>
        <c:barDir val="col"/>
        <c:grouping val="clustered"/>
        <c:varyColors val="0"/>
        <c:ser>
          <c:idx val="0"/>
          <c:order val="0"/>
          <c:tx>
            <c:strRef>
              <c:f>'Trziste rada'!$Q$9</c:f>
              <c:strCache>
                <c:ptCount val="1"/>
                <c:pt idx="0">
                  <c:v>I 2019</c:v>
                </c:pt>
              </c:strCache>
            </c:strRef>
          </c:tx>
          <c:spPr>
            <a:solidFill>
              <a:srgbClr val="29489A"/>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rada'!$R$9:$T$9</c:f>
              <c:numCache>
                <c:formatCode>0.0%</c:formatCode>
                <c:ptCount val="3"/>
                <c:pt idx="0">
                  <c:v>0.12105954465849388</c:v>
                </c:pt>
                <c:pt idx="1">
                  <c:v>0.4735547355473555</c:v>
                </c:pt>
                <c:pt idx="2">
                  <c:v>0.46100000000000002</c:v>
                </c:pt>
              </c:numCache>
            </c:numRef>
          </c:val>
          <c:extLst>
            <c:ext xmlns:c16="http://schemas.microsoft.com/office/drawing/2014/chart" uri="{C3380CC4-5D6E-409C-BE32-E72D297353CC}">
              <c16:uniqueId val="{00000002-41EB-4693-BA2B-4A171C1C5A48}"/>
            </c:ext>
          </c:extLst>
        </c:ser>
        <c:ser>
          <c:idx val="1"/>
          <c:order val="1"/>
          <c:tx>
            <c:strRef>
              <c:f>'Trziste rada'!$Q$10</c:f>
              <c:strCache>
                <c:ptCount val="1"/>
                <c:pt idx="0">
                  <c:v>II 2019</c:v>
                </c:pt>
              </c:strCache>
            </c:strRef>
          </c:tx>
          <c:spPr>
            <a:solidFill>
              <a:srgbClr val="29489A"/>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rada'!$R$10:$T$10</c:f>
              <c:numCache>
                <c:formatCode>0.0%</c:formatCode>
                <c:ptCount val="3"/>
                <c:pt idx="0">
                  <c:v>0.10275342255037687</c:v>
                </c:pt>
                <c:pt idx="1">
                  <c:v>0.4920203792428639</c:v>
                </c:pt>
                <c:pt idx="2">
                  <c:v>0.45200000000000001</c:v>
                </c:pt>
              </c:numCache>
            </c:numRef>
          </c:val>
          <c:extLst>
            <c:ext xmlns:c16="http://schemas.microsoft.com/office/drawing/2014/chart" uri="{C3380CC4-5D6E-409C-BE32-E72D297353CC}">
              <c16:uniqueId val="{00000005-41EB-4693-BA2B-4A171C1C5A48}"/>
            </c:ext>
          </c:extLst>
        </c:ser>
        <c:ser>
          <c:idx val="2"/>
          <c:order val="2"/>
          <c:tx>
            <c:strRef>
              <c:f>'Trziste rada'!$Q$11</c:f>
              <c:strCache>
                <c:ptCount val="1"/>
                <c:pt idx="0">
                  <c:v>III 2019</c:v>
                </c:pt>
              </c:strCache>
            </c:strRef>
          </c:tx>
          <c:spPr>
            <a:solidFill>
              <a:srgbClr val="29489A"/>
            </a:solidFill>
            <a:ln>
              <a:noFill/>
            </a:ln>
            <a:effectLst/>
          </c:spPr>
          <c:invertIfNegative val="0"/>
          <c:dLbls>
            <c:dLbl>
              <c:idx val="0"/>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rada'!$R$11:$T$11</c:f>
              <c:numCache>
                <c:formatCode>0.0%</c:formatCode>
                <c:ptCount val="3"/>
                <c:pt idx="0">
                  <c:v>9.4977056450371106E-2</c:v>
                </c:pt>
                <c:pt idx="1">
                  <c:v>0.49637687279360843</c:v>
                </c:pt>
                <c:pt idx="2">
                  <c:v>0.45200000000000001</c:v>
                </c:pt>
              </c:numCache>
            </c:numRef>
          </c:val>
          <c:extLst>
            <c:ext xmlns:c16="http://schemas.microsoft.com/office/drawing/2014/chart" uri="{C3380CC4-5D6E-409C-BE32-E72D297353CC}">
              <c16:uniqueId val="{00000007-41EB-4693-BA2B-4A171C1C5A48}"/>
            </c:ext>
          </c:extLst>
        </c:ser>
        <c:ser>
          <c:idx val="3"/>
          <c:order val="3"/>
          <c:tx>
            <c:strRef>
              <c:f>'Trziste rada'!$Q$12</c:f>
              <c:strCache>
                <c:ptCount val="1"/>
                <c:pt idx="0">
                  <c:v>IV 2019</c:v>
                </c:pt>
              </c:strCache>
            </c:strRef>
          </c:tx>
          <c:spPr>
            <a:solidFill>
              <a:srgbClr val="29489A"/>
            </a:solidFill>
            <a:ln>
              <a:noFill/>
            </a:ln>
            <a:effectLst/>
          </c:spPr>
          <c:invertIfNegative val="0"/>
          <c:dLbls>
            <c:dLbl>
              <c:idx val="0"/>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ysClr val="windowText" lastClr="000000"/>
                      </a:solidFill>
                      <a:latin typeface="+mn-lt"/>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rada'!$R$12:$T$12</c:f>
              <c:numCache>
                <c:formatCode>0.0%</c:formatCode>
                <c:ptCount val="3"/>
                <c:pt idx="0">
                  <c:v>9.6577806475417402E-2</c:v>
                </c:pt>
                <c:pt idx="1">
                  <c:v>0.49691352804884237</c:v>
                </c:pt>
                <c:pt idx="2">
                  <c:v>0.45</c:v>
                </c:pt>
              </c:numCache>
            </c:numRef>
          </c:val>
          <c:extLst>
            <c:ext xmlns:c16="http://schemas.microsoft.com/office/drawing/2014/chart" uri="{C3380CC4-5D6E-409C-BE32-E72D297353CC}">
              <c16:uniqueId val="{00000009-41EB-4693-BA2B-4A171C1C5A48}"/>
            </c:ext>
          </c:extLst>
        </c:ser>
        <c:ser>
          <c:idx val="4"/>
          <c:order val="4"/>
          <c:tx>
            <c:strRef>
              <c:f>'Trziste rada'!$Q$13</c:f>
              <c:strCache>
                <c:ptCount val="1"/>
                <c:pt idx="0">
                  <c:v>I 2020</c:v>
                </c:pt>
              </c:strCache>
            </c:strRef>
          </c:tx>
          <c:spPr>
            <a:solidFill>
              <a:srgbClr val="FF0000"/>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rada'!$R$13:$T$13</c:f>
              <c:numCache>
                <c:formatCode>0.0%</c:formatCode>
                <c:ptCount val="3"/>
                <c:pt idx="0">
                  <c:v>9.7342911817297734E-2</c:v>
                </c:pt>
                <c:pt idx="1">
                  <c:v>0.48723245732863724</c:v>
                </c:pt>
                <c:pt idx="2">
                  <c:v>0.46</c:v>
                </c:pt>
              </c:numCache>
            </c:numRef>
          </c:val>
          <c:extLst>
            <c:ext xmlns:c16="http://schemas.microsoft.com/office/drawing/2014/chart" uri="{C3380CC4-5D6E-409C-BE32-E72D297353CC}">
              <c16:uniqueId val="{0000000C-41EB-4693-BA2B-4A171C1C5A48}"/>
            </c:ext>
          </c:extLst>
        </c:ser>
        <c:ser>
          <c:idx val="5"/>
          <c:order val="5"/>
          <c:tx>
            <c:strRef>
              <c:f>'Trziste rada'!$Q$14</c:f>
              <c:strCache>
                <c:ptCount val="1"/>
                <c:pt idx="0">
                  <c:v>II 2020</c:v>
                </c:pt>
              </c:strCache>
            </c:strRef>
          </c:tx>
          <c:spPr>
            <a:solidFill>
              <a:srgbClr val="FF0000"/>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rada'!$R$14:$T$14</c:f>
              <c:numCache>
                <c:formatCode>0.0%</c:formatCode>
                <c:ptCount val="3"/>
                <c:pt idx="0">
                  <c:v>7.2674513383978345E-2</c:v>
                </c:pt>
                <c:pt idx="1">
                  <c:v>0.48223126483553747</c:v>
                </c:pt>
                <c:pt idx="2">
                  <c:v>0.48</c:v>
                </c:pt>
              </c:numCache>
            </c:numRef>
          </c:val>
          <c:extLst>
            <c:ext xmlns:c16="http://schemas.microsoft.com/office/drawing/2014/chart" uri="{C3380CC4-5D6E-409C-BE32-E72D297353CC}">
              <c16:uniqueId val="{0000000F-41EB-4693-BA2B-4A171C1C5A48}"/>
            </c:ext>
          </c:extLst>
        </c:ser>
        <c:ser>
          <c:idx val="6"/>
          <c:order val="6"/>
          <c:tx>
            <c:strRef>
              <c:f>'Trziste rada'!$Q$15</c:f>
              <c:strCache>
                <c:ptCount val="1"/>
                <c:pt idx="0">
                  <c:v>III 2020</c:v>
                </c:pt>
              </c:strCache>
            </c:strRef>
          </c:tx>
          <c:spPr>
            <a:solidFill>
              <a:srgbClr val="FF0000"/>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rada'!$R$15:$T$15</c:f>
              <c:numCache>
                <c:formatCode>0.0%</c:formatCode>
                <c:ptCount val="3"/>
                <c:pt idx="0">
                  <c:v>9.0441677507278703E-2</c:v>
                </c:pt>
                <c:pt idx="1">
                  <c:v>0.4985399972837159</c:v>
                </c:pt>
                <c:pt idx="2">
                  <c:v>0.45200000000000001</c:v>
                </c:pt>
              </c:numCache>
            </c:numRef>
          </c:val>
          <c:extLst>
            <c:ext xmlns:c16="http://schemas.microsoft.com/office/drawing/2014/chart" uri="{C3380CC4-5D6E-409C-BE32-E72D297353CC}">
              <c16:uniqueId val="{00000012-41EB-4693-BA2B-4A171C1C5A48}"/>
            </c:ext>
          </c:extLst>
        </c:ser>
        <c:ser>
          <c:idx val="7"/>
          <c:order val="7"/>
          <c:tx>
            <c:strRef>
              <c:f>'Trziste rada'!$Q$16</c:f>
              <c:strCache>
                <c:ptCount val="1"/>
                <c:pt idx="0">
                  <c:v>IV 2020</c:v>
                </c:pt>
              </c:strCache>
            </c:strRef>
          </c:tx>
          <c:spPr>
            <a:solidFill>
              <a:srgbClr val="FF0000"/>
            </a:solidFill>
            <a:ln>
              <a:noFill/>
            </a:ln>
            <a:effectLst/>
          </c:spPr>
          <c:invertIfNegative val="0"/>
          <c:dLbls>
            <c:dLbl>
              <c:idx val="1"/>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41EB-4693-BA2B-4A171C1C5A48}"/>
                </c:ext>
              </c:extLst>
            </c:dLbl>
            <c:dLbl>
              <c:idx val="2"/>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bg1"/>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41EB-4693-BA2B-4A171C1C5A48}"/>
                </c:ext>
              </c:extLst>
            </c:dLbl>
            <c:spPr>
              <a:noFill/>
              <a:ln>
                <a:noFill/>
              </a:ln>
              <a:effectLst/>
            </c:spPr>
            <c:txPr>
              <a:bodyPr rot="-5400000" spcFirstLastPara="1" vertOverflow="ellipsis"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'Trziste rada'!$R$8:$T$8</c:f>
              <c:strCache>
                <c:ptCount val="3"/>
                <c:pt idx="0">
                  <c:v>Стопа незапослености</c:v>
                </c:pt>
                <c:pt idx="1">
                  <c:v>Стопа запослености</c:v>
                </c:pt>
                <c:pt idx="2">
                  <c:v>Стопа неактивности</c:v>
                </c:pt>
              </c:strCache>
            </c:strRef>
          </c:cat>
          <c:val>
            <c:numRef>
              <c:f>'Trziste rada'!$R$16:$T$16</c:f>
              <c:numCache>
                <c:formatCode>0.0%</c:formatCode>
                <c:ptCount val="3"/>
                <c:pt idx="0">
                  <c:v>9.9016009130448196E-2</c:v>
                </c:pt>
                <c:pt idx="1">
                  <c:v>0.49651526483987218</c:v>
                </c:pt>
                <c:pt idx="2">
                  <c:v>0.44900000000000001</c:v>
                </c:pt>
              </c:numCache>
            </c:numRef>
          </c:val>
          <c:extLst>
            <c:ext xmlns:c16="http://schemas.microsoft.com/office/drawing/2014/chart" uri="{C3380CC4-5D6E-409C-BE32-E72D297353CC}">
              <c16:uniqueId val="{00000015-41EB-4693-BA2B-4A171C1C5A48}"/>
            </c:ext>
          </c:extLst>
        </c:ser>
        <c:dLbls>
          <c:showLegendKey val="0"/>
          <c:showVal val="0"/>
          <c:showCatName val="0"/>
          <c:showSerName val="0"/>
          <c:showPercent val="0"/>
          <c:showBubbleSize val="0"/>
        </c:dLbls>
        <c:gapWidth val="80"/>
        <c:overlap val="-12"/>
        <c:axId val="1961419440"/>
        <c:axId val="1961425968"/>
      </c:barChart>
      <c:catAx>
        <c:axId val="1961419440"/>
        <c:scaling>
          <c:orientation val="minMax"/>
        </c:scaling>
        <c:delete val="0"/>
        <c:axPos val="b"/>
        <c:numFmt formatCode="General" sourceLinked="1"/>
        <c:majorTickMark val="none"/>
        <c:minorTickMark val="none"/>
        <c:tickLblPos val="high"/>
        <c:spPr>
          <a:noFill/>
          <a:ln w="6350"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61425968"/>
        <c:crosses val="autoZero"/>
        <c:auto val="1"/>
        <c:lblAlgn val="ctr"/>
        <c:lblOffset val="100"/>
        <c:noMultiLvlLbl val="0"/>
      </c:catAx>
      <c:valAx>
        <c:axId val="1961425968"/>
        <c:scaling>
          <c:orientation val="minMax"/>
          <c:max val="0.5"/>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9614194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466113593502875E-2"/>
          <c:y val="4.0935897435897435E-2"/>
          <c:w val="0.87853457755764131"/>
          <c:h val="0.86902190170940175"/>
        </c:manualLayout>
      </c:layout>
      <c:lineChart>
        <c:grouping val="standard"/>
        <c:varyColors val="0"/>
        <c:ser>
          <c:idx val="0"/>
          <c:order val="0"/>
          <c:tx>
            <c:strRef>
              <c:f>FED!$L$8</c:f>
              <c:strCache>
                <c:ptCount val="1"/>
                <c:pt idx="0">
                  <c:v>САД</c:v>
                </c:pt>
              </c:strCache>
            </c:strRef>
          </c:tx>
          <c:spPr>
            <a:ln w="22225" cap="rnd">
              <a:solidFill>
                <a:srgbClr val="00A651"/>
              </a:solidFill>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FED!$L$11:$L$61</c:f>
              <c:numCache>
                <c:formatCode>General</c:formatCode>
                <c:ptCount val="51"/>
                <c:pt idx="14" formatCode="0.00">
                  <c:v>0.08</c:v>
                </c:pt>
                <c:pt idx="15" formatCode="0.00">
                  <c:v>7.0000000000000007E-2</c:v>
                </c:pt>
                <c:pt idx="16" formatCode="0.00">
                  <c:v>7.0000000000000007E-2</c:v>
                </c:pt>
                <c:pt idx="17" formatCode="0.00">
                  <c:v>0.08</c:v>
                </c:pt>
                <c:pt idx="18" formatCode="0.00">
                  <c:v>0.08</c:v>
                </c:pt>
                <c:pt idx="19" formatCode="0.00">
                  <c:v>0.08</c:v>
                </c:pt>
                <c:pt idx="20" formatCode="0.00">
                  <c:v>0.08</c:v>
                </c:pt>
                <c:pt idx="21" formatCode="0.00">
                  <c:v>0.08</c:v>
                </c:pt>
                <c:pt idx="22" formatCode="0.00">
                  <c:v>0.08</c:v>
                </c:pt>
                <c:pt idx="23" formatCode="0.00">
                  <c:v>0.08</c:v>
                </c:pt>
                <c:pt idx="24" formatCode="0.00">
                  <c:v>0.08</c:v>
                </c:pt>
                <c:pt idx="25" formatCode="0.00">
                  <c:v>0.08</c:v>
                </c:pt>
                <c:pt idx="26" formatCode="0.00">
                  <c:v>0.08</c:v>
                </c:pt>
                <c:pt idx="27" formatCode="0.00">
                  <c:v>8.5000000000000006E-2</c:v>
                </c:pt>
                <c:pt idx="28" formatCode="0.00">
                  <c:v>8.5000000000000006E-2</c:v>
                </c:pt>
                <c:pt idx="29" formatCode="0.00">
                  <c:v>9.5000000000000001E-2</c:v>
                </c:pt>
                <c:pt idx="30" formatCode="0.00">
                  <c:v>0.105</c:v>
                </c:pt>
                <c:pt idx="31" formatCode="0.00">
                  <c:v>0.115</c:v>
                </c:pt>
                <c:pt idx="32" formatCode="0.00">
                  <c:v>0.13</c:v>
                </c:pt>
                <c:pt idx="33" formatCode="0.00">
                  <c:v>0.14499999999999999</c:v>
                </c:pt>
                <c:pt idx="34" formatCode="0.00">
                  <c:v>0.16</c:v>
                </c:pt>
                <c:pt idx="35" formatCode="0.00">
                  <c:v>0.185</c:v>
                </c:pt>
                <c:pt idx="36" formatCode="0.00">
                  <c:v>0.215</c:v>
                </c:pt>
                <c:pt idx="37" formatCode="0.00">
                  <c:v>0.23499999999999999</c:v>
                </c:pt>
                <c:pt idx="38" formatCode="0.00">
                  <c:v>0.27</c:v>
                </c:pt>
                <c:pt idx="39" formatCode="0.00">
                  <c:v>0.29499999999999998</c:v>
                </c:pt>
                <c:pt idx="40" formatCode="0.00">
                  <c:v>0.29499999999999998</c:v>
                </c:pt>
                <c:pt idx="41" formatCode="0.00">
                  <c:v>0.29499999999999998</c:v>
                </c:pt>
                <c:pt idx="42" formatCode="0.00">
                  <c:v>0.3</c:v>
                </c:pt>
                <c:pt idx="43" formatCode="0.00">
                  <c:v>0.3</c:v>
                </c:pt>
                <c:pt idx="44" formatCode="0.00">
                  <c:v>0.3</c:v>
                </c:pt>
                <c:pt idx="45" formatCode="0.00">
                  <c:v>0.3</c:v>
                </c:pt>
                <c:pt idx="46" formatCode="0.00">
                  <c:v>0.3</c:v>
                </c:pt>
                <c:pt idx="47" formatCode="0.00">
                  <c:v>0.3</c:v>
                </c:pt>
                <c:pt idx="48" formatCode="0.00">
                  <c:v>0.3</c:v>
                </c:pt>
                <c:pt idx="49" formatCode="0.00">
                  <c:v>0.3</c:v>
                </c:pt>
                <c:pt idx="50" formatCode="0.00">
                  <c:v>0.3</c:v>
                </c:pt>
              </c:numCache>
            </c:numRef>
          </c:val>
          <c:smooth val="1"/>
          <c:extLst>
            <c:ext xmlns:c16="http://schemas.microsoft.com/office/drawing/2014/chart" uri="{C3380CC4-5D6E-409C-BE32-E72D297353CC}">
              <c16:uniqueId val="{00000000-15FE-4BDE-8CB2-818227171943}"/>
            </c:ext>
          </c:extLst>
        </c:ser>
        <c:ser>
          <c:idx val="1"/>
          <c:order val="1"/>
          <c:tx>
            <c:strRef>
              <c:f>FED!$M$8</c:f>
              <c:strCache>
                <c:ptCount val="1"/>
                <c:pt idx="0">
                  <c:v>ЕЗ</c:v>
                </c:pt>
              </c:strCache>
            </c:strRef>
          </c:tx>
          <c:spPr>
            <a:ln w="22225" cap="rnd">
              <a:solidFill>
                <a:srgbClr val="7F3F98"/>
              </a:solidFill>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FED!$M$11:$M$61</c:f>
              <c:numCache>
                <c:formatCode>General</c:formatCode>
                <c:ptCount val="51"/>
                <c:pt idx="14" formatCode="0.00">
                  <c:v>-0.47899999999999998</c:v>
                </c:pt>
                <c:pt idx="15" formatCode="0.00">
                  <c:v>-0.48049999999999998</c:v>
                </c:pt>
                <c:pt idx="16" formatCode="0.00">
                  <c:v>-0.48220000000000002</c:v>
                </c:pt>
                <c:pt idx="17" formatCode="0.00">
                  <c:v>-0.48270000000000002</c:v>
                </c:pt>
                <c:pt idx="18" formatCode="0.00">
                  <c:v>-0.48299999999999998</c:v>
                </c:pt>
                <c:pt idx="19" formatCode="0.00">
                  <c:v>-0.48449999999999999</c:v>
                </c:pt>
                <c:pt idx="20" formatCode="0.00">
                  <c:v>-0.48399999999999999</c:v>
                </c:pt>
                <c:pt idx="21" formatCode="0.00">
                  <c:v>-0.48499999999999999</c:v>
                </c:pt>
                <c:pt idx="22" formatCode="0.00">
                  <c:v>-0.48499999999999999</c:v>
                </c:pt>
                <c:pt idx="23" formatCode="0.00">
                  <c:v>-0.48599999999999999</c:v>
                </c:pt>
                <c:pt idx="24" formatCode="0.00">
                  <c:v>-0.48699999999999999</c:v>
                </c:pt>
                <c:pt idx="25" formatCode="0.00">
                  <c:v>-0.48649999999999999</c:v>
                </c:pt>
                <c:pt idx="26" formatCode="0.00">
                  <c:v>-0.48599999999999999</c:v>
                </c:pt>
                <c:pt idx="27" formatCode="0.00">
                  <c:v>-0.48833333333333334</c:v>
                </c:pt>
                <c:pt idx="28" formatCode="0.00">
                  <c:v>-0.4906666666666667</c:v>
                </c:pt>
                <c:pt idx="29" formatCode="0.00">
                  <c:v>-0.49299999999999999</c:v>
                </c:pt>
                <c:pt idx="30" formatCode="0.00">
                  <c:v>-0.49266666666666664</c:v>
                </c:pt>
                <c:pt idx="31" formatCode="0.00">
                  <c:v>-0.49233333333333329</c:v>
                </c:pt>
                <c:pt idx="32" formatCode="0.00">
                  <c:v>-0.49199999999999999</c:v>
                </c:pt>
                <c:pt idx="33" formatCode="0.00">
                  <c:v>-0.49333333333333335</c:v>
                </c:pt>
                <c:pt idx="34" formatCode="0.00">
                  <c:v>-0.4946666666666667</c:v>
                </c:pt>
                <c:pt idx="35" formatCode="0.00">
                  <c:v>-0.496</c:v>
                </c:pt>
                <c:pt idx="36" formatCode="0.00">
                  <c:v>-0.496</c:v>
                </c:pt>
                <c:pt idx="37" formatCode="0.00">
                  <c:v>-0.496</c:v>
                </c:pt>
                <c:pt idx="38" formatCode="0.00">
                  <c:v>-0.496</c:v>
                </c:pt>
                <c:pt idx="39" formatCode="0.00">
                  <c:v>-0.49375000000000002</c:v>
                </c:pt>
                <c:pt idx="40" formatCode="0.00">
                  <c:v>-0.49150000000000005</c:v>
                </c:pt>
                <c:pt idx="41" formatCode="0.00">
                  <c:v>-0.48925000000000007</c:v>
                </c:pt>
                <c:pt idx="42" formatCode="0.00">
                  <c:v>-0.4870000000000001</c:v>
                </c:pt>
                <c:pt idx="43" formatCode="0.00">
                  <c:v>-0.48475000000000013</c:v>
                </c:pt>
                <c:pt idx="44" formatCode="0.00">
                  <c:v>-0.48250000000000015</c:v>
                </c:pt>
                <c:pt idx="45" formatCode="0.00">
                  <c:v>-0.48025000000000018</c:v>
                </c:pt>
                <c:pt idx="46" formatCode="0.00">
                  <c:v>-0.4780000000000002</c:v>
                </c:pt>
                <c:pt idx="47" formatCode="0.00">
                  <c:v>-0.47575000000000023</c:v>
                </c:pt>
                <c:pt idx="48" formatCode="0.00">
                  <c:v>-0.47350000000000025</c:v>
                </c:pt>
                <c:pt idx="49" formatCode="0.00">
                  <c:v>-0.47125000000000028</c:v>
                </c:pt>
                <c:pt idx="50" formatCode="0.00">
                  <c:v>-0.46899999999999997</c:v>
                </c:pt>
              </c:numCache>
            </c:numRef>
          </c:val>
          <c:smooth val="1"/>
          <c:extLst>
            <c:ext xmlns:c16="http://schemas.microsoft.com/office/drawing/2014/chart" uri="{C3380CC4-5D6E-409C-BE32-E72D297353CC}">
              <c16:uniqueId val="{00000001-15FE-4BDE-8CB2-818227171943}"/>
            </c:ext>
          </c:extLst>
        </c:ser>
        <c:ser>
          <c:idx val="2"/>
          <c:order val="2"/>
          <c:tx>
            <c:strRef>
              <c:f>FED!$N$8</c:f>
              <c:strCache>
                <c:ptCount val="1"/>
                <c:pt idx="0">
                  <c:v>УК</c:v>
                </c:pt>
              </c:strCache>
            </c:strRef>
          </c:tx>
          <c:spPr>
            <a:ln w="22225" cap="rnd">
              <a:solidFill>
                <a:srgbClr val="EC008C"/>
              </a:solidFill>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FED!$N$11:$N$61</c:f>
              <c:numCache>
                <c:formatCode>General</c:formatCode>
                <c:ptCount val="51"/>
                <c:pt idx="14" formatCode="0.00">
                  <c:v>4.9299999999999997E-2</c:v>
                </c:pt>
                <c:pt idx="15" formatCode="0.00">
                  <c:v>5.0500000000000003E-2</c:v>
                </c:pt>
                <c:pt idx="16" formatCode="0.00">
                  <c:v>5.0500000000000003E-2</c:v>
                </c:pt>
                <c:pt idx="17" formatCode="0.00">
                  <c:v>5.0750000000000003E-2</c:v>
                </c:pt>
                <c:pt idx="18" formatCode="0.00">
                  <c:v>5.0900000000000001E-2</c:v>
                </c:pt>
                <c:pt idx="19" formatCode="0.00">
                  <c:v>5.0999999999999997E-2</c:v>
                </c:pt>
                <c:pt idx="20" formatCode="0.00">
                  <c:v>5.0900000000000001E-2</c:v>
                </c:pt>
                <c:pt idx="21" formatCode="0.00">
                  <c:v>5.11E-2</c:v>
                </c:pt>
                <c:pt idx="22" formatCode="0.00">
                  <c:v>5.1299999999999998E-2</c:v>
                </c:pt>
                <c:pt idx="23" formatCode="0.00">
                  <c:v>5.1749999999999997E-2</c:v>
                </c:pt>
                <c:pt idx="24" formatCode="0.00">
                  <c:v>5.28E-2</c:v>
                </c:pt>
                <c:pt idx="25" formatCode="0.00">
                  <c:v>5.3999999999999999E-2</c:v>
                </c:pt>
                <c:pt idx="26" formatCode="0.00">
                  <c:v>5.6300000000000003E-2</c:v>
                </c:pt>
                <c:pt idx="27" formatCode="0.00">
                  <c:v>5.8433333333333337E-2</c:v>
                </c:pt>
                <c:pt idx="28" formatCode="0.00">
                  <c:v>6.0566666666666671E-2</c:v>
                </c:pt>
                <c:pt idx="29" formatCode="0.00">
                  <c:v>6.2700000000000006E-2</c:v>
                </c:pt>
                <c:pt idx="30" formatCode="0.00">
                  <c:v>6.6466666666666674E-2</c:v>
                </c:pt>
                <c:pt idx="31" formatCode="0.00">
                  <c:v>7.0233333333333342E-2</c:v>
                </c:pt>
                <c:pt idx="32" formatCode="0.00">
                  <c:v>7.3999999999999996E-2</c:v>
                </c:pt>
                <c:pt idx="33" formatCode="0.00">
                  <c:v>7.8766666666666665E-2</c:v>
                </c:pt>
                <c:pt idx="34" formatCode="0.00">
                  <c:v>8.3533333333333334E-2</c:v>
                </c:pt>
                <c:pt idx="35" formatCode="0.00">
                  <c:v>8.8300000000000003E-2</c:v>
                </c:pt>
                <c:pt idx="36" formatCode="0.00">
                  <c:v>9.4866666666666669E-2</c:v>
                </c:pt>
                <c:pt idx="37" formatCode="0.00">
                  <c:v>0.10143333333333333</c:v>
                </c:pt>
                <c:pt idx="38" formatCode="0.00">
                  <c:v>0.108</c:v>
                </c:pt>
                <c:pt idx="39" formatCode="0.00">
                  <c:v>0.11749999999999999</c:v>
                </c:pt>
                <c:pt idx="40" formatCode="0.00">
                  <c:v>0.127</c:v>
                </c:pt>
                <c:pt idx="41" formatCode="0.00">
                  <c:v>0.13650000000000001</c:v>
                </c:pt>
                <c:pt idx="42" formatCode="0.00">
                  <c:v>0.14600000000000002</c:v>
                </c:pt>
                <c:pt idx="43" formatCode="0.00">
                  <c:v>0.15550000000000003</c:v>
                </c:pt>
                <c:pt idx="44" formatCode="0.00">
                  <c:v>0.16500000000000004</c:v>
                </c:pt>
                <c:pt idx="45" formatCode="0.00">
                  <c:v>0.17450000000000004</c:v>
                </c:pt>
                <c:pt idx="46" formatCode="0.00">
                  <c:v>0.18400000000000005</c:v>
                </c:pt>
                <c:pt idx="47" formatCode="0.00">
                  <c:v>0.19350000000000006</c:v>
                </c:pt>
                <c:pt idx="48" formatCode="0.00">
                  <c:v>0.20300000000000007</c:v>
                </c:pt>
                <c:pt idx="49" formatCode="0.00">
                  <c:v>0.21250000000000008</c:v>
                </c:pt>
                <c:pt idx="50" formatCode="0.00">
                  <c:v>0.222</c:v>
                </c:pt>
              </c:numCache>
            </c:numRef>
          </c:val>
          <c:smooth val="1"/>
          <c:extLst>
            <c:ext xmlns:c16="http://schemas.microsoft.com/office/drawing/2014/chart" uri="{C3380CC4-5D6E-409C-BE32-E72D297353CC}">
              <c16:uniqueId val="{00000002-15FE-4BDE-8CB2-818227171943}"/>
            </c:ext>
          </c:extLst>
        </c:ser>
        <c:ser>
          <c:idx val="3"/>
          <c:order val="3"/>
          <c:tx>
            <c:strRef>
              <c:f>FED!$O$8</c:f>
              <c:strCache>
                <c:ptCount val="1"/>
                <c:pt idx="0">
                  <c:v>САД</c:v>
                </c:pt>
              </c:strCache>
            </c:strRef>
          </c:tx>
          <c:spPr>
            <a:ln w="22225" cap="rnd">
              <a:solidFill>
                <a:srgbClr val="00A651"/>
              </a:solidFill>
              <a:prstDash val="sysDash"/>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FED!$O$11:$O$61</c:f>
              <c:numCache>
                <c:formatCode>General</c:formatCode>
                <c:ptCount val="51"/>
                <c:pt idx="8" formatCode="0.00">
                  <c:v>0.08</c:v>
                </c:pt>
                <c:pt idx="9" formatCode="0.00">
                  <c:v>8.7499999999999994E-2</c:v>
                </c:pt>
                <c:pt idx="10" formatCode="0.00">
                  <c:v>0.08</c:v>
                </c:pt>
                <c:pt idx="11" formatCode="0.00">
                  <c:v>7.4999999999999997E-2</c:v>
                </c:pt>
                <c:pt idx="12" formatCode="0.00">
                  <c:v>7.0000000000000007E-2</c:v>
                </c:pt>
                <c:pt idx="13" formatCode="0.00">
                  <c:v>6.5000000000000002E-2</c:v>
                </c:pt>
                <c:pt idx="14" formatCode="0.00">
                  <c:v>0.06</c:v>
                </c:pt>
                <c:pt idx="15" formatCode="0.00">
                  <c:v>5.5E-2</c:v>
                </c:pt>
                <c:pt idx="16" formatCode="0.00">
                  <c:v>0.05</c:v>
                </c:pt>
                <c:pt idx="17" formatCode="0.00">
                  <c:v>4.4999999999999998E-2</c:v>
                </c:pt>
                <c:pt idx="18" formatCode="0.00">
                  <c:v>4.4999999999999998E-2</c:v>
                </c:pt>
                <c:pt idx="19" formatCode="0.00">
                  <c:v>4.4999999999999998E-2</c:v>
                </c:pt>
                <c:pt idx="20" formatCode="0.00">
                  <c:v>0.04</c:v>
                </c:pt>
                <c:pt idx="21" formatCode="0.00">
                  <c:v>0.04</c:v>
                </c:pt>
                <c:pt idx="22" formatCode="0.00">
                  <c:v>3.5000000000000003E-2</c:v>
                </c:pt>
                <c:pt idx="23" formatCode="0.00">
                  <c:v>0.03</c:v>
                </c:pt>
                <c:pt idx="24" formatCode="0.00">
                  <c:v>0.03</c:v>
                </c:pt>
                <c:pt idx="25" formatCode="0.00">
                  <c:v>2.5000000000000001E-2</c:v>
                </c:pt>
                <c:pt idx="26" formatCode="0.00">
                  <c:v>0.02</c:v>
                </c:pt>
                <c:pt idx="27" formatCode="0.00">
                  <c:v>1.4999999999999999E-2</c:v>
                </c:pt>
                <c:pt idx="28" formatCode="0.00">
                  <c:v>5.0000000000000001E-3</c:v>
                </c:pt>
                <c:pt idx="29" formatCode="0.00">
                  <c:v>5.0000000000000001E-3</c:v>
                </c:pt>
                <c:pt idx="30" formatCode="0.00">
                  <c:v>5.0000000000000001E-3</c:v>
                </c:pt>
                <c:pt idx="31" formatCode="0.00">
                  <c:v>5.0000000000000001E-3</c:v>
                </c:pt>
                <c:pt idx="32" formatCode="0.00">
                  <c:v>0.01</c:v>
                </c:pt>
                <c:pt idx="33" formatCode="0.00">
                  <c:v>0.01</c:v>
                </c:pt>
                <c:pt idx="34" formatCode="0.00">
                  <c:v>0.01</c:v>
                </c:pt>
                <c:pt idx="35" formatCode="0.00">
                  <c:v>0</c:v>
                </c:pt>
                <c:pt idx="36" formatCode="0.00">
                  <c:v>1.4999999999999999E-2</c:v>
                </c:pt>
                <c:pt idx="37" formatCode="0.00">
                  <c:v>1.4999999999999999E-2</c:v>
                </c:pt>
                <c:pt idx="38" formatCode="0.00">
                  <c:v>1.4999999999999999E-2</c:v>
                </c:pt>
                <c:pt idx="39" formatCode="0.00">
                  <c:v>1.4999999999999999E-2</c:v>
                </c:pt>
                <c:pt idx="40" formatCode="0.00">
                  <c:v>1.4999999999999999E-2</c:v>
                </c:pt>
                <c:pt idx="41" formatCode="0.00">
                  <c:v>1.4999999999999999E-2</c:v>
                </c:pt>
                <c:pt idx="42" formatCode="0.00">
                  <c:v>1.4999999999999999E-2</c:v>
                </c:pt>
                <c:pt idx="43" formatCode="0.00">
                  <c:v>1.4999999999999999E-2</c:v>
                </c:pt>
                <c:pt idx="44" formatCode="0.00">
                  <c:v>1.4999999999999999E-2</c:v>
                </c:pt>
              </c:numCache>
            </c:numRef>
          </c:val>
          <c:smooth val="1"/>
          <c:extLst>
            <c:ext xmlns:c16="http://schemas.microsoft.com/office/drawing/2014/chart" uri="{C3380CC4-5D6E-409C-BE32-E72D297353CC}">
              <c16:uniqueId val="{00000003-15FE-4BDE-8CB2-818227171943}"/>
            </c:ext>
          </c:extLst>
        </c:ser>
        <c:ser>
          <c:idx val="4"/>
          <c:order val="4"/>
          <c:tx>
            <c:strRef>
              <c:f>FED!$P$8</c:f>
              <c:strCache>
                <c:ptCount val="1"/>
                <c:pt idx="0">
                  <c:v>ЕЗ</c:v>
                </c:pt>
              </c:strCache>
            </c:strRef>
          </c:tx>
          <c:spPr>
            <a:ln w="22225" cap="rnd">
              <a:solidFill>
                <a:srgbClr val="7F3F98"/>
              </a:solidFill>
              <a:prstDash val="sysDash"/>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FED!$P$11:$P$61</c:f>
              <c:numCache>
                <c:formatCode>General</c:formatCode>
                <c:ptCount val="51"/>
                <c:pt idx="8" formatCode="0.00">
                  <c:v>-0.46600000000000003</c:v>
                </c:pt>
                <c:pt idx="9" formatCode="0.00">
                  <c:v>-0.46949999999999997</c:v>
                </c:pt>
                <c:pt idx="10" formatCode="0.00">
                  <c:v>-0.47199999999999998</c:v>
                </c:pt>
                <c:pt idx="11" formatCode="0.00">
                  <c:v>-0.47599999999999998</c:v>
                </c:pt>
                <c:pt idx="12" formatCode="0.00">
                  <c:v>-0.48099999999999998</c:v>
                </c:pt>
                <c:pt idx="13" formatCode="0.00">
                  <c:v>-0.48580000000000001</c:v>
                </c:pt>
                <c:pt idx="14" formatCode="0.00">
                  <c:v>-0.4899</c:v>
                </c:pt>
                <c:pt idx="15" formatCode="0.00">
                  <c:v>-0.495</c:v>
                </c:pt>
                <c:pt idx="16" formatCode="0.00">
                  <c:v>-0.498</c:v>
                </c:pt>
                <c:pt idx="17" formatCode="0.00">
                  <c:v>-0.50370000000000004</c:v>
                </c:pt>
                <c:pt idx="18" formatCode="0.00">
                  <c:v>-0.50800000000000001</c:v>
                </c:pt>
                <c:pt idx="19" formatCode="0.00">
                  <c:v>-0.51319999999999999</c:v>
                </c:pt>
                <c:pt idx="20" formatCode="0.00">
                  <c:v>-0.51600000000000001</c:v>
                </c:pt>
                <c:pt idx="21" formatCode="0.00">
                  <c:v>-0.52</c:v>
                </c:pt>
                <c:pt idx="22" formatCode="0.00">
                  <c:v>-0.52400000000000002</c:v>
                </c:pt>
                <c:pt idx="23" formatCode="0.00">
                  <c:v>-0.52800000000000002</c:v>
                </c:pt>
                <c:pt idx="24" formatCode="0.00">
                  <c:v>-0.53133333333333332</c:v>
                </c:pt>
                <c:pt idx="25" formatCode="0.00">
                  <c:v>-0.53466666666666662</c:v>
                </c:pt>
                <c:pt idx="26" formatCode="0.00">
                  <c:v>-0.53800000000000003</c:v>
                </c:pt>
                <c:pt idx="27" formatCode="0.00">
                  <c:v>-0.54</c:v>
                </c:pt>
                <c:pt idx="28" formatCode="0.00">
                  <c:v>-0.54200000000000004</c:v>
                </c:pt>
                <c:pt idx="29" formatCode="0.00">
                  <c:v>-0.54400000000000004</c:v>
                </c:pt>
                <c:pt idx="30" formatCode="0.00">
                  <c:v>-0.54533333333333334</c:v>
                </c:pt>
                <c:pt idx="31" formatCode="0.00">
                  <c:v>-0.54666666666666663</c:v>
                </c:pt>
                <c:pt idx="32" formatCode="0.00">
                  <c:v>-0.54800000000000004</c:v>
                </c:pt>
                <c:pt idx="33" formatCode="0.00">
                  <c:v>-0.54864166666666669</c:v>
                </c:pt>
                <c:pt idx="34" formatCode="0.00">
                  <c:v>-0.54928333333333335</c:v>
                </c:pt>
                <c:pt idx="35" formatCode="0.00">
                  <c:v>-0.549925</c:v>
                </c:pt>
                <c:pt idx="36" formatCode="0.00">
                  <c:v>-0.55056666666666665</c:v>
                </c:pt>
                <c:pt idx="37" formatCode="0.00">
                  <c:v>-0.5512083333333333</c:v>
                </c:pt>
                <c:pt idx="38" formatCode="0.00">
                  <c:v>-0.55184999999999995</c:v>
                </c:pt>
                <c:pt idx="39" formatCode="0.00">
                  <c:v>-0.5524916666666666</c:v>
                </c:pt>
                <c:pt idx="40" formatCode="0.00">
                  <c:v>-0.55313333333333325</c:v>
                </c:pt>
                <c:pt idx="41" formatCode="0.00">
                  <c:v>-0.55377499999999991</c:v>
                </c:pt>
                <c:pt idx="42" formatCode="0.00">
                  <c:v>-0.55441666666666656</c:v>
                </c:pt>
                <c:pt idx="43" formatCode="0.00">
                  <c:v>-0.55505833333333321</c:v>
                </c:pt>
                <c:pt idx="44" formatCode="0.00">
                  <c:v>-0.55569999999999997</c:v>
                </c:pt>
              </c:numCache>
            </c:numRef>
          </c:val>
          <c:smooth val="1"/>
          <c:extLst>
            <c:ext xmlns:c16="http://schemas.microsoft.com/office/drawing/2014/chart" uri="{C3380CC4-5D6E-409C-BE32-E72D297353CC}">
              <c16:uniqueId val="{00000004-15FE-4BDE-8CB2-818227171943}"/>
            </c:ext>
          </c:extLst>
        </c:ser>
        <c:ser>
          <c:idx val="5"/>
          <c:order val="5"/>
          <c:tx>
            <c:strRef>
              <c:f>FED!$Q$8</c:f>
              <c:strCache>
                <c:ptCount val="1"/>
                <c:pt idx="0">
                  <c:v>УК</c:v>
                </c:pt>
              </c:strCache>
            </c:strRef>
          </c:tx>
          <c:spPr>
            <a:ln w="22225" cap="rnd">
              <a:solidFill>
                <a:srgbClr val="EC008C"/>
              </a:solidFill>
              <a:prstDash val="sysDash"/>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FED!$Q$11:$Q$61</c:f>
              <c:numCache>
                <c:formatCode>General</c:formatCode>
                <c:ptCount val="51"/>
                <c:pt idx="8" formatCode="0.00">
                  <c:v>5.3900000000000003E-2</c:v>
                </c:pt>
                <c:pt idx="9" formatCode="0.00">
                  <c:v>5.5E-2</c:v>
                </c:pt>
                <c:pt idx="10" formatCode="0.00">
                  <c:v>0.05</c:v>
                </c:pt>
                <c:pt idx="11" formatCode="0.00">
                  <c:v>5.0999999999999997E-2</c:v>
                </c:pt>
                <c:pt idx="12" formatCode="0.00">
                  <c:v>4.7500000000000001E-2</c:v>
                </c:pt>
                <c:pt idx="13" formatCode="0.00">
                  <c:v>4.1500000000000002E-2</c:v>
                </c:pt>
                <c:pt idx="14" formatCode="0.00">
                  <c:v>3.5999999999999997E-2</c:v>
                </c:pt>
                <c:pt idx="15" formatCode="0.00">
                  <c:v>3.0599999999999999E-2</c:v>
                </c:pt>
                <c:pt idx="16" formatCode="0.00">
                  <c:v>2.3800000000000002E-2</c:v>
                </c:pt>
                <c:pt idx="17" formatCode="0.00">
                  <c:v>1.6250000000000001E-2</c:v>
                </c:pt>
                <c:pt idx="18" formatCode="0.00">
                  <c:v>1.04E-2</c:v>
                </c:pt>
                <c:pt idx="19" formatCode="0.00">
                  <c:v>3.2499999999999999E-3</c:v>
                </c:pt>
                <c:pt idx="20" formatCode="0.00">
                  <c:v>-3.0000000000000001E-3</c:v>
                </c:pt>
                <c:pt idx="21" formatCode="0.00">
                  <c:v>-9.1333333333333336E-3</c:v>
                </c:pt>
                <c:pt idx="22" formatCode="0.00">
                  <c:v>-1.5266666666666668E-2</c:v>
                </c:pt>
                <c:pt idx="23" formatCode="0.00">
                  <c:v>-2.1399999999999999E-2</c:v>
                </c:pt>
                <c:pt idx="24" formatCode="0.00">
                  <c:v>-2.63E-2</c:v>
                </c:pt>
                <c:pt idx="25" formatCode="0.00">
                  <c:v>-3.1200000000000002E-2</c:v>
                </c:pt>
                <c:pt idx="26" formatCode="0.00">
                  <c:v>-3.61E-2</c:v>
                </c:pt>
                <c:pt idx="27" formatCode="0.00">
                  <c:v>-3.9733333333333336E-2</c:v>
                </c:pt>
                <c:pt idx="28" formatCode="0.00">
                  <c:v>-4.3366666666666671E-2</c:v>
                </c:pt>
                <c:pt idx="29" formatCode="0.00">
                  <c:v>-4.7E-2</c:v>
                </c:pt>
                <c:pt idx="30" formatCode="0.00">
                  <c:v>-5.0599999999999999E-2</c:v>
                </c:pt>
                <c:pt idx="31" formatCode="0.00">
                  <c:v>-5.4199999999999998E-2</c:v>
                </c:pt>
                <c:pt idx="32" formatCode="0.00">
                  <c:v>-5.7799999999999997E-2</c:v>
                </c:pt>
                <c:pt idx="33" formatCode="0.00">
                  <c:v>-5.8975E-2</c:v>
                </c:pt>
                <c:pt idx="34" formatCode="0.00">
                  <c:v>-6.0150000000000002E-2</c:v>
                </c:pt>
                <c:pt idx="35" formatCode="0.00">
                  <c:v>-6.1325000000000005E-2</c:v>
                </c:pt>
                <c:pt idx="36" formatCode="0.00">
                  <c:v>-6.25E-2</c:v>
                </c:pt>
                <c:pt idx="37" formatCode="0.00">
                  <c:v>-6.3674999999999995E-2</c:v>
                </c:pt>
                <c:pt idx="38" formatCode="0.00">
                  <c:v>-6.4849999999999991E-2</c:v>
                </c:pt>
                <c:pt idx="39" formatCode="0.00">
                  <c:v>-6.6024999999999986E-2</c:v>
                </c:pt>
                <c:pt idx="40" formatCode="0.00">
                  <c:v>-6.7199999999999982E-2</c:v>
                </c:pt>
                <c:pt idx="41" formatCode="0.00">
                  <c:v>-6.8374999999999977E-2</c:v>
                </c:pt>
                <c:pt idx="42" formatCode="0.00">
                  <c:v>-6.9549999999999973E-2</c:v>
                </c:pt>
                <c:pt idx="43" formatCode="0.00">
                  <c:v>-7.0724999999999968E-2</c:v>
                </c:pt>
                <c:pt idx="44" formatCode="0.00">
                  <c:v>-7.1900000000000006E-2</c:v>
                </c:pt>
              </c:numCache>
            </c:numRef>
          </c:val>
          <c:smooth val="1"/>
          <c:extLst>
            <c:ext xmlns:c16="http://schemas.microsoft.com/office/drawing/2014/chart" uri="{C3380CC4-5D6E-409C-BE32-E72D297353CC}">
              <c16:uniqueId val="{00000005-15FE-4BDE-8CB2-818227171943}"/>
            </c:ext>
          </c:extLst>
        </c:ser>
        <c:ser>
          <c:idx val="6"/>
          <c:order val="6"/>
          <c:tx>
            <c:strRef>
              <c:f>FED!$R$8</c:f>
              <c:strCache>
                <c:ptCount val="1"/>
              </c:strCache>
            </c:strRef>
          </c:tx>
          <c:spPr>
            <a:ln w="28575" cap="rnd">
              <a:solidFill>
                <a:schemeClr val="tx1"/>
              </a:solidFill>
              <a:round/>
            </a:ln>
            <a:effectLst/>
          </c:spPr>
          <c:marker>
            <c:symbol val="square"/>
            <c:size val="2"/>
            <c:spPr>
              <a:solidFill>
                <a:schemeClr val="bg1"/>
              </a:solidFill>
              <a:ln w="9525">
                <a:noFill/>
              </a:ln>
              <a:effectLst/>
            </c:spPr>
          </c:marker>
          <c:dLbls>
            <c:dLbl>
              <c:idx val="0"/>
              <c:layout>
                <c:manualLayout>
                  <c:x val="4.223311151515375E-2"/>
                  <c:y val="4.123130341880329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5FE-4BDE-8CB2-818227171943}"/>
                </c:ext>
              </c:extLst>
            </c:dLbl>
            <c:dLbl>
              <c:idx val="12"/>
              <c:layout>
                <c:manualLayout>
                  <c:x val="3.8899511536146396E-2"/>
                  <c:y val="4.123130341880329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FE-4BDE-8CB2-818227171943}"/>
                </c:ext>
              </c:extLst>
            </c:dLbl>
            <c:dLbl>
              <c:idx val="24"/>
              <c:layout>
                <c:manualLayout>
                  <c:x val="3.8919891491295856E-2"/>
                  <c:y val="4.123130341880329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5FE-4BDE-8CB2-818227171943}"/>
                </c:ext>
              </c:extLst>
            </c:dLbl>
            <c:dLbl>
              <c:idx val="36"/>
              <c:layout>
                <c:manualLayout>
                  <c:x val="3.891989149129594E-2"/>
                  <c:y val="4.123130341880329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5FE-4BDE-8CB2-818227171943}"/>
                </c:ext>
              </c:extLst>
            </c:dLbl>
            <c:dLbl>
              <c:idx val="48"/>
              <c:layout>
                <c:manualLayout>
                  <c:x val="-9.2743353041235196E-3"/>
                  <c:y val="4.123130341880329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5FE-4BDE-8CB2-818227171943}"/>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FED!$R$11:$R$61</c:f>
              <c:numCache>
                <c:formatCode>General</c:formatCode>
                <c:ptCount val="51"/>
                <c:pt idx="0" formatCode="0.0">
                  <c:v>-1</c:v>
                </c:pt>
                <c:pt idx="12" formatCode="0.0">
                  <c:v>-1</c:v>
                </c:pt>
                <c:pt idx="24" formatCode="0.0">
                  <c:v>-1</c:v>
                </c:pt>
                <c:pt idx="36" formatCode="0.0">
                  <c:v>-1</c:v>
                </c:pt>
                <c:pt idx="48" formatCode="0.0">
                  <c:v>-1</c:v>
                </c:pt>
              </c:numCache>
            </c:numRef>
          </c:val>
          <c:smooth val="0"/>
          <c:extLst>
            <c:ext xmlns:c16="http://schemas.microsoft.com/office/drawing/2014/chart" uri="{C3380CC4-5D6E-409C-BE32-E72D297353CC}">
              <c16:uniqueId val="{0000000B-15FE-4BDE-8CB2-818227171943}"/>
            </c:ext>
          </c:extLst>
        </c:ser>
        <c:ser>
          <c:idx val="7"/>
          <c:order val="7"/>
          <c:tx>
            <c:strRef>
              <c:f>FED!$S$8</c:f>
              <c:strCache>
                <c:ptCount val="1"/>
              </c:strCache>
            </c:strRef>
          </c:tx>
          <c:spPr>
            <a:ln w="6350" cap="rnd">
              <a:solidFill>
                <a:srgbClr val="898989"/>
              </a:solidFill>
              <a:round/>
            </a:ln>
            <a:effectLst/>
          </c:spPr>
          <c:marker>
            <c:symbol val="none"/>
          </c:marker>
          <c:cat>
            <c:numRef>
              <c:f>FED!$J$11:$J$61</c:f>
              <c:numCache>
                <c:formatCode>yyyy</c:formatCode>
                <c:ptCount val="51"/>
                <c:pt idx="0">
                  <c:v>43831</c:v>
                </c:pt>
                <c:pt idx="1">
                  <c:v>43862</c:v>
                </c:pt>
                <c:pt idx="2">
                  <c:v>43891</c:v>
                </c:pt>
                <c:pt idx="3">
                  <c:v>43922</c:v>
                </c:pt>
                <c:pt idx="4">
                  <c:v>43952</c:v>
                </c:pt>
                <c:pt idx="5">
                  <c:v>43983</c:v>
                </c:pt>
                <c:pt idx="6">
                  <c:v>44013</c:v>
                </c:pt>
                <c:pt idx="7">
                  <c:v>44044</c:v>
                </c:pt>
                <c:pt idx="8">
                  <c:v>44075</c:v>
                </c:pt>
                <c:pt idx="9">
                  <c:v>44105</c:v>
                </c:pt>
                <c:pt idx="10">
                  <c:v>44136</c:v>
                </c:pt>
                <c:pt idx="11">
                  <c:v>44166</c:v>
                </c:pt>
                <c:pt idx="12">
                  <c:v>44197</c:v>
                </c:pt>
                <c:pt idx="13">
                  <c:v>44228</c:v>
                </c:pt>
                <c:pt idx="14">
                  <c:v>44256</c:v>
                </c:pt>
                <c:pt idx="15">
                  <c:v>44287</c:v>
                </c:pt>
                <c:pt idx="16">
                  <c:v>44317</c:v>
                </c:pt>
                <c:pt idx="17">
                  <c:v>44348</c:v>
                </c:pt>
                <c:pt idx="18">
                  <c:v>44378</c:v>
                </c:pt>
                <c:pt idx="19">
                  <c:v>44409</c:v>
                </c:pt>
                <c:pt idx="20">
                  <c:v>44440</c:v>
                </c:pt>
                <c:pt idx="21">
                  <c:v>44470</c:v>
                </c:pt>
                <c:pt idx="22">
                  <c:v>44501</c:v>
                </c:pt>
                <c:pt idx="23">
                  <c:v>44531</c:v>
                </c:pt>
                <c:pt idx="24">
                  <c:v>44562</c:v>
                </c:pt>
                <c:pt idx="25">
                  <c:v>44593</c:v>
                </c:pt>
                <c:pt idx="26">
                  <c:v>44621</c:v>
                </c:pt>
                <c:pt idx="27">
                  <c:v>44652</c:v>
                </c:pt>
                <c:pt idx="28">
                  <c:v>44682</c:v>
                </c:pt>
                <c:pt idx="29">
                  <c:v>44713</c:v>
                </c:pt>
                <c:pt idx="30">
                  <c:v>44743</c:v>
                </c:pt>
                <c:pt idx="31">
                  <c:v>44774</c:v>
                </c:pt>
                <c:pt idx="32">
                  <c:v>44805</c:v>
                </c:pt>
                <c:pt idx="33">
                  <c:v>44835</c:v>
                </c:pt>
                <c:pt idx="34">
                  <c:v>44866</c:v>
                </c:pt>
                <c:pt idx="35">
                  <c:v>44896</c:v>
                </c:pt>
                <c:pt idx="36">
                  <c:v>44927</c:v>
                </c:pt>
                <c:pt idx="37">
                  <c:v>44958</c:v>
                </c:pt>
                <c:pt idx="38">
                  <c:v>44986</c:v>
                </c:pt>
                <c:pt idx="39">
                  <c:v>45017</c:v>
                </c:pt>
                <c:pt idx="40">
                  <c:v>45047</c:v>
                </c:pt>
                <c:pt idx="41">
                  <c:v>45078</c:v>
                </c:pt>
                <c:pt idx="42">
                  <c:v>45108</c:v>
                </c:pt>
                <c:pt idx="43">
                  <c:v>45139</c:v>
                </c:pt>
                <c:pt idx="44">
                  <c:v>45170</c:v>
                </c:pt>
                <c:pt idx="45">
                  <c:v>45200</c:v>
                </c:pt>
                <c:pt idx="46">
                  <c:v>45231</c:v>
                </c:pt>
                <c:pt idx="47">
                  <c:v>45261</c:v>
                </c:pt>
                <c:pt idx="48" formatCode="yy">
                  <c:v>45292</c:v>
                </c:pt>
                <c:pt idx="49" formatCode="yy">
                  <c:v>45323</c:v>
                </c:pt>
                <c:pt idx="50" formatCode="yy">
                  <c:v>45352</c:v>
                </c:pt>
              </c:numCache>
            </c:numRef>
          </c:cat>
          <c:val>
            <c:numRef>
              <c:f>FED!$S$11:$S$61</c:f>
              <c:numCache>
                <c:formatCode>General</c:formatCode>
                <c:ptCount val="5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numCache>
            </c:numRef>
          </c:val>
          <c:smooth val="0"/>
          <c:extLst>
            <c:ext xmlns:c16="http://schemas.microsoft.com/office/drawing/2014/chart" uri="{C3380CC4-5D6E-409C-BE32-E72D297353CC}">
              <c16:uniqueId val="{0000000C-15FE-4BDE-8CB2-818227171943}"/>
            </c:ext>
          </c:extLst>
        </c:ser>
        <c:dLbls>
          <c:showLegendKey val="0"/>
          <c:showVal val="0"/>
          <c:showCatName val="0"/>
          <c:showSerName val="0"/>
          <c:showPercent val="0"/>
          <c:showBubbleSize val="0"/>
        </c:dLbls>
        <c:smooth val="0"/>
        <c:axId val="1765804832"/>
        <c:axId val="1765807008"/>
      </c:lineChart>
      <c:dateAx>
        <c:axId val="1765804832"/>
        <c:scaling>
          <c:orientation val="minMax"/>
        </c:scaling>
        <c:delete val="0"/>
        <c:axPos val="b"/>
        <c:majorGridlines>
          <c:spPr>
            <a:ln w="6350" cap="flat" cmpd="sng" algn="ctr">
              <a:noFill/>
              <a:round/>
            </a:ln>
            <a:effectLst/>
          </c:spPr>
        </c:majorGridlines>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5807008"/>
        <c:crossesAt val="-1"/>
        <c:auto val="1"/>
        <c:lblOffset val="100"/>
        <c:baseTimeUnit val="months"/>
        <c:majorUnit val="1"/>
        <c:majorTimeUnit val="years"/>
      </c:dateAx>
      <c:valAx>
        <c:axId val="1765807008"/>
        <c:scaling>
          <c:orientation val="minMax"/>
          <c:max val="1"/>
          <c:min val="-1"/>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5804832"/>
        <c:crosses val="autoZero"/>
        <c:crossBetween val="midCat"/>
        <c:majorUnit val="0.5"/>
      </c:valAx>
      <c:spPr>
        <a:noFill/>
        <a:ln>
          <a:noFill/>
        </a:ln>
        <a:effectLst/>
      </c:spPr>
    </c:plotArea>
    <c:legend>
      <c:legendPos val="b"/>
      <c:legendEntry>
        <c:idx val="6"/>
        <c:delete val="1"/>
      </c:legendEntry>
      <c:legendEntry>
        <c:idx val="7"/>
        <c:delete val="1"/>
      </c:legendEntry>
      <c:layout>
        <c:manualLayout>
          <c:xMode val="edge"/>
          <c:yMode val="edge"/>
          <c:x val="0.40210379365586552"/>
          <c:y val="0.12587980769230767"/>
          <c:w val="0.58206170904848176"/>
          <c:h val="0.10072275641025641"/>
        </c:manualLayout>
      </c:layout>
      <c:overlay val="0"/>
      <c:spPr>
        <a:noFill/>
        <a:ln>
          <a:noFill/>
        </a:ln>
        <a:effectLst/>
      </c:spPr>
      <c:txPr>
        <a:bodyPr rot="0" spcFirstLastPara="1" vertOverflow="ellipsis" vert="horz" wrap="square" anchor="ctr" anchorCtr="1"/>
        <a:lstStyle/>
        <a:p>
          <a:pPr>
            <a:defRPr sz="500" b="0" i="0" u="none" strike="noStrike" kern="1200" baseline="0">
              <a:solidFill>
                <a:schemeClr val="bg1"/>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178986378388172E-2"/>
          <c:y val="5.3106332138590201E-2"/>
          <c:w val="0.80840046303318902"/>
          <c:h val="0.58882795698924728"/>
        </c:manualLayout>
      </c:layout>
      <c:barChart>
        <c:barDir val="col"/>
        <c:grouping val="stacked"/>
        <c:varyColors val="0"/>
        <c:ser>
          <c:idx val="0"/>
          <c:order val="0"/>
          <c:tx>
            <c:strRef>
              <c:f>NPL!$S$4</c:f>
              <c:strCache>
                <c:ptCount val="1"/>
                <c:pt idx="0">
                  <c:v>Привреда</c:v>
                </c:pt>
              </c:strCache>
            </c:strRef>
          </c:tx>
          <c:spPr>
            <a:solidFill>
              <a:srgbClr val="10103C"/>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II 2021</c:v>
                </c:pt>
              </c:strCache>
            </c:strRef>
          </c:cat>
          <c:val>
            <c:numRef>
              <c:f>NPL!$S$5:$S$13</c:f>
              <c:numCache>
                <c:formatCode>#,##0</c:formatCode>
                <c:ptCount val="9"/>
                <c:pt idx="0">
                  <c:v>238.4</c:v>
                </c:pt>
                <c:pt idx="1">
                  <c:v>248.4</c:v>
                </c:pt>
                <c:pt idx="2" formatCode="0">
                  <c:v>216.8</c:v>
                </c:pt>
                <c:pt idx="3" formatCode="0">
                  <c:v>172.8</c:v>
                </c:pt>
                <c:pt idx="4" formatCode="0">
                  <c:v>107.6</c:v>
                </c:pt>
                <c:pt idx="5" formatCode="0">
                  <c:v>56.849434000000002</c:v>
                </c:pt>
                <c:pt idx="6" formatCode="0">
                  <c:v>38.949154999999998</c:v>
                </c:pt>
                <c:pt idx="7" formatCode="0">
                  <c:v>41.826799999999999</c:v>
                </c:pt>
              </c:numCache>
            </c:numRef>
          </c:val>
          <c:extLst>
            <c:ext xmlns:c16="http://schemas.microsoft.com/office/drawing/2014/chart" uri="{C3380CC4-5D6E-409C-BE32-E72D297353CC}">
              <c16:uniqueId val="{00000000-5571-4F13-ACEF-1B7005BB12A2}"/>
            </c:ext>
          </c:extLst>
        </c:ser>
        <c:ser>
          <c:idx val="1"/>
          <c:order val="1"/>
          <c:tx>
            <c:strRef>
              <c:f>NPL!$T$4</c:f>
              <c:strCache>
                <c:ptCount val="1"/>
                <c:pt idx="0">
                  <c:v>Становништво</c:v>
                </c:pt>
              </c:strCache>
            </c:strRef>
          </c:tx>
          <c:spPr>
            <a:solidFill>
              <a:srgbClr val="2183C4"/>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II 2021</c:v>
                </c:pt>
              </c:strCache>
            </c:strRef>
          </c:cat>
          <c:val>
            <c:numRef>
              <c:f>NPL!$T$5:$T$13</c:f>
              <c:numCache>
                <c:formatCode>#,##0</c:formatCode>
                <c:ptCount val="9"/>
                <c:pt idx="0">
                  <c:v>56.7</c:v>
                </c:pt>
                <c:pt idx="1">
                  <c:v>66.400000000000006</c:v>
                </c:pt>
                <c:pt idx="2" formatCode="0">
                  <c:v>73.400000000000006</c:v>
                </c:pt>
                <c:pt idx="3" formatCode="0">
                  <c:v>69.2</c:v>
                </c:pt>
                <c:pt idx="4" formatCode="0">
                  <c:v>45.4</c:v>
                </c:pt>
                <c:pt idx="5" formatCode="0">
                  <c:v>39.608241</c:v>
                </c:pt>
                <c:pt idx="6" formatCode="0">
                  <c:v>39.016837000000002</c:v>
                </c:pt>
                <c:pt idx="7" formatCode="0">
                  <c:v>40.746828000000001</c:v>
                </c:pt>
              </c:numCache>
            </c:numRef>
          </c:val>
          <c:extLst>
            <c:ext xmlns:c16="http://schemas.microsoft.com/office/drawing/2014/chart" uri="{C3380CC4-5D6E-409C-BE32-E72D297353CC}">
              <c16:uniqueId val="{00000001-5571-4F13-ACEF-1B7005BB12A2}"/>
            </c:ext>
          </c:extLst>
        </c:ser>
        <c:ser>
          <c:idx val="2"/>
          <c:order val="2"/>
          <c:tx>
            <c:strRef>
              <c:f>NPL!$U$4</c:f>
              <c:strCache>
                <c:ptCount val="1"/>
                <c:pt idx="0">
                  <c:v>Остали</c:v>
                </c:pt>
              </c:strCache>
            </c:strRef>
          </c:tx>
          <c:spPr>
            <a:solidFill>
              <a:srgbClr val="51BBE7"/>
            </a:solidFill>
            <a:ln>
              <a:noFill/>
            </a:ln>
            <a:effectLst/>
          </c:spPr>
          <c:invertIfNegative val="0"/>
          <c:cat>
            <c:strRef>
              <c:f>NPL!$Q$5:$Q$13</c:f>
              <c:strCache>
                <c:ptCount val="9"/>
                <c:pt idx="0">
                  <c:v>2013</c:v>
                </c:pt>
                <c:pt idx="1">
                  <c:v>2014</c:v>
                </c:pt>
                <c:pt idx="2">
                  <c:v>2015</c:v>
                </c:pt>
                <c:pt idx="3">
                  <c:v>2016</c:v>
                </c:pt>
                <c:pt idx="4">
                  <c:v>2017</c:v>
                </c:pt>
                <c:pt idx="5">
                  <c:v>2018</c:v>
                </c:pt>
                <c:pt idx="6">
                  <c:v>2019</c:v>
                </c:pt>
                <c:pt idx="7">
                  <c:v>2020</c:v>
                </c:pt>
                <c:pt idx="8">
                  <c:v>II 2021</c:v>
                </c:pt>
              </c:strCache>
            </c:strRef>
          </c:cat>
          <c:val>
            <c:numRef>
              <c:f>NPL!$U$5:$U$13</c:f>
              <c:numCache>
                <c:formatCode>#,##0</c:formatCode>
                <c:ptCount val="9"/>
                <c:pt idx="0">
                  <c:v>100.2</c:v>
                </c:pt>
                <c:pt idx="1">
                  <c:v>106.4</c:v>
                </c:pt>
                <c:pt idx="2" formatCode="0">
                  <c:v>134.4</c:v>
                </c:pt>
                <c:pt idx="3" formatCode="0">
                  <c:v>103.8</c:v>
                </c:pt>
                <c:pt idx="4" formatCode="0">
                  <c:v>51.9</c:v>
                </c:pt>
                <c:pt idx="5" formatCode="0">
                  <c:v>34.192292000000002</c:v>
                </c:pt>
                <c:pt idx="6" formatCode="0">
                  <c:v>23.450085000000001</c:v>
                </c:pt>
                <c:pt idx="7" formatCode="0">
                  <c:v>19.835072</c:v>
                </c:pt>
              </c:numCache>
            </c:numRef>
          </c:val>
          <c:extLst>
            <c:ext xmlns:c16="http://schemas.microsoft.com/office/drawing/2014/chart" uri="{C3380CC4-5D6E-409C-BE32-E72D297353CC}">
              <c16:uniqueId val="{00000002-5571-4F13-ACEF-1B7005BB12A2}"/>
            </c:ext>
          </c:extLst>
        </c:ser>
        <c:dLbls>
          <c:showLegendKey val="0"/>
          <c:showVal val="0"/>
          <c:showCatName val="0"/>
          <c:showSerName val="0"/>
          <c:showPercent val="0"/>
          <c:showBubbleSize val="0"/>
        </c:dLbls>
        <c:gapWidth val="40"/>
        <c:overlap val="100"/>
        <c:axId val="1839178672"/>
        <c:axId val="1839199888"/>
      </c:barChart>
      <c:lineChart>
        <c:grouping val="standard"/>
        <c:varyColors val="0"/>
        <c:ser>
          <c:idx val="3"/>
          <c:order val="3"/>
          <c:tx>
            <c:strRef>
              <c:f>NPL!$V$4</c:f>
              <c:strCache>
                <c:ptCount val="1"/>
                <c:pt idx="0">
                  <c:v>NPL % (бруто)</c:v>
                </c:pt>
              </c:strCache>
            </c:strRef>
          </c:tx>
          <c:spPr>
            <a:ln w="25400" cap="rnd">
              <a:solidFill>
                <a:srgbClr val="FF0000"/>
              </a:solidFill>
              <a:round/>
            </a:ln>
            <a:effectLst/>
          </c:spPr>
          <c:marker>
            <c:symbol val="none"/>
          </c:marker>
          <c:dLbls>
            <c:spPr>
              <a:noFill/>
              <a:ln>
                <a:noFill/>
              </a:ln>
              <a:effectLst/>
            </c:spPr>
            <c:txPr>
              <a:bodyPr rot="0" spcFirstLastPara="1" vertOverflow="ellipsis" vert="horz" wrap="square" anchor="ctr" anchorCtr="1"/>
              <a:lstStyle/>
              <a:p>
                <a:pPr>
                  <a:defRPr sz="70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NPL!$Q$5:$Q$13</c:f>
              <c:strCache>
                <c:ptCount val="9"/>
                <c:pt idx="0">
                  <c:v>2013</c:v>
                </c:pt>
                <c:pt idx="1">
                  <c:v>2014</c:v>
                </c:pt>
                <c:pt idx="2">
                  <c:v>2015</c:v>
                </c:pt>
                <c:pt idx="3">
                  <c:v>2016</c:v>
                </c:pt>
                <c:pt idx="4">
                  <c:v>2017</c:v>
                </c:pt>
                <c:pt idx="5">
                  <c:v>2018</c:v>
                </c:pt>
                <c:pt idx="6">
                  <c:v>2019</c:v>
                </c:pt>
                <c:pt idx="7">
                  <c:v>2020</c:v>
                </c:pt>
                <c:pt idx="8">
                  <c:v>II 2021</c:v>
                </c:pt>
              </c:strCache>
            </c:strRef>
          </c:cat>
          <c:val>
            <c:numRef>
              <c:f>NPL!$V$5:$V$13</c:f>
              <c:numCache>
                <c:formatCode>0.0%</c:formatCode>
                <c:ptCount val="9"/>
                <c:pt idx="0">
                  <c:v>0.2137</c:v>
                </c:pt>
                <c:pt idx="1">
                  <c:v>0.21539999999999998</c:v>
                </c:pt>
                <c:pt idx="2">
                  <c:v>0.216</c:v>
                </c:pt>
                <c:pt idx="3">
                  <c:v>0.17030000000000001</c:v>
                </c:pt>
                <c:pt idx="4">
                  <c:v>9.8500000000000004E-2</c:v>
                </c:pt>
                <c:pt idx="5">
                  <c:v>5.7000000000000002E-2</c:v>
                </c:pt>
                <c:pt idx="6">
                  <c:v>4.1000000000000002E-2</c:v>
                </c:pt>
                <c:pt idx="7">
                  <c:v>3.6999999999999998E-2</c:v>
                </c:pt>
                <c:pt idx="8">
                  <c:v>3.7999999999999999E-2</c:v>
                </c:pt>
              </c:numCache>
            </c:numRef>
          </c:val>
          <c:smooth val="0"/>
          <c:extLst>
            <c:ext xmlns:c16="http://schemas.microsoft.com/office/drawing/2014/chart" uri="{C3380CC4-5D6E-409C-BE32-E72D297353CC}">
              <c16:uniqueId val="{00000003-5571-4F13-ACEF-1B7005BB12A2}"/>
            </c:ext>
          </c:extLst>
        </c:ser>
        <c:dLbls>
          <c:showLegendKey val="0"/>
          <c:showVal val="0"/>
          <c:showCatName val="0"/>
          <c:showSerName val="0"/>
          <c:showPercent val="0"/>
          <c:showBubbleSize val="0"/>
        </c:dLbls>
        <c:marker val="1"/>
        <c:smooth val="0"/>
        <c:axId val="1839198256"/>
        <c:axId val="1839197712"/>
      </c:lineChart>
      <c:catAx>
        <c:axId val="1839178672"/>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9888"/>
        <c:crosses val="autoZero"/>
        <c:auto val="1"/>
        <c:lblAlgn val="ctr"/>
        <c:lblOffset val="100"/>
        <c:noMultiLvlLbl val="0"/>
      </c:catAx>
      <c:valAx>
        <c:axId val="1839199888"/>
        <c:scaling>
          <c:orientation val="minMax"/>
          <c:max val="450"/>
          <c:min val="0"/>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78672"/>
        <c:crosses val="autoZero"/>
        <c:crossBetween val="between"/>
        <c:majorUnit val="100"/>
      </c:valAx>
      <c:valAx>
        <c:axId val="1839197712"/>
        <c:scaling>
          <c:orientation val="minMax"/>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8256"/>
        <c:crosses val="max"/>
        <c:crossBetween val="between"/>
      </c:valAx>
      <c:catAx>
        <c:axId val="1839198256"/>
        <c:scaling>
          <c:orientation val="minMax"/>
        </c:scaling>
        <c:delete val="1"/>
        <c:axPos val="b"/>
        <c:numFmt formatCode="General" sourceLinked="1"/>
        <c:majorTickMark val="out"/>
        <c:minorTickMark val="none"/>
        <c:tickLblPos val="nextTo"/>
        <c:crossAx val="1839197712"/>
        <c:crosses val="autoZero"/>
        <c:auto val="1"/>
        <c:lblAlgn val="ctr"/>
        <c:lblOffset val="100"/>
        <c:noMultiLvlLbl val="0"/>
      </c:catAx>
      <c:spPr>
        <a:noFill/>
        <a:ln>
          <a:noFill/>
        </a:ln>
        <a:effectLst/>
      </c:spPr>
    </c:plotArea>
    <c:legend>
      <c:legendPos val="b"/>
      <c:layout>
        <c:manualLayout>
          <c:xMode val="edge"/>
          <c:yMode val="edge"/>
          <c:x val="0.14793963254593176"/>
          <c:y val="0.82833811230585419"/>
          <c:w val="0.76430592009332154"/>
          <c:h val="0.14890203106332139"/>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067586007101372E-2"/>
          <c:y val="5.6338028169014086E-2"/>
          <c:w val="0.79899510791436967"/>
          <c:h val="0.65544933643857894"/>
        </c:manualLayout>
      </c:layout>
      <c:barChart>
        <c:barDir val="col"/>
        <c:grouping val="clustered"/>
        <c:varyColors val="0"/>
        <c:ser>
          <c:idx val="1"/>
          <c:order val="1"/>
          <c:tx>
            <c:strRef>
              <c:f>'Devizni kurs'!$V$2</c:f>
              <c:strCache>
                <c:ptCount val="1"/>
                <c:pt idx="0">
                  <c:v>Интервенције НБС, нето продаја, мил. евра (десна скала)</c:v>
                </c:pt>
              </c:strCache>
            </c:strRef>
          </c:tx>
          <c:spPr>
            <a:solidFill>
              <a:srgbClr val="29489A"/>
            </a:solidFill>
            <a:ln>
              <a:noFill/>
            </a:ln>
            <a:effectLst/>
          </c:spPr>
          <c:invertIfNegative val="0"/>
          <c:cat>
            <c:numRef>
              <c:f>'Devizni kurs'!$Q$39:$Q$125</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'Devizni kurs'!$V$39:$V$125</c:f>
              <c:numCache>
                <c:formatCode>General</c:formatCode>
                <c:ptCount val="87"/>
                <c:pt idx="0">
                  <c:v>330</c:v>
                </c:pt>
                <c:pt idx="1">
                  <c:v>280</c:v>
                </c:pt>
                <c:pt idx="2">
                  <c:v>190</c:v>
                </c:pt>
                <c:pt idx="3">
                  <c:v>-110</c:v>
                </c:pt>
                <c:pt idx="4">
                  <c:v>-20</c:v>
                </c:pt>
                <c:pt idx="5" formatCode="0">
                  <c:v>-40</c:v>
                </c:pt>
                <c:pt idx="6">
                  <c:v>30</c:v>
                </c:pt>
                <c:pt idx="7">
                  <c:v>60</c:v>
                </c:pt>
                <c:pt idx="8">
                  <c:v>135</c:v>
                </c:pt>
                <c:pt idx="9">
                  <c:v>140</c:v>
                </c:pt>
                <c:pt idx="10">
                  <c:v>250</c:v>
                </c:pt>
                <c:pt idx="11">
                  <c:v>375</c:v>
                </c:pt>
                <c:pt idx="12">
                  <c:v>90</c:v>
                </c:pt>
                <c:pt idx="13">
                  <c:v>-140</c:v>
                </c:pt>
                <c:pt idx="14">
                  <c:v>-120</c:v>
                </c:pt>
                <c:pt idx="15">
                  <c:v>-110</c:v>
                </c:pt>
                <c:pt idx="16">
                  <c:v>0</c:v>
                </c:pt>
                <c:pt idx="17">
                  <c:v>-10</c:v>
                </c:pt>
                <c:pt idx="18">
                  <c:v>-230</c:v>
                </c:pt>
                <c:pt idx="19">
                  <c:v>-130</c:v>
                </c:pt>
                <c:pt idx="20">
                  <c:v>-80</c:v>
                </c:pt>
                <c:pt idx="21">
                  <c:v>-60</c:v>
                </c:pt>
                <c:pt idx="22">
                  <c:v>0</c:v>
                </c:pt>
                <c:pt idx="23">
                  <c:v>270</c:v>
                </c:pt>
                <c:pt idx="24">
                  <c:v>290</c:v>
                </c:pt>
                <c:pt idx="25">
                  <c:v>100</c:v>
                </c:pt>
                <c:pt idx="26">
                  <c:v>175</c:v>
                </c:pt>
                <c:pt idx="27">
                  <c:v>140</c:v>
                </c:pt>
                <c:pt idx="28">
                  <c:v>65</c:v>
                </c:pt>
                <c:pt idx="29">
                  <c:v>50</c:v>
                </c:pt>
                <c:pt idx="30">
                  <c:v>-355</c:v>
                </c:pt>
                <c:pt idx="31">
                  <c:v>-90</c:v>
                </c:pt>
                <c:pt idx="32">
                  <c:v>-30</c:v>
                </c:pt>
                <c:pt idx="33">
                  <c:v>-135</c:v>
                </c:pt>
                <c:pt idx="34">
                  <c:v>-60</c:v>
                </c:pt>
                <c:pt idx="35">
                  <c:v>10</c:v>
                </c:pt>
                <c:pt idx="36">
                  <c:v>225</c:v>
                </c:pt>
                <c:pt idx="37">
                  <c:v>105</c:v>
                </c:pt>
                <c:pt idx="38">
                  <c:v>15</c:v>
                </c:pt>
                <c:pt idx="39">
                  <c:v>-40</c:v>
                </c:pt>
                <c:pt idx="40">
                  <c:v>-120</c:v>
                </c:pt>
                <c:pt idx="41">
                  <c:v>-345</c:v>
                </c:pt>
                <c:pt idx="42">
                  <c:v>-165</c:v>
                </c:pt>
                <c:pt idx="43">
                  <c:v>-290</c:v>
                </c:pt>
                <c:pt idx="44">
                  <c:v>-150</c:v>
                </c:pt>
                <c:pt idx="45">
                  <c:v>-15</c:v>
                </c:pt>
                <c:pt idx="46">
                  <c:v>-50</c:v>
                </c:pt>
                <c:pt idx="47">
                  <c:v>135</c:v>
                </c:pt>
                <c:pt idx="48">
                  <c:v>180</c:v>
                </c:pt>
                <c:pt idx="49">
                  <c:v>-180</c:v>
                </c:pt>
                <c:pt idx="50">
                  <c:v>-400</c:v>
                </c:pt>
                <c:pt idx="51">
                  <c:v>-205</c:v>
                </c:pt>
                <c:pt idx="52">
                  <c:v>-220</c:v>
                </c:pt>
                <c:pt idx="53">
                  <c:v>-365</c:v>
                </c:pt>
                <c:pt idx="54">
                  <c:v>-220</c:v>
                </c:pt>
                <c:pt idx="55">
                  <c:v>-190</c:v>
                </c:pt>
                <c:pt idx="56">
                  <c:v>5</c:v>
                </c:pt>
                <c:pt idx="57">
                  <c:v>30</c:v>
                </c:pt>
                <c:pt idx="58">
                  <c:v>-15</c:v>
                </c:pt>
                <c:pt idx="59">
                  <c:v>0</c:v>
                </c:pt>
                <c:pt idx="60">
                  <c:v>130</c:v>
                </c:pt>
                <c:pt idx="61">
                  <c:v>-30</c:v>
                </c:pt>
                <c:pt idx="62">
                  <c:v>-135</c:v>
                </c:pt>
                <c:pt idx="63">
                  <c:v>-75</c:v>
                </c:pt>
                <c:pt idx="64" formatCode="0">
                  <c:v>-110</c:v>
                </c:pt>
                <c:pt idx="65" formatCode="0">
                  <c:v>-735</c:v>
                </c:pt>
                <c:pt idx="66" formatCode="0">
                  <c:v>-645</c:v>
                </c:pt>
                <c:pt idx="67" formatCode="0">
                  <c:v>-105</c:v>
                </c:pt>
                <c:pt idx="68" formatCode="0">
                  <c:v>-410</c:v>
                </c:pt>
                <c:pt idx="69">
                  <c:v>-235</c:v>
                </c:pt>
                <c:pt idx="70">
                  <c:v>0</c:v>
                </c:pt>
                <c:pt idx="71">
                  <c:v>-355</c:v>
                </c:pt>
                <c:pt idx="72">
                  <c:v>-15</c:v>
                </c:pt>
                <c:pt idx="73">
                  <c:v>65</c:v>
                </c:pt>
                <c:pt idx="74">
                  <c:v>135</c:v>
                </c:pt>
                <c:pt idx="75">
                  <c:v>440</c:v>
                </c:pt>
                <c:pt idx="76">
                  <c:v>250</c:v>
                </c:pt>
                <c:pt idx="77">
                  <c:v>155</c:v>
                </c:pt>
                <c:pt idx="78">
                  <c:v>325</c:v>
                </c:pt>
                <c:pt idx="79">
                  <c:v>160</c:v>
                </c:pt>
                <c:pt idx="80">
                  <c:v>120</c:v>
                </c:pt>
                <c:pt idx="81">
                  <c:v>100</c:v>
                </c:pt>
                <c:pt idx="82">
                  <c:v>-115</c:v>
                </c:pt>
                <c:pt idx="83">
                  <c:v>-170</c:v>
                </c:pt>
                <c:pt idx="84">
                  <c:v>105</c:v>
                </c:pt>
                <c:pt idx="85">
                  <c:v>-55</c:v>
                </c:pt>
                <c:pt idx="86">
                  <c:v>0</c:v>
                </c:pt>
              </c:numCache>
            </c:numRef>
          </c:val>
          <c:extLst>
            <c:ext xmlns:c16="http://schemas.microsoft.com/office/drawing/2014/chart" uri="{C3380CC4-5D6E-409C-BE32-E72D297353CC}">
              <c16:uniqueId val="{00000000-A916-4F00-BDF6-8AEA74AF2DC9}"/>
            </c:ext>
          </c:extLst>
        </c:ser>
        <c:dLbls>
          <c:showLegendKey val="0"/>
          <c:showVal val="0"/>
          <c:showCatName val="0"/>
          <c:showSerName val="0"/>
          <c:showPercent val="0"/>
          <c:showBubbleSize val="0"/>
        </c:dLbls>
        <c:gapWidth val="30"/>
        <c:axId val="1839186832"/>
        <c:axId val="1839203696"/>
      </c:barChart>
      <c:lineChart>
        <c:grouping val="standard"/>
        <c:varyColors val="0"/>
        <c:ser>
          <c:idx val="0"/>
          <c:order val="0"/>
          <c:tx>
            <c:strRef>
              <c:f>'Devizni kurs'!$U$2</c:f>
              <c:strCache>
                <c:ptCount val="1"/>
                <c:pt idx="0">
                  <c:v>Просечан девизни курс ЕУР/РСД</c:v>
                </c:pt>
              </c:strCache>
            </c:strRef>
          </c:tx>
          <c:spPr>
            <a:ln w="22225" cap="rnd">
              <a:solidFill>
                <a:srgbClr val="FF0000"/>
              </a:solidFill>
              <a:round/>
            </a:ln>
            <a:effectLst/>
          </c:spPr>
          <c:marker>
            <c:symbol val="none"/>
          </c:marker>
          <c:cat>
            <c:numRef>
              <c:f>'Devizni kurs'!$Q$39:$Q$125</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'Devizni kurs'!$U$39:$U$125</c:f>
              <c:numCache>
                <c:formatCode>0.00</c:formatCode>
                <c:ptCount val="87"/>
                <c:pt idx="0">
                  <c:v>115.50068000000002</c:v>
                </c:pt>
                <c:pt idx="1">
                  <c:v>115.89948421052632</c:v>
                </c:pt>
                <c:pt idx="2">
                  <c:v>115.84343333333334</c:v>
                </c:pt>
                <c:pt idx="3">
                  <c:v>115.5407</c:v>
                </c:pt>
                <c:pt idx="4">
                  <c:v>115.65779999999999</c:v>
                </c:pt>
                <c:pt idx="5">
                  <c:v>115.5341</c:v>
                </c:pt>
                <c:pt idx="6">
                  <c:v>116.22490000000001</c:v>
                </c:pt>
                <c:pt idx="7">
                  <c:v>117.3078</c:v>
                </c:pt>
                <c:pt idx="8">
                  <c:v>118.61799999999999</c:v>
                </c:pt>
                <c:pt idx="9">
                  <c:v>119.3497</c:v>
                </c:pt>
                <c:pt idx="10">
                  <c:v>119.9829</c:v>
                </c:pt>
                <c:pt idx="11">
                  <c:v>121.53</c:v>
                </c:pt>
                <c:pt idx="12">
                  <c:v>122.62</c:v>
                </c:pt>
                <c:pt idx="13">
                  <c:v>121.58</c:v>
                </c:pt>
                <c:pt idx="14">
                  <c:v>120.47</c:v>
                </c:pt>
                <c:pt idx="15">
                  <c:v>120.17</c:v>
                </c:pt>
                <c:pt idx="16">
                  <c:v>120.59</c:v>
                </c:pt>
                <c:pt idx="17">
                  <c:v>120.55517727272726</c:v>
                </c:pt>
                <c:pt idx="18">
                  <c:v>120.21342173913044</c:v>
                </c:pt>
                <c:pt idx="19">
                  <c:v>120.22183333333331</c:v>
                </c:pt>
                <c:pt idx="20">
                  <c:v>120.18703181818181</c:v>
                </c:pt>
                <c:pt idx="21">
                  <c:v>120.07991818181817</c:v>
                </c:pt>
                <c:pt idx="22">
                  <c:v>120.65054000000001</c:v>
                </c:pt>
                <c:pt idx="23">
                  <c:v>121.75174782608696</c:v>
                </c:pt>
                <c:pt idx="24">
                  <c:v>122.54524736842107</c:v>
                </c:pt>
                <c:pt idx="25">
                  <c:v>122.87654736842104</c:v>
                </c:pt>
                <c:pt idx="26">
                  <c:v>123.13206956521738</c:v>
                </c:pt>
                <c:pt idx="27">
                  <c:v>122.80799500000001</c:v>
                </c:pt>
                <c:pt idx="28">
                  <c:v>122.82450500000002</c:v>
                </c:pt>
                <c:pt idx="29">
                  <c:v>123.40000909090909</c:v>
                </c:pt>
                <c:pt idx="30">
                  <c:v>123.34886190476189</c:v>
                </c:pt>
                <c:pt idx="31">
                  <c:v>123.30531739130437</c:v>
                </c:pt>
                <c:pt idx="32">
                  <c:v>123.23121818181816</c:v>
                </c:pt>
                <c:pt idx="33">
                  <c:v>123.17817142857142</c:v>
                </c:pt>
                <c:pt idx="34">
                  <c:v>123.18741904761906</c:v>
                </c:pt>
                <c:pt idx="35">
                  <c:v>123.42</c:v>
                </c:pt>
                <c:pt idx="36">
                  <c:v>123.8</c:v>
                </c:pt>
                <c:pt idx="37">
                  <c:v>123.94</c:v>
                </c:pt>
                <c:pt idx="38">
                  <c:v>123.89</c:v>
                </c:pt>
                <c:pt idx="39">
                  <c:v>123.66</c:v>
                </c:pt>
                <c:pt idx="40">
                  <c:v>123.05</c:v>
                </c:pt>
                <c:pt idx="41">
                  <c:v>122.02</c:v>
                </c:pt>
                <c:pt idx="42">
                  <c:v>120.42</c:v>
                </c:pt>
                <c:pt idx="43">
                  <c:v>119.57</c:v>
                </c:pt>
                <c:pt idx="44">
                  <c:v>119.2957</c:v>
                </c:pt>
                <c:pt idx="45">
                  <c:v>119.2818</c:v>
                </c:pt>
                <c:pt idx="46">
                  <c:v>118.89884545454547</c:v>
                </c:pt>
                <c:pt idx="47">
                  <c:v>119.13943333333332</c:v>
                </c:pt>
                <c:pt idx="48">
                  <c:v>118.61770952380952</c:v>
                </c:pt>
                <c:pt idx="49">
                  <c:v>118.39149999999999</c:v>
                </c:pt>
                <c:pt idx="50">
                  <c:v>118.2688</c:v>
                </c:pt>
                <c:pt idx="51">
                  <c:v>118.19159999999999</c:v>
                </c:pt>
                <c:pt idx="52">
                  <c:v>118.18894761904762</c:v>
                </c:pt>
                <c:pt idx="53">
                  <c:v>118.13484285714287</c:v>
                </c:pt>
                <c:pt idx="54">
                  <c:v>118.04732272727273</c:v>
                </c:pt>
                <c:pt idx="55">
                  <c:v>118.10411304347828</c:v>
                </c:pt>
                <c:pt idx="56">
                  <c:v>118.278565</c:v>
                </c:pt>
                <c:pt idx="57">
                  <c:v>118.43672608695648</c:v>
                </c:pt>
                <c:pt idx="58">
                  <c:v>118.34287619047618</c:v>
                </c:pt>
                <c:pt idx="59">
                  <c:v>118.27724285714282</c:v>
                </c:pt>
                <c:pt idx="60">
                  <c:v>118.41</c:v>
                </c:pt>
                <c:pt idx="61">
                  <c:v>118.24</c:v>
                </c:pt>
                <c:pt idx="62">
                  <c:v>118.04</c:v>
                </c:pt>
                <c:pt idx="63">
                  <c:v>117.99</c:v>
                </c:pt>
                <c:pt idx="64">
                  <c:v>117.96469999999999</c:v>
                </c:pt>
                <c:pt idx="65">
                  <c:v>117.93766999999998</c:v>
                </c:pt>
                <c:pt idx="66">
                  <c:v>117.78449999999999</c:v>
                </c:pt>
                <c:pt idx="67">
                  <c:v>117.777</c:v>
                </c:pt>
                <c:pt idx="68">
                  <c:v>117.5958</c:v>
                </c:pt>
                <c:pt idx="69">
                  <c:v>117.5453</c:v>
                </c:pt>
                <c:pt idx="70">
                  <c:v>117.51315499999998</c:v>
                </c:pt>
                <c:pt idx="71">
                  <c:v>117.54</c:v>
                </c:pt>
                <c:pt idx="72">
                  <c:v>117.5643</c:v>
                </c:pt>
                <c:pt idx="73">
                  <c:v>117.57170000000001</c:v>
                </c:pt>
                <c:pt idx="74">
                  <c:v>117.5625</c:v>
                </c:pt>
                <c:pt idx="75">
                  <c:v>117.5694</c:v>
                </c:pt>
                <c:pt idx="76">
                  <c:v>117.5913</c:v>
                </c:pt>
                <c:pt idx="77">
                  <c:v>117.5852</c:v>
                </c:pt>
                <c:pt idx="78">
                  <c:v>117.58579130434782</c:v>
                </c:pt>
                <c:pt idx="79">
                  <c:v>117.58645238095237</c:v>
                </c:pt>
                <c:pt idx="80">
                  <c:v>117.58302727272726</c:v>
                </c:pt>
                <c:pt idx="81" formatCode="General">
                  <c:v>117.58</c:v>
                </c:pt>
                <c:pt idx="82">
                  <c:v>117.57380000000001</c:v>
                </c:pt>
                <c:pt idx="83">
                  <c:v>117.57769999999999</c:v>
                </c:pt>
                <c:pt idx="84">
                  <c:v>117.58199999999999</c:v>
                </c:pt>
                <c:pt idx="85">
                  <c:v>117.5763</c:v>
                </c:pt>
                <c:pt idx="86">
                  <c:v>117.5766</c:v>
                </c:pt>
              </c:numCache>
            </c:numRef>
          </c:val>
          <c:smooth val="0"/>
          <c:extLst>
            <c:ext xmlns:c16="http://schemas.microsoft.com/office/drawing/2014/chart" uri="{C3380CC4-5D6E-409C-BE32-E72D297353CC}">
              <c16:uniqueId val="{00000001-A916-4F00-BDF6-8AEA74AF2DC9}"/>
            </c:ext>
          </c:extLst>
        </c:ser>
        <c:ser>
          <c:idx val="2"/>
          <c:order val="2"/>
          <c:tx>
            <c:strRef>
              <c:f>'Devizni kurs'!$W$2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1.0095873432487606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916-4F00-BDF6-8AEA74AF2DC9}"/>
                </c:ext>
              </c:extLst>
            </c:dLbl>
            <c:dLbl>
              <c:idx val="12"/>
              <c:layout>
                <c:manualLayout>
                  <c:x val="-1.4740813648294005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916-4F00-BDF6-8AEA74AF2DC9}"/>
                </c:ext>
              </c:extLst>
            </c:dLbl>
            <c:dLbl>
              <c:idx val="24"/>
              <c:layout>
                <c:manualLayout>
                  <c:x val="-1.4736803732866767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916-4F00-BDF6-8AEA74AF2DC9}"/>
                </c:ext>
              </c:extLst>
            </c:dLbl>
            <c:dLbl>
              <c:idx val="36"/>
              <c:layout>
                <c:manualLayout>
                  <c:x val="-1.0111184018664334E-2"/>
                  <c:y val="3.838585993156697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916-4F00-BDF6-8AEA74AF2DC9}"/>
                </c:ext>
              </c:extLst>
            </c:dLbl>
            <c:dLbl>
              <c:idx val="48"/>
              <c:layout>
                <c:manualLayout>
                  <c:x val="-1.0894575678040331E-2"/>
                  <c:y val="3.838556671031559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916-4F00-BDF6-8AEA74AF2DC9}"/>
                </c:ext>
              </c:extLst>
            </c:dLbl>
            <c:dLbl>
              <c:idx val="60"/>
              <c:layout>
                <c:manualLayout>
                  <c:x val="-1.1555459739139894E-2"/>
                  <c:y val="3.838584644250675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916-4F00-BDF6-8AEA74AF2DC9}"/>
                </c:ext>
              </c:extLst>
            </c:dLbl>
            <c:dLbl>
              <c:idx val="72"/>
              <c:layout>
                <c:manualLayout>
                  <c:x val="-1.2098643919510061E-2"/>
                  <c:y val="3.790473634841386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916-4F00-BDF6-8AEA74AF2DC9}"/>
                </c:ext>
              </c:extLst>
            </c:dLbl>
            <c:dLbl>
              <c:idx val="84"/>
              <c:layout>
                <c:manualLayout>
                  <c:x val="-3.1481481481481478E-2"/>
                  <c:y val="3.7529412668681261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916-4F00-BDF6-8AEA74AF2DC9}"/>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'Devizni kurs'!$Q$39:$Q$125</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'Devizni kurs'!$W$39:$W$125</c:f>
              <c:numCache>
                <c:formatCode>General</c:formatCode>
                <c:ptCount val="87"/>
                <c:pt idx="0">
                  <c:v>85</c:v>
                </c:pt>
                <c:pt idx="12">
                  <c:v>85</c:v>
                </c:pt>
                <c:pt idx="24">
                  <c:v>85</c:v>
                </c:pt>
                <c:pt idx="36">
                  <c:v>85</c:v>
                </c:pt>
                <c:pt idx="48">
                  <c:v>85</c:v>
                </c:pt>
                <c:pt idx="60">
                  <c:v>85</c:v>
                </c:pt>
                <c:pt idx="72">
                  <c:v>85</c:v>
                </c:pt>
                <c:pt idx="84">
                  <c:v>85</c:v>
                </c:pt>
              </c:numCache>
            </c:numRef>
          </c:val>
          <c:smooth val="0"/>
          <c:extLst>
            <c:ext xmlns:c16="http://schemas.microsoft.com/office/drawing/2014/chart" uri="{C3380CC4-5D6E-409C-BE32-E72D297353CC}">
              <c16:uniqueId val="{0000000A-A916-4F00-BDF6-8AEA74AF2DC9}"/>
            </c:ext>
          </c:extLst>
        </c:ser>
        <c:dLbls>
          <c:showLegendKey val="0"/>
          <c:showVal val="0"/>
          <c:showCatName val="0"/>
          <c:showSerName val="0"/>
          <c:showPercent val="0"/>
          <c:showBubbleSize val="0"/>
        </c:dLbls>
        <c:marker val="1"/>
        <c:smooth val="0"/>
        <c:axId val="1839186288"/>
        <c:axId val="1839187920"/>
      </c:lineChart>
      <c:catAx>
        <c:axId val="1839186288"/>
        <c:scaling>
          <c:orientation val="minMax"/>
        </c:scaling>
        <c:delete val="0"/>
        <c:axPos val="b"/>
        <c:numFmt formatCode="\I\ 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7920"/>
        <c:crosses val="autoZero"/>
        <c:auto val="0"/>
        <c:lblAlgn val="ctr"/>
        <c:lblOffset val="100"/>
        <c:tickLblSkip val="12"/>
        <c:noMultiLvlLbl val="1"/>
      </c:catAx>
      <c:valAx>
        <c:axId val="1839187920"/>
        <c:scaling>
          <c:orientation val="minMax"/>
          <c:max val="140"/>
          <c:min val="85"/>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6288"/>
        <c:crosses val="autoZero"/>
        <c:crossBetween val="midCat"/>
        <c:majorUnit val="10"/>
      </c:valAx>
      <c:valAx>
        <c:axId val="183920369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6832"/>
        <c:crosses val="max"/>
        <c:crossBetween val="between"/>
        <c:majorUnit val="200"/>
      </c:valAx>
      <c:dateAx>
        <c:axId val="1839186832"/>
        <c:scaling>
          <c:orientation val="minMax"/>
        </c:scaling>
        <c:delete val="1"/>
        <c:axPos val="b"/>
        <c:numFmt formatCode="yyyy" sourceLinked="1"/>
        <c:majorTickMark val="out"/>
        <c:minorTickMark val="none"/>
        <c:tickLblPos val="nextTo"/>
        <c:crossAx val="1839203696"/>
        <c:crosses val="autoZero"/>
        <c:auto val="1"/>
        <c:lblOffset val="100"/>
        <c:baseTimeUnit val="months"/>
      </c:dateAx>
      <c:spPr>
        <a:noFill/>
        <a:ln>
          <a:noFill/>
        </a:ln>
        <a:effectLst/>
      </c:spPr>
    </c:plotArea>
    <c:legend>
      <c:legendPos val="b"/>
      <c:legendEntry>
        <c:idx val="2"/>
        <c:delete val="1"/>
      </c:legendEntry>
      <c:layout>
        <c:manualLayout>
          <c:xMode val="edge"/>
          <c:yMode val="edge"/>
          <c:x val="0"/>
          <c:y val="0.83348870056497193"/>
          <c:w val="0.99854002624671911"/>
          <c:h val="0.1541596045197740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4.9388888888888892E-2"/>
          <c:w val="0.85158573928258963"/>
          <c:h val="0.68513222222222225"/>
        </c:manualLayout>
      </c:layout>
      <c:barChart>
        <c:barDir val="col"/>
        <c:grouping val="clustered"/>
        <c:varyColors val="0"/>
        <c:ser>
          <c:idx val="1"/>
          <c:order val="1"/>
          <c:tx>
            <c:strRef>
              <c:f>'Stednja i rezerve'!$V$2</c:f>
              <c:strCache>
                <c:ptCount val="1"/>
                <c:pt idx="0">
                  <c:v>Девизне резерве НБС </c:v>
                </c:pt>
              </c:strCache>
            </c:strRef>
          </c:tx>
          <c:spPr>
            <a:solidFill>
              <a:srgbClr val="9ED1E6"/>
            </a:solidFill>
            <a:ln>
              <a:noFill/>
            </a:ln>
            <a:effectLst/>
          </c:spPr>
          <c:invertIfNegative val="0"/>
          <c:cat>
            <c:numRef>
              <c:f>'Stednja i rezerve'!$Q$27:$Q$113</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'Stednja i rezerve'!$V$27:$V$113</c:f>
              <c:numCache>
                <c:formatCode>0.000</c:formatCode>
                <c:ptCount val="87"/>
                <c:pt idx="0">
                  <c:v>11.125999999999999</c:v>
                </c:pt>
                <c:pt idx="1">
                  <c:v>10.832000000000001</c:v>
                </c:pt>
                <c:pt idx="2">
                  <c:v>10.428000000000001</c:v>
                </c:pt>
                <c:pt idx="3">
                  <c:v>10.448</c:v>
                </c:pt>
                <c:pt idx="4">
                  <c:v>10.37</c:v>
                </c:pt>
                <c:pt idx="5">
                  <c:v>10.125</c:v>
                </c:pt>
                <c:pt idx="6">
                  <c:v>10.122999999999999</c:v>
                </c:pt>
                <c:pt idx="7">
                  <c:v>10.949</c:v>
                </c:pt>
                <c:pt idx="8">
                  <c:v>10.878</c:v>
                </c:pt>
                <c:pt idx="9">
                  <c:v>10.714</c:v>
                </c:pt>
                <c:pt idx="10">
                  <c:v>10.271000000000001</c:v>
                </c:pt>
                <c:pt idx="11">
                  <c:v>9.907</c:v>
                </c:pt>
                <c:pt idx="12">
                  <c:v>10.048999999999999</c:v>
                </c:pt>
                <c:pt idx="13">
                  <c:v>10.313000000000001</c:v>
                </c:pt>
                <c:pt idx="14">
                  <c:v>10.515000000000001</c:v>
                </c:pt>
                <c:pt idx="15">
                  <c:v>10.534000000000001</c:v>
                </c:pt>
                <c:pt idx="16">
                  <c:v>10.545</c:v>
                </c:pt>
                <c:pt idx="17">
                  <c:v>10.292999999999999</c:v>
                </c:pt>
                <c:pt idx="18">
                  <c:v>10.631</c:v>
                </c:pt>
                <c:pt idx="19">
                  <c:v>10.61</c:v>
                </c:pt>
                <c:pt idx="20">
                  <c:v>10.510999999999999</c:v>
                </c:pt>
                <c:pt idx="21">
                  <c:v>10.673999999999999</c:v>
                </c:pt>
                <c:pt idx="22">
                  <c:v>10.746</c:v>
                </c:pt>
                <c:pt idx="23">
                  <c:v>10.378</c:v>
                </c:pt>
                <c:pt idx="24">
                  <c:v>10.1045</c:v>
                </c:pt>
                <c:pt idx="25">
                  <c:v>9.8507999999999996</c:v>
                </c:pt>
                <c:pt idx="26">
                  <c:v>9.5008999999999997</c:v>
                </c:pt>
                <c:pt idx="27">
                  <c:v>9.3379999999999992</c:v>
                </c:pt>
                <c:pt idx="28">
                  <c:v>9.2639999999999993</c:v>
                </c:pt>
                <c:pt idx="29">
                  <c:v>9.2910000000000004</c:v>
                </c:pt>
                <c:pt idx="30">
                  <c:v>9.6059999999999999</c:v>
                </c:pt>
                <c:pt idx="31">
                  <c:v>9.5839999999999996</c:v>
                </c:pt>
                <c:pt idx="32">
                  <c:v>9.5519999999999996</c:v>
                </c:pt>
                <c:pt idx="33">
                  <c:v>9.7070000000000007</c:v>
                </c:pt>
                <c:pt idx="34">
                  <c:v>9.8179999999999996</c:v>
                </c:pt>
                <c:pt idx="35">
                  <c:v>10.205</c:v>
                </c:pt>
                <c:pt idx="36">
                  <c:v>9.8539999999999992</c:v>
                </c:pt>
                <c:pt idx="37">
                  <c:v>9.7590000000000003</c:v>
                </c:pt>
                <c:pt idx="38">
                  <c:v>9.73</c:v>
                </c:pt>
                <c:pt idx="39">
                  <c:v>9.4090000000000007</c:v>
                </c:pt>
                <c:pt idx="40">
                  <c:v>9.4920000000000009</c:v>
                </c:pt>
                <c:pt idx="41">
                  <c:v>9.67</c:v>
                </c:pt>
                <c:pt idx="42">
                  <c:v>9.9480000000000004</c:v>
                </c:pt>
                <c:pt idx="43">
                  <c:v>10.278</c:v>
                </c:pt>
                <c:pt idx="44">
                  <c:v>10.635999999999999</c:v>
                </c:pt>
                <c:pt idx="45">
                  <c:v>10.76</c:v>
                </c:pt>
                <c:pt idx="46">
                  <c:v>10.105</c:v>
                </c:pt>
                <c:pt idx="47">
                  <c:v>9.9617000000000004</c:v>
                </c:pt>
                <c:pt idx="48">
                  <c:v>9.6477000000000004</c:v>
                </c:pt>
                <c:pt idx="49">
                  <c:v>9.7910000000000004</c:v>
                </c:pt>
                <c:pt idx="50">
                  <c:v>10.234999999999999</c:v>
                </c:pt>
                <c:pt idx="51">
                  <c:v>10.43</c:v>
                </c:pt>
                <c:pt idx="52">
                  <c:v>10.882999999999999</c:v>
                </c:pt>
                <c:pt idx="53">
                  <c:v>11.103999999999999</c:v>
                </c:pt>
                <c:pt idx="54">
                  <c:v>11.403</c:v>
                </c:pt>
                <c:pt idx="55">
                  <c:v>11.326000000000001</c:v>
                </c:pt>
                <c:pt idx="56">
                  <c:v>11.17249</c:v>
                </c:pt>
                <c:pt idx="57">
                  <c:v>11.5504</c:v>
                </c:pt>
                <c:pt idx="58">
                  <c:v>11.627000000000001</c:v>
                </c:pt>
                <c:pt idx="59">
                  <c:v>11.262</c:v>
                </c:pt>
                <c:pt idx="60">
                  <c:v>11.346</c:v>
                </c:pt>
                <c:pt idx="61">
                  <c:v>11.398</c:v>
                </c:pt>
                <c:pt idx="62">
                  <c:v>11.44</c:v>
                </c:pt>
                <c:pt idx="63">
                  <c:v>11.336</c:v>
                </c:pt>
                <c:pt idx="64">
                  <c:v>11.656000000000001</c:v>
                </c:pt>
                <c:pt idx="65">
                  <c:v>12.146000000000001</c:v>
                </c:pt>
                <c:pt idx="66">
                  <c:v>12.757999999999999</c:v>
                </c:pt>
                <c:pt idx="67">
                  <c:v>13.1</c:v>
                </c:pt>
                <c:pt idx="68">
                  <c:v>13.295</c:v>
                </c:pt>
                <c:pt idx="69">
                  <c:v>13.499000000000001</c:v>
                </c:pt>
                <c:pt idx="70">
                  <c:v>13.464700000000001</c:v>
                </c:pt>
                <c:pt idx="71">
                  <c:v>13.378500000000001</c:v>
                </c:pt>
                <c:pt idx="72">
                  <c:v>13.694000000000001</c:v>
                </c:pt>
                <c:pt idx="73">
                  <c:v>13.459</c:v>
                </c:pt>
                <c:pt idx="74">
                  <c:v>13.115</c:v>
                </c:pt>
                <c:pt idx="75">
                  <c:v>12.792999999999999</c:v>
                </c:pt>
                <c:pt idx="76">
                  <c:v>14.345000000000001</c:v>
                </c:pt>
                <c:pt idx="77">
                  <c:v>13.956</c:v>
                </c:pt>
                <c:pt idx="78">
                  <c:v>13.521000000000001</c:v>
                </c:pt>
                <c:pt idx="79">
                  <c:v>13.369</c:v>
                </c:pt>
                <c:pt idx="80">
                  <c:v>13.03</c:v>
                </c:pt>
                <c:pt idx="81">
                  <c:v>13.05</c:v>
                </c:pt>
                <c:pt idx="82" formatCode="General">
                  <c:v>12.843999999999999</c:v>
                </c:pt>
                <c:pt idx="83" formatCode="General">
                  <c:v>13.492000000000001</c:v>
                </c:pt>
                <c:pt idx="84" formatCode="General">
                  <c:v>13.603</c:v>
                </c:pt>
                <c:pt idx="85" formatCode="General">
                  <c:v>13.423</c:v>
                </c:pt>
                <c:pt idx="86" formatCode="General">
                  <c:v>14.276</c:v>
                </c:pt>
              </c:numCache>
            </c:numRef>
          </c:val>
          <c:extLst>
            <c:ext xmlns:c16="http://schemas.microsoft.com/office/drawing/2014/chart" uri="{C3380CC4-5D6E-409C-BE32-E72D297353CC}">
              <c16:uniqueId val="{00000000-5696-404E-84CC-0311F73825EC}"/>
            </c:ext>
          </c:extLst>
        </c:ser>
        <c:dLbls>
          <c:showLegendKey val="0"/>
          <c:showVal val="0"/>
          <c:showCatName val="0"/>
          <c:showSerName val="0"/>
          <c:showPercent val="0"/>
          <c:showBubbleSize val="0"/>
        </c:dLbls>
        <c:gapWidth val="100"/>
        <c:axId val="2067915440"/>
        <c:axId val="2067938832"/>
      </c:barChart>
      <c:lineChart>
        <c:grouping val="standard"/>
        <c:varyColors val="0"/>
        <c:ser>
          <c:idx val="0"/>
          <c:order val="0"/>
          <c:tx>
            <c:strRef>
              <c:f>'Stednja i rezerve'!$U$2</c:f>
              <c:strCache>
                <c:ptCount val="1"/>
                <c:pt idx="0">
                  <c:v>Девизна штедња становништва</c:v>
                </c:pt>
              </c:strCache>
            </c:strRef>
          </c:tx>
          <c:spPr>
            <a:ln w="22225" cap="rnd">
              <a:solidFill>
                <a:srgbClr val="FF0000"/>
              </a:solidFill>
              <a:round/>
            </a:ln>
            <a:effectLst/>
          </c:spPr>
          <c:marker>
            <c:symbol val="none"/>
          </c:marker>
          <c:cat>
            <c:numRef>
              <c:f>'Stednja i rezerve'!$Q$27:$Q$113</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'Stednja i rezerve'!$U$27:$U$113</c:f>
              <c:numCache>
                <c:formatCode>0.000</c:formatCode>
                <c:ptCount val="87"/>
                <c:pt idx="0">
                  <c:v>8.3740000000000006</c:v>
                </c:pt>
                <c:pt idx="1">
                  <c:v>8.4179999999999993</c:v>
                </c:pt>
                <c:pt idx="2">
                  <c:v>8.4039999999999999</c:v>
                </c:pt>
                <c:pt idx="3">
                  <c:v>8.4369999999999994</c:v>
                </c:pt>
                <c:pt idx="4">
                  <c:v>8.4329999999999998</c:v>
                </c:pt>
                <c:pt idx="5">
                  <c:v>8.4860000000000007</c:v>
                </c:pt>
                <c:pt idx="6">
                  <c:v>8.4960000000000004</c:v>
                </c:pt>
                <c:pt idx="7">
                  <c:v>8.4890000000000008</c:v>
                </c:pt>
                <c:pt idx="8">
                  <c:v>8.4890000000000008</c:v>
                </c:pt>
                <c:pt idx="9">
                  <c:v>8.5120000000000005</c:v>
                </c:pt>
                <c:pt idx="10">
                  <c:v>8.4830000000000005</c:v>
                </c:pt>
                <c:pt idx="11">
                  <c:v>8.5250000000000004</c:v>
                </c:pt>
                <c:pt idx="12">
                  <c:v>8.6050000000000004</c:v>
                </c:pt>
                <c:pt idx="13">
                  <c:v>8.61</c:v>
                </c:pt>
                <c:pt idx="14">
                  <c:v>8.6419999999999995</c:v>
                </c:pt>
                <c:pt idx="15">
                  <c:v>8.6389999999999993</c:v>
                </c:pt>
                <c:pt idx="16">
                  <c:v>8.6349999999999998</c:v>
                </c:pt>
                <c:pt idx="17">
                  <c:v>8.67</c:v>
                </c:pt>
                <c:pt idx="18">
                  <c:v>8.6210000000000004</c:v>
                </c:pt>
                <c:pt idx="19">
                  <c:v>8.6050000000000004</c:v>
                </c:pt>
                <c:pt idx="20">
                  <c:v>8.59</c:v>
                </c:pt>
                <c:pt idx="21">
                  <c:v>8.6039999999999992</c:v>
                </c:pt>
                <c:pt idx="22">
                  <c:v>8.5969999999999995</c:v>
                </c:pt>
                <c:pt idx="23">
                  <c:v>8.6289999999999996</c:v>
                </c:pt>
                <c:pt idx="24">
                  <c:v>8.6264760000000003</c:v>
                </c:pt>
                <c:pt idx="25">
                  <c:v>8.636355</c:v>
                </c:pt>
                <c:pt idx="26">
                  <c:v>8.6437650000000001</c:v>
                </c:pt>
                <c:pt idx="27">
                  <c:v>8.6690000000000005</c:v>
                </c:pt>
                <c:pt idx="28">
                  <c:v>8.7550000000000008</c:v>
                </c:pt>
                <c:pt idx="29">
                  <c:v>8.7959999999999994</c:v>
                </c:pt>
                <c:pt idx="30">
                  <c:v>8.8219999999999992</c:v>
                </c:pt>
                <c:pt idx="31">
                  <c:v>8.8309999999999995</c:v>
                </c:pt>
                <c:pt idx="32">
                  <c:v>8.843</c:v>
                </c:pt>
                <c:pt idx="33">
                  <c:v>8.8960000000000008</c:v>
                </c:pt>
                <c:pt idx="34">
                  <c:v>8.9149999999999991</c:v>
                </c:pt>
                <c:pt idx="35">
                  <c:v>8.9870000000000001</c:v>
                </c:pt>
                <c:pt idx="36">
                  <c:v>9.0310000000000006</c:v>
                </c:pt>
                <c:pt idx="37">
                  <c:v>9.0555649999999996</c:v>
                </c:pt>
                <c:pt idx="38">
                  <c:v>9.0842139999999993</c:v>
                </c:pt>
                <c:pt idx="39">
                  <c:v>9.1143780000000003</c:v>
                </c:pt>
                <c:pt idx="40">
                  <c:v>9.1059999999999999</c:v>
                </c:pt>
                <c:pt idx="41">
                  <c:v>9.1370000000000005</c:v>
                </c:pt>
                <c:pt idx="42">
                  <c:v>9.1780000000000008</c:v>
                </c:pt>
                <c:pt idx="43">
                  <c:v>9.2170000000000005</c:v>
                </c:pt>
                <c:pt idx="44">
                  <c:v>9.2629999999999999</c:v>
                </c:pt>
                <c:pt idx="45">
                  <c:v>9.2880000000000003</c:v>
                </c:pt>
                <c:pt idx="46">
                  <c:v>9.298</c:v>
                </c:pt>
                <c:pt idx="47">
                  <c:v>9.373151</c:v>
                </c:pt>
                <c:pt idx="48">
                  <c:v>9.4209999999999994</c:v>
                </c:pt>
                <c:pt idx="49">
                  <c:v>9.5150000000000006</c:v>
                </c:pt>
                <c:pt idx="50">
                  <c:v>9.5660000000000007</c:v>
                </c:pt>
                <c:pt idx="51">
                  <c:v>9.5939999999999994</c:v>
                </c:pt>
                <c:pt idx="52">
                  <c:v>9.6340000000000003</c:v>
                </c:pt>
                <c:pt idx="53">
                  <c:v>9.6869999999999994</c:v>
                </c:pt>
                <c:pt idx="54">
                  <c:v>9.718</c:v>
                </c:pt>
                <c:pt idx="55">
                  <c:v>9.7629999999999999</c:v>
                </c:pt>
                <c:pt idx="56">
                  <c:v>9.7824939999999998</c:v>
                </c:pt>
                <c:pt idx="57">
                  <c:v>9.8469999999999995</c:v>
                </c:pt>
                <c:pt idx="58">
                  <c:v>9.875</c:v>
                </c:pt>
                <c:pt idx="59">
                  <c:v>9.9550000000000001</c:v>
                </c:pt>
                <c:pt idx="60">
                  <c:v>10.105</c:v>
                </c:pt>
                <c:pt idx="61">
                  <c:v>10.167</c:v>
                </c:pt>
                <c:pt idx="62">
                  <c:v>10.217000000000001</c:v>
                </c:pt>
                <c:pt idx="63">
                  <c:v>10.295999999999999</c:v>
                </c:pt>
                <c:pt idx="64">
                  <c:v>10.340999999999999</c:v>
                </c:pt>
                <c:pt idx="65">
                  <c:v>10.391</c:v>
                </c:pt>
                <c:pt idx="66">
                  <c:v>10.474</c:v>
                </c:pt>
                <c:pt idx="67">
                  <c:v>10.547000000000001</c:v>
                </c:pt>
                <c:pt idx="68">
                  <c:v>10.612</c:v>
                </c:pt>
                <c:pt idx="69">
                  <c:v>10.661</c:v>
                </c:pt>
                <c:pt idx="70">
                  <c:v>10.72</c:v>
                </c:pt>
                <c:pt idx="71">
                  <c:v>10.804</c:v>
                </c:pt>
                <c:pt idx="72">
                  <c:v>10.941129999999999</c:v>
                </c:pt>
                <c:pt idx="73">
                  <c:v>11.007695</c:v>
                </c:pt>
                <c:pt idx="74">
                  <c:v>10.819725</c:v>
                </c:pt>
                <c:pt idx="75">
                  <c:v>10.889227</c:v>
                </c:pt>
                <c:pt idx="76">
                  <c:v>10.915190000000001</c:v>
                </c:pt>
                <c:pt idx="77">
                  <c:v>10.987965000000001</c:v>
                </c:pt>
                <c:pt idx="78">
                  <c:v>10.998704</c:v>
                </c:pt>
                <c:pt idx="79">
                  <c:v>11.069706</c:v>
                </c:pt>
                <c:pt idx="80">
                  <c:v>11.155711999999999</c:v>
                </c:pt>
                <c:pt idx="81" formatCode="General">
                  <c:v>11.256</c:v>
                </c:pt>
                <c:pt idx="82" formatCode="General">
                  <c:v>11.291</c:v>
                </c:pt>
                <c:pt idx="83" formatCode="General">
                  <c:v>11.436</c:v>
                </c:pt>
                <c:pt idx="84" formatCode="General">
                  <c:v>11.586</c:v>
                </c:pt>
                <c:pt idx="85" formatCode="General">
                  <c:v>11.683999999999999</c:v>
                </c:pt>
              </c:numCache>
            </c:numRef>
          </c:val>
          <c:smooth val="0"/>
          <c:extLst>
            <c:ext xmlns:c16="http://schemas.microsoft.com/office/drawing/2014/chart" uri="{C3380CC4-5D6E-409C-BE32-E72D297353CC}">
              <c16:uniqueId val="{00000001-5696-404E-84CC-0311F73825EC}"/>
            </c:ext>
          </c:extLst>
        </c:ser>
        <c:ser>
          <c:idx val="2"/>
          <c:order val="2"/>
          <c:tx>
            <c:strRef>
              <c:f>'Stednja i rezerve'!$W$2</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6.3630999105944858E-3"/>
                  <c:y val="2.791564517492536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696-404E-84CC-0311F73825EC}"/>
                </c:ext>
              </c:extLst>
            </c:dLbl>
            <c:dLbl>
              <c:idx val="12"/>
              <c:layout>
                <c:manualLayout>
                  <c:x val="-9.0692625661315546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696-404E-84CC-0311F73825EC}"/>
                </c:ext>
              </c:extLst>
            </c:dLbl>
            <c:dLbl>
              <c:idx val="24"/>
              <c:layout>
                <c:manualLayout>
                  <c:x val="-9.0692625661315963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696-404E-84CC-0311F73825EC}"/>
                </c:ext>
              </c:extLst>
            </c:dLbl>
            <c:dLbl>
              <c:idx val="36"/>
              <c:layout>
                <c:manualLayout>
                  <c:x val="-9.0768978497223485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696-404E-84CC-0311F73825EC}"/>
                </c:ext>
              </c:extLst>
            </c:dLbl>
            <c:dLbl>
              <c:idx val="48"/>
              <c:layout>
                <c:manualLayout>
                  <c:x val="-6.3063806610628532E-3"/>
                  <c:y val="2.8022985232677652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696-404E-84CC-0311F73825EC}"/>
                </c:ext>
              </c:extLst>
            </c:dLbl>
            <c:dLbl>
              <c:idx val="60"/>
              <c:layout>
                <c:manualLayout>
                  <c:x val="-8.72312971001565E-3"/>
                  <c:y val="2.802242906657517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696-404E-84CC-0311F73825EC}"/>
                </c:ext>
              </c:extLst>
            </c:dLbl>
            <c:dLbl>
              <c:idx val="72"/>
              <c:layout>
                <c:manualLayout>
                  <c:x val="-7.4942126368306447E-3"/>
                  <c:y val="2.8734321677574937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696-404E-84CC-0311F73825EC}"/>
                </c:ext>
              </c:extLst>
            </c:dLbl>
            <c:dLbl>
              <c:idx val="84"/>
              <c:layout>
                <c:manualLayout>
                  <c:x val="-2.5262608307406866E-2"/>
                  <c:y val="2.853465804683363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696-404E-84CC-0311F73825EC}"/>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'Stednja i rezerve'!$Q$27:$Q$113</c:f>
              <c:numCache>
                <c:formatCode>yyyy</c:formatCode>
                <c:ptCount val="87"/>
                <c:pt idx="0">
                  <c:v>41640</c:v>
                </c:pt>
                <c:pt idx="1">
                  <c:v>41671</c:v>
                </c:pt>
                <c:pt idx="2">
                  <c:v>41699</c:v>
                </c:pt>
                <c:pt idx="3">
                  <c:v>41730</c:v>
                </c:pt>
                <c:pt idx="4">
                  <c:v>41760</c:v>
                </c:pt>
                <c:pt idx="5">
                  <c:v>41791</c:v>
                </c:pt>
                <c:pt idx="6">
                  <c:v>41821</c:v>
                </c:pt>
                <c:pt idx="7">
                  <c:v>41852</c:v>
                </c:pt>
                <c:pt idx="8">
                  <c:v>41883</c:v>
                </c:pt>
                <c:pt idx="9">
                  <c:v>41913</c:v>
                </c:pt>
                <c:pt idx="10">
                  <c:v>41944</c:v>
                </c:pt>
                <c:pt idx="11">
                  <c:v>41974</c:v>
                </c:pt>
                <c:pt idx="12">
                  <c:v>42005</c:v>
                </c:pt>
                <c:pt idx="13">
                  <c:v>42036</c:v>
                </c:pt>
                <c:pt idx="14">
                  <c:v>42064</c:v>
                </c:pt>
                <c:pt idx="15">
                  <c:v>42095</c:v>
                </c:pt>
                <c:pt idx="16">
                  <c:v>42125</c:v>
                </c:pt>
                <c:pt idx="17">
                  <c:v>42156</c:v>
                </c:pt>
                <c:pt idx="18">
                  <c:v>42186</c:v>
                </c:pt>
                <c:pt idx="19">
                  <c:v>42217</c:v>
                </c:pt>
                <c:pt idx="20">
                  <c:v>42248</c:v>
                </c:pt>
                <c:pt idx="21">
                  <c:v>42278</c:v>
                </c:pt>
                <c:pt idx="22">
                  <c:v>42309</c:v>
                </c:pt>
                <c:pt idx="23">
                  <c:v>42339</c:v>
                </c:pt>
                <c:pt idx="24">
                  <c:v>42370</c:v>
                </c:pt>
                <c:pt idx="25">
                  <c:v>42401</c:v>
                </c:pt>
                <c:pt idx="26">
                  <c:v>42430</c:v>
                </c:pt>
                <c:pt idx="27">
                  <c:v>42461</c:v>
                </c:pt>
                <c:pt idx="28">
                  <c:v>42491</c:v>
                </c:pt>
                <c:pt idx="29">
                  <c:v>42522</c:v>
                </c:pt>
                <c:pt idx="30">
                  <c:v>42552</c:v>
                </c:pt>
                <c:pt idx="31">
                  <c:v>42583</c:v>
                </c:pt>
                <c:pt idx="32">
                  <c:v>42614</c:v>
                </c:pt>
                <c:pt idx="33">
                  <c:v>42644</c:v>
                </c:pt>
                <c:pt idx="34">
                  <c:v>42675</c:v>
                </c:pt>
                <c:pt idx="35">
                  <c:v>42705</c:v>
                </c:pt>
                <c:pt idx="36">
                  <c:v>42736</c:v>
                </c:pt>
                <c:pt idx="37">
                  <c:v>42767</c:v>
                </c:pt>
                <c:pt idx="38">
                  <c:v>42795</c:v>
                </c:pt>
                <c:pt idx="39">
                  <c:v>42826</c:v>
                </c:pt>
                <c:pt idx="40">
                  <c:v>42856</c:v>
                </c:pt>
                <c:pt idx="41">
                  <c:v>42887</c:v>
                </c:pt>
                <c:pt idx="42">
                  <c:v>42917</c:v>
                </c:pt>
                <c:pt idx="43">
                  <c:v>42948</c:v>
                </c:pt>
                <c:pt idx="44">
                  <c:v>42979</c:v>
                </c:pt>
                <c:pt idx="45">
                  <c:v>43009</c:v>
                </c:pt>
                <c:pt idx="46">
                  <c:v>43040</c:v>
                </c:pt>
                <c:pt idx="47">
                  <c:v>43070</c:v>
                </c:pt>
                <c:pt idx="48">
                  <c:v>43101</c:v>
                </c:pt>
                <c:pt idx="49">
                  <c:v>43132</c:v>
                </c:pt>
                <c:pt idx="50">
                  <c:v>43160</c:v>
                </c:pt>
                <c:pt idx="51">
                  <c:v>43191</c:v>
                </c:pt>
                <c:pt idx="52">
                  <c:v>43221</c:v>
                </c:pt>
                <c:pt idx="53">
                  <c:v>43252</c:v>
                </c:pt>
                <c:pt idx="54">
                  <c:v>43282</c:v>
                </c:pt>
                <c:pt idx="55">
                  <c:v>43313</c:v>
                </c:pt>
                <c:pt idx="56">
                  <c:v>43344</c:v>
                </c:pt>
                <c:pt idx="57">
                  <c:v>43374</c:v>
                </c:pt>
                <c:pt idx="58">
                  <c:v>43405</c:v>
                </c:pt>
                <c:pt idx="59">
                  <c:v>43435</c:v>
                </c:pt>
                <c:pt idx="60">
                  <c:v>43466</c:v>
                </c:pt>
                <c:pt idx="61">
                  <c:v>43497</c:v>
                </c:pt>
                <c:pt idx="62">
                  <c:v>43525</c:v>
                </c:pt>
                <c:pt idx="63">
                  <c:v>43556</c:v>
                </c:pt>
                <c:pt idx="64">
                  <c:v>43586</c:v>
                </c:pt>
                <c:pt idx="65">
                  <c:v>43617</c:v>
                </c:pt>
                <c:pt idx="66">
                  <c:v>43647</c:v>
                </c:pt>
                <c:pt idx="67">
                  <c:v>43678</c:v>
                </c:pt>
                <c:pt idx="68">
                  <c:v>43709</c:v>
                </c:pt>
                <c:pt idx="69">
                  <c:v>43739</c:v>
                </c:pt>
                <c:pt idx="70">
                  <c:v>43770</c:v>
                </c:pt>
                <c:pt idx="71">
                  <c:v>43800</c:v>
                </c:pt>
                <c:pt idx="72">
                  <c:v>43831</c:v>
                </c:pt>
                <c:pt idx="73">
                  <c:v>43862</c:v>
                </c:pt>
                <c:pt idx="74">
                  <c:v>43891</c:v>
                </c:pt>
                <c:pt idx="75">
                  <c:v>43922</c:v>
                </c:pt>
                <c:pt idx="76">
                  <c:v>43952</c:v>
                </c:pt>
                <c:pt idx="77">
                  <c:v>43983</c:v>
                </c:pt>
                <c:pt idx="78">
                  <c:v>44013</c:v>
                </c:pt>
                <c:pt idx="79">
                  <c:v>44044</c:v>
                </c:pt>
                <c:pt idx="80">
                  <c:v>44075</c:v>
                </c:pt>
                <c:pt idx="81">
                  <c:v>44105</c:v>
                </c:pt>
                <c:pt idx="82">
                  <c:v>44136</c:v>
                </c:pt>
                <c:pt idx="83">
                  <c:v>44166</c:v>
                </c:pt>
                <c:pt idx="84" formatCode="yy">
                  <c:v>44197</c:v>
                </c:pt>
                <c:pt idx="85" formatCode="yy">
                  <c:v>44228</c:v>
                </c:pt>
                <c:pt idx="86" formatCode="yy">
                  <c:v>44256</c:v>
                </c:pt>
              </c:numCache>
            </c:numRef>
          </c:cat>
          <c:val>
            <c:numRef>
              <c:f>'Stednja i rezerve'!$W$27:$W$113</c:f>
              <c:numCache>
                <c:formatCode>General</c:formatCode>
                <c:ptCount val="87"/>
                <c:pt idx="0">
                  <c:v>7</c:v>
                </c:pt>
                <c:pt idx="12">
                  <c:v>7</c:v>
                </c:pt>
                <c:pt idx="24">
                  <c:v>7</c:v>
                </c:pt>
                <c:pt idx="36">
                  <c:v>7</c:v>
                </c:pt>
                <c:pt idx="48">
                  <c:v>7</c:v>
                </c:pt>
                <c:pt idx="60">
                  <c:v>7</c:v>
                </c:pt>
                <c:pt idx="72">
                  <c:v>7</c:v>
                </c:pt>
                <c:pt idx="84">
                  <c:v>7</c:v>
                </c:pt>
              </c:numCache>
            </c:numRef>
          </c:val>
          <c:smooth val="0"/>
          <c:extLst>
            <c:ext xmlns:c16="http://schemas.microsoft.com/office/drawing/2014/chart" uri="{C3380CC4-5D6E-409C-BE32-E72D297353CC}">
              <c16:uniqueId val="{0000000A-5696-404E-84CC-0311F73825EC}"/>
            </c:ext>
          </c:extLst>
        </c:ser>
        <c:dLbls>
          <c:showLegendKey val="0"/>
          <c:showVal val="0"/>
          <c:showCatName val="0"/>
          <c:showSerName val="0"/>
          <c:showPercent val="0"/>
          <c:showBubbleSize val="0"/>
        </c:dLbls>
        <c:marker val="1"/>
        <c:smooth val="0"/>
        <c:axId val="2067915440"/>
        <c:axId val="2067938832"/>
      </c:lineChart>
      <c:catAx>
        <c:axId val="2067915440"/>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8832"/>
        <c:crosses val="autoZero"/>
        <c:auto val="0"/>
        <c:lblAlgn val="ctr"/>
        <c:lblOffset val="100"/>
        <c:tickLblSkip val="12"/>
        <c:noMultiLvlLbl val="1"/>
      </c:catAx>
      <c:valAx>
        <c:axId val="2067938832"/>
        <c:scaling>
          <c:orientation val="minMax"/>
          <c:min val="7"/>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15440"/>
        <c:crosses val="autoZero"/>
        <c:crossBetween val="midCat"/>
        <c:majorUnit val="1"/>
      </c:valAx>
      <c:spPr>
        <a:noFill/>
        <a:ln>
          <a:noFill/>
        </a:ln>
        <a:effectLst/>
      </c:spPr>
    </c:plotArea>
    <c:legend>
      <c:legendPos val="b"/>
      <c:legendEntry>
        <c:idx val="2"/>
        <c:delete val="1"/>
      </c:legendEntry>
      <c:layout>
        <c:manualLayout>
          <c:xMode val="edge"/>
          <c:yMode val="edge"/>
          <c:x val="5.2835374744823561E-2"/>
          <c:y val="0.81213222222222226"/>
          <c:w val="0.91284740449110524"/>
          <c:h val="0.1455344444444444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0491452991453"/>
          <c:y val="3.9230096237970254E-2"/>
          <c:w val="0.85891310541310539"/>
          <c:h val="0.6289622222222222"/>
        </c:manualLayout>
      </c:layout>
      <c:lineChart>
        <c:grouping val="standard"/>
        <c:varyColors val="0"/>
        <c:ser>
          <c:idx val="0"/>
          <c:order val="0"/>
          <c:tx>
            <c:strRef>
              <c:f>Inflacija!$U$3</c:f>
              <c:strCache>
                <c:ptCount val="1"/>
                <c:pt idx="0">
                  <c:v>Референтна каматна стопа</c:v>
                </c:pt>
              </c:strCache>
            </c:strRef>
          </c:tx>
          <c:spPr>
            <a:ln w="22225" cap="rnd">
              <a:solidFill>
                <a:srgbClr val="51BBE7"/>
              </a:solidFill>
              <a:round/>
            </a:ln>
            <a:effectLst/>
          </c:spPr>
          <c:marker>
            <c:symbol val="none"/>
          </c:marker>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Inflacija!$U$40:$U$140</c:f>
              <c:numCache>
                <c:formatCode>0.00</c:formatCode>
                <c:ptCount val="101"/>
                <c:pt idx="0">
                  <c:v>11.5</c:v>
                </c:pt>
                <c:pt idx="1">
                  <c:v>11.75</c:v>
                </c:pt>
                <c:pt idx="2">
                  <c:v>11.75</c:v>
                </c:pt>
                <c:pt idx="3">
                  <c:v>11.75</c:v>
                </c:pt>
                <c:pt idx="4">
                  <c:v>11.25</c:v>
                </c:pt>
                <c:pt idx="5">
                  <c:v>11</c:v>
                </c:pt>
                <c:pt idx="6">
                  <c:v>11</c:v>
                </c:pt>
                <c:pt idx="7">
                  <c:v>11</c:v>
                </c:pt>
                <c:pt idx="8">
                  <c:v>11</c:v>
                </c:pt>
                <c:pt idx="9">
                  <c:v>10.5</c:v>
                </c:pt>
                <c:pt idx="10">
                  <c:v>10</c:v>
                </c:pt>
                <c:pt idx="11">
                  <c:v>9.5</c:v>
                </c:pt>
                <c:pt idx="12">
                  <c:v>9.5</c:v>
                </c:pt>
                <c:pt idx="13">
                  <c:v>9.5</c:v>
                </c:pt>
                <c:pt idx="14">
                  <c:v>9.5</c:v>
                </c:pt>
                <c:pt idx="15">
                  <c:v>9.5</c:v>
                </c:pt>
                <c:pt idx="16">
                  <c:v>9</c:v>
                </c:pt>
                <c:pt idx="17">
                  <c:v>8.5</c:v>
                </c:pt>
                <c:pt idx="18">
                  <c:v>8.5</c:v>
                </c:pt>
                <c:pt idx="19">
                  <c:v>8.5</c:v>
                </c:pt>
                <c:pt idx="20">
                  <c:v>8.5</c:v>
                </c:pt>
                <c:pt idx="21">
                  <c:v>8.5</c:v>
                </c:pt>
                <c:pt idx="22">
                  <c:v>8</c:v>
                </c:pt>
                <c:pt idx="23">
                  <c:v>8</c:v>
                </c:pt>
                <c:pt idx="24">
                  <c:v>8</c:v>
                </c:pt>
                <c:pt idx="25">
                  <c:v>8</c:v>
                </c:pt>
                <c:pt idx="26">
                  <c:v>7.5</c:v>
                </c:pt>
                <c:pt idx="27">
                  <c:v>7</c:v>
                </c:pt>
                <c:pt idx="28">
                  <c:v>6.5</c:v>
                </c:pt>
                <c:pt idx="29">
                  <c:v>6</c:v>
                </c:pt>
                <c:pt idx="30">
                  <c:v>6</c:v>
                </c:pt>
                <c:pt idx="31">
                  <c:v>5.5</c:v>
                </c:pt>
                <c:pt idx="32">
                  <c:v>5</c:v>
                </c:pt>
                <c:pt idx="33">
                  <c:v>4.5</c:v>
                </c:pt>
                <c:pt idx="34">
                  <c:v>4.5</c:v>
                </c:pt>
                <c:pt idx="35">
                  <c:v>4.5</c:v>
                </c:pt>
                <c:pt idx="36">
                  <c:v>4.5</c:v>
                </c:pt>
                <c:pt idx="37">
                  <c:v>4.25</c:v>
                </c:pt>
                <c:pt idx="38">
                  <c:v>4.25</c:v>
                </c:pt>
                <c:pt idx="39">
                  <c:v>4.25</c:v>
                </c:pt>
                <c:pt idx="40">
                  <c:v>4.25</c:v>
                </c:pt>
                <c:pt idx="41">
                  <c:v>4.25</c:v>
                </c:pt>
                <c:pt idx="42">
                  <c:v>4</c:v>
                </c:pt>
                <c:pt idx="43">
                  <c:v>4</c:v>
                </c:pt>
                <c:pt idx="44">
                  <c:v>4</c:v>
                </c:pt>
                <c:pt idx="45">
                  <c:v>4</c:v>
                </c:pt>
                <c:pt idx="46">
                  <c:v>4</c:v>
                </c:pt>
                <c:pt idx="47">
                  <c:v>4</c:v>
                </c:pt>
                <c:pt idx="48">
                  <c:v>4</c:v>
                </c:pt>
                <c:pt idx="49">
                  <c:v>4</c:v>
                </c:pt>
                <c:pt idx="50">
                  <c:v>4</c:v>
                </c:pt>
                <c:pt idx="51">
                  <c:v>4</c:v>
                </c:pt>
                <c:pt idx="52">
                  <c:v>4</c:v>
                </c:pt>
                <c:pt idx="53">
                  <c:v>4</c:v>
                </c:pt>
                <c:pt idx="54">
                  <c:v>4</c:v>
                </c:pt>
                <c:pt idx="55">
                  <c:v>4</c:v>
                </c:pt>
                <c:pt idx="56">
                  <c:v>3.75</c:v>
                </c:pt>
                <c:pt idx="57">
                  <c:v>3.5</c:v>
                </c:pt>
                <c:pt idx="58">
                  <c:v>3.5</c:v>
                </c:pt>
                <c:pt idx="59">
                  <c:v>3.5</c:v>
                </c:pt>
                <c:pt idx="60">
                  <c:v>3.5</c:v>
                </c:pt>
                <c:pt idx="61">
                  <c:v>3.5</c:v>
                </c:pt>
                <c:pt idx="62">
                  <c:v>3.25</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2.75</c:v>
                </c:pt>
                <c:pt idx="79">
                  <c:v>2.5</c:v>
                </c:pt>
                <c:pt idx="80">
                  <c:v>2.5</c:v>
                </c:pt>
                <c:pt idx="81">
                  <c:v>2.5</c:v>
                </c:pt>
                <c:pt idx="82">
                  <c:v>2.25</c:v>
                </c:pt>
                <c:pt idx="83">
                  <c:v>2.25</c:v>
                </c:pt>
                <c:pt idx="84">
                  <c:v>2.25</c:v>
                </c:pt>
                <c:pt idx="85">
                  <c:v>2.25</c:v>
                </c:pt>
                <c:pt idx="86">
                  <c:v>1.75</c:v>
                </c:pt>
                <c:pt idx="87">
                  <c:v>1.5</c:v>
                </c:pt>
                <c:pt idx="88">
                  <c:v>1.5</c:v>
                </c:pt>
                <c:pt idx="89">
                  <c:v>1.25</c:v>
                </c:pt>
                <c:pt idx="90">
                  <c:v>1.25</c:v>
                </c:pt>
                <c:pt idx="91">
                  <c:v>1.25</c:v>
                </c:pt>
                <c:pt idx="92">
                  <c:v>1.25</c:v>
                </c:pt>
                <c:pt idx="93" formatCode="General">
                  <c:v>1.25</c:v>
                </c:pt>
                <c:pt idx="94" formatCode="General">
                  <c:v>1.25</c:v>
                </c:pt>
                <c:pt idx="95">
                  <c:v>1</c:v>
                </c:pt>
                <c:pt idx="96">
                  <c:v>1</c:v>
                </c:pt>
                <c:pt idx="97">
                  <c:v>1</c:v>
                </c:pt>
                <c:pt idx="98">
                  <c:v>1</c:v>
                </c:pt>
              </c:numCache>
            </c:numRef>
          </c:val>
          <c:smooth val="0"/>
          <c:extLst>
            <c:ext xmlns:c16="http://schemas.microsoft.com/office/drawing/2014/chart" uri="{C3380CC4-5D6E-409C-BE32-E72D297353CC}">
              <c16:uniqueId val="{00000000-44B4-4556-BBE0-74117E1B550D}"/>
            </c:ext>
          </c:extLst>
        </c:ser>
        <c:ser>
          <c:idx val="1"/>
          <c:order val="1"/>
          <c:tx>
            <c:strRef>
              <c:f>Inflacija!$V$3</c:f>
              <c:strCache>
                <c:ptCount val="1"/>
                <c:pt idx="0">
                  <c:v>Потрошачке цене</c:v>
                </c:pt>
              </c:strCache>
            </c:strRef>
          </c:tx>
          <c:spPr>
            <a:ln w="22225" cap="rnd">
              <a:solidFill>
                <a:srgbClr val="7F3F98"/>
              </a:solidFill>
              <a:round/>
            </a:ln>
            <a:effectLst/>
          </c:spPr>
          <c:marker>
            <c:symbol val="none"/>
          </c:marker>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Inflacija!$V$40:$V$140</c:f>
              <c:numCache>
                <c:formatCode>0.0</c:formatCode>
                <c:ptCount val="101"/>
                <c:pt idx="0">
                  <c:v>12.753293315144077</c:v>
                </c:pt>
                <c:pt idx="1">
                  <c:v>12.412739988820135</c:v>
                </c:pt>
                <c:pt idx="2">
                  <c:v>11.175774206136737</c:v>
                </c:pt>
                <c:pt idx="3">
                  <c:v>11.4</c:v>
                </c:pt>
                <c:pt idx="4">
                  <c:v>9.9</c:v>
                </c:pt>
                <c:pt idx="5">
                  <c:v>9.8000000000000007</c:v>
                </c:pt>
                <c:pt idx="6">
                  <c:v>8.6</c:v>
                </c:pt>
                <c:pt idx="7" formatCode="General">
                  <c:v>7.3</c:v>
                </c:pt>
                <c:pt idx="8">
                  <c:v>4.8545411542100254</c:v>
                </c:pt>
                <c:pt idx="9">
                  <c:v>2.1686608375517835</c:v>
                </c:pt>
                <c:pt idx="10">
                  <c:v>1.5706806282722425</c:v>
                </c:pt>
                <c:pt idx="11">
                  <c:v>2.2241478913922492</c:v>
                </c:pt>
                <c:pt idx="12" formatCode="General">
                  <c:v>3.1</c:v>
                </c:pt>
                <c:pt idx="13" formatCode="General">
                  <c:v>2.6</c:v>
                </c:pt>
                <c:pt idx="14" formatCode="General">
                  <c:v>2.2999999999999998</c:v>
                </c:pt>
                <c:pt idx="15" formatCode="General">
                  <c:v>2.1</c:v>
                </c:pt>
                <c:pt idx="16">
                  <c:v>2.1</c:v>
                </c:pt>
                <c:pt idx="17" formatCode="General">
                  <c:v>1.3</c:v>
                </c:pt>
                <c:pt idx="18" formatCode="General">
                  <c:v>2.1</c:v>
                </c:pt>
                <c:pt idx="19" formatCode="General">
                  <c:v>1.5</c:v>
                </c:pt>
                <c:pt idx="20" formatCode="General">
                  <c:v>2.1</c:v>
                </c:pt>
                <c:pt idx="21" formatCode="General">
                  <c:v>1.8</c:v>
                </c:pt>
                <c:pt idx="22" formatCode="General">
                  <c:v>2.4</c:v>
                </c:pt>
                <c:pt idx="23" formatCode="General">
                  <c:v>1.7</c:v>
                </c:pt>
                <c:pt idx="24" formatCode="General">
                  <c:v>0.1</c:v>
                </c:pt>
                <c:pt idx="25" formatCode="General">
                  <c:v>0.8</c:v>
                </c:pt>
                <c:pt idx="26" formatCode="General">
                  <c:v>1.9</c:v>
                </c:pt>
                <c:pt idx="27" formatCode="General">
                  <c:v>1.8</c:v>
                </c:pt>
                <c:pt idx="28">
                  <c:v>1.5</c:v>
                </c:pt>
                <c:pt idx="29">
                  <c:v>1.9</c:v>
                </c:pt>
                <c:pt idx="30">
                  <c:v>1</c:v>
                </c:pt>
                <c:pt idx="31" formatCode="General">
                  <c:v>2.1</c:v>
                </c:pt>
                <c:pt idx="32" formatCode="General">
                  <c:v>1.4</c:v>
                </c:pt>
                <c:pt idx="33" formatCode="General">
                  <c:v>1.4</c:v>
                </c:pt>
                <c:pt idx="34" formatCode="General">
                  <c:v>1.3</c:v>
                </c:pt>
                <c:pt idx="35" formatCode="General">
                  <c:v>1.5</c:v>
                </c:pt>
                <c:pt idx="36" formatCode="General">
                  <c:v>2.4</c:v>
                </c:pt>
                <c:pt idx="37" formatCode="General">
                  <c:v>1.5</c:v>
                </c:pt>
                <c:pt idx="38" formatCode="General">
                  <c:v>0.6</c:v>
                </c:pt>
                <c:pt idx="39" formatCode="General">
                  <c:v>0.4</c:v>
                </c:pt>
                <c:pt idx="40">
                  <c:v>0.7</c:v>
                </c:pt>
                <c:pt idx="41">
                  <c:v>0.3</c:v>
                </c:pt>
                <c:pt idx="42">
                  <c:v>1.2</c:v>
                </c:pt>
                <c:pt idx="43" formatCode="General">
                  <c:v>1.2</c:v>
                </c:pt>
                <c:pt idx="44" formatCode="General">
                  <c:v>0.6</c:v>
                </c:pt>
                <c:pt idx="45" formatCode="General">
                  <c:v>1.5</c:v>
                </c:pt>
                <c:pt idx="46" formatCode="General">
                  <c:v>1.5</c:v>
                </c:pt>
                <c:pt idx="47" formatCode="General">
                  <c:v>1.6</c:v>
                </c:pt>
                <c:pt idx="48" formatCode="General">
                  <c:v>2.4</c:v>
                </c:pt>
                <c:pt idx="49" formatCode="General">
                  <c:v>3.2</c:v>
                </c:pt>
                <c:pt idx="50" formatCode="General">
                  <c:v>3.6</c:v>
                </c:pt>
                <c:pt idx="51">
                  <c:v>4</c:v>
                </c:pt>
                <c:pt idx="52">
                  <c:v>3.5</c:v>
                </c:pt>
                <c:pt idx="53">
                  <c:v>3.6</c:v>
                </c:pt>
                <c:pt idx="54">
                  <c:v>3.2</c:v>
                </c:pt>
                <c:pt idx="55" formatCode="General">
                  <c:v>2.5</c:v>
                </c:pt>
                <c:pt idx="56" formatCode="General">
                  <c:v>3.2</c:v>
                </c:pt>
                <c:pt idx="57" formatCode="General">
                  <c:v>2.8</c:v>
                </c:pt>
                <c:pt idx="58" formatCode="General">
                  <c:v>2.8</c:v>
                </c:pt>
                <c:pt idx="59">
                  <c:v>3</c:v>
                </c:pt>
                <c:pt idx="60">
                  <c:v>1.9</c:v>
                </c:pt>
                <c:pt idx="61" formatCode="General">
                  <c:v>1.5</c:v>
                </c:pt>
                <c:pt idx="62" formatCode="General">
                  <c:v>1.4</c:v>
                </c:pt>
                <c:pt idx="63">
                  <c:v>1.1000000000000001</c:v>
                </c:pt>
                <c:pt idx="64" formatCode="General">
                  <c:v>2.1</c:v>
                </c:pt>
                <c:pt idx="65" formatCode="General">
                  <c:v>2.2999999999999998</c:v>
                </c:pt>
                <c:pt idx="66" formatCode="General">
                  <c:v>2.4</c:v>
                </c:pt>
                <c:pt idx="67" formatCode="General">
                  <c:v>2.6</c:v>
                </c:pt>
                <c:pt idx="68" formatCode="General">
                  <c:v>2.1</c:v>
                </c:pt>
                <c:pt idx="69" formatCode="General">
                  <c:v>2.2000000000000002</c:v>
                </c:pt>
                <c:pt idx="70" formatCode="General">
                  <c:v>1.9</c:v>
                </c:pt>
                <c:pt idx="71">
                  <c:v>2</c:v>
                </c:pt>
                <c:pt idx="72">
                  <c:v>2.1</c:v>
                </c:pt>
                <c:pt idx="73">
                  <c:v>2.4</c:v>
                </c:pt>
                <c:pt idx="74" formatCode="General">
                  <c:v>2.8</c:v>
                </c:pt>
                <c:pt idx="75" formatCode="General">
                  <c:v>3.1</c:v>
                </c:pt>
                <c:pt idx="76" formatCode="General">
                  <c:v>2.2000000000000028</c:v>
                </c:pt>
                <c:pt idx="77" formatCode="General">
                  <c:v>1.5</c:v>
                </c:pt>
                <c:pt idx="78" formatCode="General">
                  <c:v>1.6</c:v>
                </c:pt>
                <c:pt idx="79" formatCode="General">
                  <c:v>1.2999999999999972</c:v>
                </c:pt>
                <c:pt idx="80" formatCode="General">
                  <c:v>1.1000000000000001</c:v>
                </c:pt>
                <c:pt idx="81">
                  <c:v>1</c:v>
                </c:pt>
                <c:pt idx="82">
                  <c:v>1.5</c:v>
                </c:pt>
                <c:pt idx="83">
                  <c:v>1.9</c:v>
                </c:pt>
                <c:pt idx="84">
                  <c:v>2</c:v>
                </c:pt>
                <c:pt idx="85">
                  <c:v>1.9</c:v>
                </c:pt>
                <c:pt idx="86">
                  <c:v>1.3</c:v>
                </c:pt>
                <c:pt idx="87">
                  <c:v>0.6</c:v>
                </c:pt>
                <c:pt idx="88">
                  <c:v>0.7</c:v>
                </c:pt>
                <c:pt idx="89">
                  <c:v>1.6</c:v>
                </c:pt>
                <c:pt idx="90">
                  <c:v>2</c:v>
                </c:pt>
                <c:pt idx="91">
                  <c:v>1.9</c:v>
                </c:pt>
                <c:pt idx="92">
                  <c:v>1.8</c:v>
                </c:pt>
                <c:pt idx="93">
                  <c:v>1.8</c:v>
                </c:pt>
                <c:pt idx="94">
                  <c:v>1.7</c:v>
                </c:pt>
                <c:pt idx="95">
                  <c:v>1.3</c:v>
                </c:pt>
                <c:pt idx="96">
                  <c:v>1.1000000000000001</c:v>
                </c:pt>
                <c:pt idx="97">
                  <c:v>1.2</c:v>
                </c:pt>
                <c:pt idx="98">
                  <c:v>1.8</c:v>
                </c:pt>
              </c:numCache>
            </c:numRef>
          </c:val>
          <c:smooth val="0"/>
          <c:extLst>
            <c:ext xmlns:c16="http://schemas.microsoft.com/office/drawing/2014/chart" uri="{C3380CC4-5D6E-409C-BE32-E72D297353CC}">
              <c16:uniqueId val="{00000001-44B4-4556-BBE0-74117E1B550D}"/>
            </c:ext>
          </c:extLst>
        </c:ser>
        <c:ser>
          <c:idx val="2"/>
          <c:order val="2"/>
          <c:tx>
            <c:strRef>
              <c:f>Inflacija!$W$3</c:f>
              <c:strCache>
                <c:ptCount val="1"/>
                <c:pt idx="0">
                  <c:v>Циљана инфлација</c:v>
                </c:pt>
              </c:strCache>
            </c:strRef>
          </c:tx>
          <c:spPr>
            <a:ln w="22225" cap="rnd">
              <a:solidFill>
                <a:srgbClr val="FF0000"/>
              </a:solidFill>
              <a:round/>
            </a:ln>
            <a:effectLst/>
          </c:spPr>
          <c:marker>
            <c:symbol val="none"/>
          </c:marker>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Inflacija!$W$40:$W$140</c:f>
              <c:numCache>
                <c:formatCode>0.0</c:formatCode>
                <c:ptCount val="101"/>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pt idx="15">
                  <c:v>4</c:v>
                </c:pt>
                <c:pt idx="16">
                  <c:v>4</c:v>
                </c:pt>
                <c:pt idx="17">
                  <c:v>4</c:v>
                </c:pt>
                <c:pt idx="18">
                  <c:v>4</c:v>
                </c:pt>
                <c:pt idx="19">
                  <c:v>4</c:v>
                </c:pt>
                <c:pt idx="20">
                  <c:v>4</c:v>
                </c:pt>
                <c:pt idx="21">
                  <c:v>4</c:v>
                </c:pt>
                <c:pt idx="22">
                  <c:v>4</c:v>
                </c:pt>
                <c:pt idx="23">
                  <c:v>4</c:v>
                </c:pt>
                <c:pt idx="24">
                  <c:v>4</c:v>
                </c:pt>
                <c:pt idx="25">
                  <c:v>4</c:v>
                </c:pt>
                <c:pt idx="26">
                  <c:v>4</c:v>
                </c:pt>
                <c:pt idx="27">
                  <c:v>4</c:v>
                </c:pt>
                <c:pt idx="28">
                  <c:v>4</c:v>
                </c:pt>
                <c:pt idx="29">
                  <c:v>4</c:v>
                </c:pt>
                <c:pt idx="30">
                  <c:v>4</c:v>
                </c:pt>
                <c:pt idx="31">
                  <c:v>4</c:v>
                </c:pt>
                <c:pt idx="32">
                  <c:v>4</c:v>
                </c:pt>
                <c:pt idx="33">
                  <c:v>4</c:v>
                </c:pt>
                <c:pt idx="34">
                  <c:v>4</c:v>
                </c:pt>
                <c:pt idx="35">
                  <c:v>4</c:v>
                </c:pt>
                <c:pt idx="36">
                  <c:v>4</c:v>
                </c:pt>
                <c:pt idx="37">
                  <c:v>4</c:v>
                </c:pt>
                <c:pt idx="38">
                  <c:v>4</c:v>
                </c:pt>
                <c:pt idx="39">
                  <c:v>4</c:v>
                </c:pt>
                <c:pt idx="40">
                  <c:v>4</c:v>
                </c:pt>
                <c:pt idx="41">
                  <c:v>4</c:v>
                </c:pt>
                <c:pt idx="42">
                  <c:v>4</c:v>
                </c:pt>
                <c:pt idx="43">
                  <c:v>4</c:v>
                </c:pt>
                <c:pt idx="44">
                  <c:v>4</c:v>
                </c:pt>
                <c:pt idx="45">
                  <c:v>4</c:v>
                </c:pt>
                <c:pt idx="46">
                  <c:v>4</c:v>
                </c:pt>
                <c:pt idx="47">
                  <c:v>4</c:v>
                </c:pt>
                <c:pt idx="48">
                  <c:v>3</c:v>
                </c:pt>
                <c:pt idx="49">
                  <c:v>3</c:v>
                </c:pt>
                <c:pt idx="50">
                  <c:v>3</c:v>
                </c:pt>
                <c:pt idx="51">
                  <c:v>3</c:v>
                </c:pt>
                <c:pt idx="52">
                  <c:v>3</c:v>
                </c:pt>
                <c:pt idx="53">
                  <c:v>3</c:v>
                </c:pt>
                <c:pt idx="54">
                  <c:v>3</c:v>
                </c:pt>
                <c:pt idx="55">
                  <c:v>3</c:v>
                </c:pt>
                <c:pt idx="56">
                  <c:v>3</c:v>
                </c:pt>
                <c:pt idx="57">
                  <c:v>3</c:v>
                </c:pt>
                <c:pt idx="58">
                  <c:v>3</c:v>
                </c:pt>
                <c:pt idx="59">
                  <c:v>3</c:v>
                </c:pt>
                <c:pt idx="60">
                  <c:v>3</c:v>
                </c:pt>
                <c:pt idx="61">
                  <c:v>3</c:v>
                </c:pt>
                <c:pt idx="62">
                  <c:v>3</c:v>
                </c:pt>
                <c:pt idx="63">
                  <c:v>3</c:v>
                </c:pt>
                <c:pt idx="64">
                  <c:v>3</c:v>
                </c:pt>
                <c:pt idx="65">
                  <c:v>3</c:v>
                </c:pt>
                <c:pt idx="66">
                  <c:v>3</c:v>
                </c:pt>
                <c:pt idx="67">
                  <c:v>3</c:v>
                </c:pt>
                <c:pt idx="68">
                  <c:v>3</c:v>
                </c:pt>
                <c:pt idx="69">
                  <c:v>3</c:v>
                </c:pt>
                <c:pt idx="70">
                  <c:v>3</c:v>
                </c:pt>
                <c:pt idx="71">
                  <c:v>3</c:v>
                </c:pt>
                <c:pt idx="72">
                  <c:v>3</c:v>
                </c:pt>
                <c:pt idx="73">
                  <c:v>3</c:v>
                </c:pt>
                <c:pt idx="74">
                  <c:v>3</c:v>
                </c:pt>
                <c:pt idx="75">
                  <c:v>3</c:v>
                </c:pt>
                <c:pt idx="76">
                  <c:v>3</c:v>
                </c:pt>
                <c:pt idx="77">
                  <c:v>3</c:v>
                </c:pt>
                <c:pt idx="78">
                  <c:v>3</c:v>
                </c:pt>
                <c:pt idx="79">
                  <c:v>3</c:v>
                </c:pt>
                <c:pt idx="80">
                  <c:v>3</c:v>
                </c:pt>
                <c:pt idx="81">
                  <c:v>3</c:v>
                </c:pt>
                <c:pt idx="82">
                  <c:v>3</c:v>
                </c:pt>
                <c:pt idx="83">
                  <c:v>3</c:v>
                </c:pt>
                <c:pt idx="84">
                  <c:v>3</c:v>
                </c:pt>
                <c:pt idx="85">
                  <c:v>3</c:v>
                </c:pt>
                <c:pt idx="86">
                  <c:v>3</c:v>
                </c:pt>
                <c:pt idx="87">
                  <c:v>3</c:v>
                </c:pt>
                <c:pt idx="88">
                  <c:v>3</c:v>
                </c:pt>
                <c:pt idx="89">
                  <c:v>3</c:v>
                </c:pt>
                <c:pt idx="90">
                  <c:v>3</c:v>
                </c:pt>
                <c:pt idx="91">
                  <c:v>3</c:v>
                </c:pt>
                <c:pt idx="92">
                  <c:v>3</c:v>
                </c:pt>
                <c:pt idx="93">
                  <c:v>3</c:v>
                </c:pt>
                <c:pt idx="94">
                  <c:v>3</c:v>
                </c:pt>
                <c:pt idx="95">
                  <c:v>3</c:v>
                </c:pt>
                <c:pt idx="96">
                  <c:v>3</c:v>
                </c:pt>
                <c:pt idx="97">
                  <c:v>3</c:v>
                </c:pt>
                <c:pt idx="98">
                  <c:v>3</c:v>
                </c:pt>
              </c:numCache>
            </c:numRef>
          </c:val>
          <c:smooth val="0"/>
          <c:extLst>
            <c:ext xmlns:c16="http://schemas.microsoft.com/office/drawing/2014/chart" uri="{C3380CC4-5D6E-409C-BE32-E72D297353CC}">
              <c16:uniqueId val="{00000002-44B4-4556-BBE0-74117E1B550D}"/>
            </c:ext>
          </c:extLst>
        </c:ser>
        <c:ser>
          <c:idx val="3"/>
          <c:order val="3"/>
          <c:tx>
            <c:strRef>
              <c:f>Inflacija!$X$3</c:f>
              <c:strCache>
                <c:ptCount val="1"/>
                <c:pt idx="0">
                  <c:v>Коридор инфлације</c:v>
                </c:pt>
              </c:strCache>
            </c:strRef>
          </c:tx>
          <c:spPr>
            <a:ln w="12700" cap="rnd">
              <a:solidFill>
                <a:srgbClr val="898989"/>
              </a:solidFill>
              <a:prstDash val="sysDash"/>
              <a:round/>
            </a:ln>
            <a:effectLst/>
          </c:spPr>
          <c:marker>
            <c:symbol val="none"/>
          </c:marker>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Inflacija!$X$40:$X$140</c:f>
              <c:numCache>
                <c:formatCode>0.0</c:formatCode>
                <c:ptCount val="101"/>
                <c:pt idx="0">
                  <c:v>5.5</c:v>
                </c:pt>
                <c:pt idx="1">
                  <c:v>5.5</c:v>
                </c:pt>
                <c:pt idx="2">
                  <c:v>5.5</c:v>
                </c:pt>
                <c:pt idx="3">
                  <c:v>5.5</c:v>
                </c:pt>
                <c:pt idx="4">
                  <c:v>5.5</c:v>
                </c:pt>
                <c:pt idx="5">
                  <c:v>5.5</c:v>
                </c:pt>
                <c:pt idx="6">
                  <c:v>5.5</c:v>
                </c:pt>
                <c:pt idx="7">
                  <c:v>5.5</c:v>
                </c:pt>
                <c:pt idx="8">
                  <c:v>5.5</c:v>
                </c:pt>
                <c:pt idx="9">
                  <c:v>5.5</c:v>
                </c:pt>
                <c:pt idx="10">
                  <c:v>5.5</c:v>
                </c:pt>
                <c:pt idx="11">
                  <c:v>5.5</c:v>
                </c:pt>
                <c:pt idx="12">
                  <c:v>5.5</c:v>
                </c:pt>
                <c:pt idx="13">
                  <c:v>5.5</c:v>
                </c:pt>
                <c:pt idx="14">
                  <c:v>5.5</c:v>
                </c:pt>
                <c:pt idx="15">
                  <c:v>5.5</c:v>
                </c:pt>
                <c:pt idx="16">
                  <c:v>5.5</c:v>
                </c:pt>
                <c:pt idx="17">
                  <c:v>5.5</c:v>
                </c:pt>
                <c:pt idx="18">
                  <c:v>5.5</c:v>
                </c:pt>
                <c:pt idx="19">
                  <c:v>5.5</c:v>
                </c:pt>
                <c:pt idx="20">
                  <c:v>5.5</c:v>
                </c:pt>
                <c:pt idx="21">
                  <c:v>5.5</c:v>
                </c:pt>
                <c:pt idx="22">
                  <c:v>5.5</c:v>
                </c:pt>
                <c:pt idx="23">
                  <c:v>5.5</c:v>
                </c:pt>
                <c:pt idx="24">
                  <c:v>5.5</c:v>
                </c:pt>
                <c:pt idx="25">
                  <c:v>5.5</c:v>
                </c:pt>
                <c:pt idx="26">
                  <c:v>5.5</c:v>
                </c:pt>
                <c:pt idx="27">
                  <c:v>5.5</c:v>
                </c:pt>
                <c:pt idx="28">
                  <c:v>5.5</c:v>
                </c:pt>
                <c:pt idx="29">
                  <c:v>5.5</c:v>
                </c:pt>
                <c:pt idx="30">
                  <c:v>5.5</c:v>
                </c:pt>
                <c:pt idx="31">
                  <c:v>5.5</c:v>
                </c:pt>
                <c:pt idx="32">
                  <c:v>5.5</c:v>
                </c:pt>
                <c:pt idx="33">
                  <c:v>5.5</c:v>
                </c:pt>
                <c:pt idx="34">
                  <c:v>5.5</c:v>
                </c:pt>
                <c:pt idx="35">
                  <c:v>5.5</c:v>
                </c:pt>
                <c:pt idx="36">
                  <c:v>5.5</c:v>
                </c:pt>
                <c:pt idx="37" formatCode="General">
                  <c:v>5.5</c:v>
                </c:pt>
                <c:pt idx="38" formatCode="General">
                  <c:v>5.5</c:v>
                </c:pt>
                <c:pt idx="39" formatCode="General">
                  <c:v>5.5</c:v>
                </c:pt>
                <c:pt idx="40" formatCode="General">
                  <c:v>5.5</c:v>
                </c:pt>
                <c:pt idx="41" formatCode="General">
                  <c:v>5.5</c:v>
                </c:pt>
                <c:pt idx="42" formatCode="General">
                  <c:v>5.5</c:v>
                </c:pt>
                <c:pt idx="43" formatCode="General">
                  <c:v>5.5</c:v>
                </c:pt>
                <c:pt idx="44" formatCode="General">
                  <c:v>5.5</c:v>
                </c:pt>
                <c:pt idx="45" formatCode="General">
                  <c:v>5.5</c:v>
                </c:pt>
                <c:pt idx="46" formatCode="General">
                  <c:v>5.5</c:v>
                </c:pt>
                <c:pt idx="47" formatCode="General">
                  <c:v>5.5</c:v>
                </c:pt>
                <c:pt idx="48">
                  <c:v>4.5</c:v>
                </c:pt>
                <c:pt idx="49">
                  <c:v>4.5</c:v>
                </c:pt>
                <c:pt idx="50">
                  <c:v>4.5</c:v>
                </c:pt>
                <c:pt idx="51">
                  <c:v>4.5</c:v>
                </c:pt>
                <c:pt idx="52">
                  <c:v>4.5</c:v>
                </c:pt>
                <c:pt idx="53">
                  <c:v>4.5</c:v>
                </c:pt>
                <c:pt idx="54">
                  <c:v>4.5</c:v>
                </c:pt>
                <c:pt idx="55">
                  <c:v>4.5</c:v>
                </c:pt>
                <c:pt idx="56">
                  <c:v>4.5</c:v>
                </c:pt>
                <c:pt idx="57">
                  <c:v>4.5</c:v>
                </c:pt>
                <c:pt idx="58">
                  <c:v>4.5</c:v>
                </c:pt>
                <c:pt idx="59">
                  <c:v>4.5</c:v>
                </c:pt>
                <c:pt idx="60">
                  <c:v>4.5</c:v>
                </c:pt>
                <c:pt idx="61">
                  <c:v>4.5</c:v>
                </c:pt>
                <c:pt idx="62">
                  <c:v>4.5</c:v>
                </c:pt>
                <c:pt idx="63">
                  <c:v>4.5</c:v>
                </c:pt>
                <c:pt idx="64">
                  <c:v>4.5</c:v>
                </c:pt>
                <c:pt idx="65" formatCode="General">
                  <c:v>4.5</c:v>
                </c:pt>
                <c:pt idx="66" formatCode="General">
                  <c:v>4.5</c:v>
                </c:pt>
                <c:pt idx="67" formatCode="General">
                  <c:v>4.5</c:v>
                </c:pt>
                <c:pt idx="68">
                  <c:v>4.5</c:v>
                </c:pt>
                <c:pt idx="69">
                  <c:v>4.5</c:v>
                </c:pt>
                <c:pt idx="70">
                  <c:v>4.5</c:v>
                </c:pt>
                <c:pt idx="71">
                  <c:v>4.5</c:v>
                </c:pt>
                <c:pt idx="72">
                  <c:v>4.5</c:v>
                </c:pt>
                <c:pt idx="73">
                  <c:v>4.5</c:v>
                </c:pt>
                <c:pt idx="74">
                  <c:v>4.5</c:v>
                </c:pt>
                <c:pt idx="75">
                  <c:v>4.5</c:v>
                </c:pt>
                <c:pt idx="76">
                  <c:v>4.5</c:v>
                </c:pt>
                <c:pt idx="77">
                  <c:v>4.5</c:v>
                </c:pt>
                <c:pt idx="78">
                  <c:v>4.5</c:v>
                </c:pt>
                <c:pt idx="79">
                  <c:v>4.5</c:v>
                </c:pt>
                <c:pt idx="80">
                  <c:v>4.5</c:v>
                </c:pt>
                <c:pt idx="81">
                  <c:v>4.5</c:v>
                </c:pt>
                <c:pt idx="82">
                  <c:v>4.5</c:v>
                </c:pt>
                <c:pt idx="83">
                  <c:v>4.5</c:v>
                </c:pt>
                <c:pt idx="84">
                  <c:v>4.5</c:v>
                </c:pt>
                <c:pt idx="85">
                  <c:v>4.5</c:v>
                </c:pt>
                <c:pt idx="86">
                  <c:v>4.5</c:v>
                </c:pt>
                <c:pt idx="87">
                  <c:v>4.5</c:v>
                </c:pt>
                <c:pt idx="88">
                  <c:v>4.5</c:v>
                </c:pt>
                <c:pt idx="89">
                  <c:v>4.5</c:v>
                </c:pt>
                <c:pt idx="90">
                  <c:v>4.5</c:v>
                </c:pt>
                <c:pt idx="91">
                  <c:v>4.5</c:v>
                </c:pt>
                <c:pt idx="92">
                  <c:v>4.5</c:v>
                </c:pt>
                <c:pt idx="93">
                  <c:v>4.5</c:v>
                </c:pt>
                <c:pt idx="94">
                  <c:v>4.5</c:v>
                </c:pt>
                <c:pt idx="95">
                  <c:v>4.5</c:v>
                </c:pt>
                <c:pt idx="96">
                  <c:v>4.5</c:v>
                </c:pt>
                <c:pt idx="97">
                  <c:v>4.5</c:v>
                </c:pt>
                <c:pt idx="98">
                  <c:v>4.5</c:v>
                </c:pt>
              </c:numCache>
            </c:numRef>
          </c:val>
          <c:smooth val="0"/>
          <c:extLst>
            <c:ext xmlns:c16="http://schemas.microsoft.com/office/drawing/2014/chart" uri="{C3380CC4-5D6E-409C-BE32-E72D297353CC}">
              <c16:uniqueId val="{00000003-44B4-4556-BBE0-74117E1B550D}"/>
            </c:ext>
          </c:extLst>
        </c:ser>
        <c:ser>
          <c:idx val="4"/>
          <c:order val="4"/>
          <c:tx>
            <c:strRef>
              <c:f>Inflacija!$Y$3</c:f>
              <c:strCache>
                <c:ptCount val="1"/>
              </c:strCache>
            </c:strRef>
          </c:tx>
          <c:spPr>
            <a:ln w="12700" cap="rnd">
              <a:solidFill>
                <a:srgbClr val="898989"/>
              </a:solidFill>
              <a:prstDash val="sysDash"/>
              <a:round/>
            </a:ln>
            <a:effectLst/>
          </c:spPr>
          <c:marker>
            <c:symbol val="none"/>
          </c:marker>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Inflacija!$Y$40:$Y$140</c:f>
              <c:numCache>
                <c:formatCode>0.0</c:formatCode>
                <c:ptCount val="101"/>
                <c:pt idx="0">
                  <c:v>2.5</c:v>
                </c:pt>
                <c:pt idx="1">
                  <c:v>2.5</c:v>
                </c:pt>
                <c:pt idx="2">
                  <c:v>2.5</c:v>
                </c:pt>
                <c:pt idx="3">
                  <c:v>2.5</c:v>
                </c:pt>
                <c:pt idx="4">
                  <c:v>2.5</c:v>
                </c:pt>
                <c:pt idx="5">
                  <c:v>2.5</c:v>
                </c:pt>
                <c:pt idx="6">
                  <c:v>2.5</c:v>
                </c:pt>
                <c:pt idx="7">
                  <c:v>2.5</c:v>
                </c:pt>
                <c:pt idx="8">
                  <c:v>2.5</c:v>
                </c:pt>
                <c:pt idx="9">
                  <c:v>2.5</c:v>
                </c:pt>
                <c:pt idx="10">
                  <c:v>2.5</c:v>
                </c:pt>
                <c:pt idx="11">
                  <c:v>2.5</c:v>
                </c:pt>
                <c:pt idx="12">
                  <c:v>2.5</c:v>
                </c:pt>
                <c:pt idx="13">
                  <c:v>2.5</c:v>
                </c:pt>
                <c:pt idx="14">
                  <c:v>2.5</c:v>
                </c:pt>
                <c:pt idx="15">
                  <c:v>2.5</c:v>
                </c:pt>
                <c:pt idx="16">
                  <c:v>2.5</c:v>
                </c:pt>
                <c:pt idx="17">
                  <c:v>2.5</c:v>
                </c:pt>
                <c:pt idx="18">
                  <c:v>2.5</c:v>
                </c:pt>
                <c:pt idx="19">
                  <c:v>2.5</c:v>
                </c:pt>
                <c:pt idx="20">
                  <c:v>2.5</c:v>
                </c:pt>
                <c:pt idx="21">
                  <c:v>2.5</c:v>
                </c:pt>
                <c:pt idx="22">
                  <c:v>2.5</c:v>
                </c:pt>
                <c:pt idx="23">
                  <c:v>2.5</c:v>
                </c:pt>
                <c:pt idx="24">
                  <c:v>2.5</c:v>
                </c:pt>
                <c:pt idx="25">
                  <c:v>2.5</c:v>
                </c:pt>
                <c:pt idx="26">
                  <c:v>2.5</c:v>
                </c:pt>
                <c:pt idx="27">
                  <c:v>2.5</c:v>
                </c:pt>
                <c:pt idx="28">
                  <c:v>2.5</c:v>
                </c:pt>
                <c:pt idx="29">
                  <c:v>2.5</c:v>
                </c:pt>
                <c:pt idx="30">
                  <c:v>2.5</c:v>
                </c:pt>
                <c:pt idx="31">
                  <c:v>2.5</c:v>
                </c:pt>
                <c:pt idx="32">
                  <c:v>2.5</c:v>
                </c:pt>
                <c:pt idx="33">
                  <c:v>2.5</c:v>
                </c:pt>
                <c:pt idx="34">
                  <c:v>2.5</c:v>
                </c:pt>
                <c:pt idx="35">
                  <c:v>2.5</c:v>
                </c:pt>
                <c:pt idx="36">
                  <c:v>2.5</c:v>
                </c:pt>
                <c:pt idx="37" formatCode="General">
                  <c:v>2.5</c:v>
                </c:pt>
                <c:pt idx="38" formatCode="General">
                  <c:v>2.5</c:v>
                </c:pt>
                <c:pt idx="39" formatCode="General">
                  <c:v>2.5</c:v>
                </c:pt>
                <c:pt idx="40" formatCode="General">
                  <c:v>2.5</c:v>
                </c:pt>
                <c:pt idx="41" formatCode="General">
                  <c:v>2.5</c:v>
                </c:pt>
                <c:pt idx="42" formatCode="General">
                  <c:v>2.5</c:v>
                </c:pt>
                <c:pt idx="43" formatCode="General">
                  <c:v>2.5</c:v>
                </c:pt>
                <c:pt idx="44" formatCode="General">
                  <c:v>2.5</c:v>
                </c:pt>
                <c:pt idx="45" formatCode="General">
                  <c:v>2.5</c:v>
                </c:pt>
                <c:pt idx="46" formatCode="General">
                  <c:v>2.5</c:v>
                </c:pt>
                <c:pt idx="47" formatCode="General">
                  <c:v>2.5</c:v>
                </c:pt>
                <c:pt idx="48">
                  <c:v>1.5</c:v>
                </c:pt>
                <c:pt idx="49">
                  <c:v>1.5</c:v>
                </c:pt>
                <c:pt idx="50">
                  <c:v>1.5</c:v>
                </c:pt>
                <c:pt idx="51">
                  <c:v>1.5</c:v>
                </c:pt>
                <c:pt idx="52">
                  <c:v>1.5</c:v>
                </c:pt>
                <c:pt idx="53">
                  <c:v>1.5</c:v>
                </c:pt>
                <c:pt idx="54">
                  <c:v>1.5</c:v>
                </c:pt>
                <c:pt idx="55">
                  <c:v>1.5</c:v>
                </c:pt>
                <c:pt idx="56">
                  <c:v>1.5</c:v>
                </c:pt>
                <c:pt idx="57">
                  <c:v>1.5</c:v>
                </c:pt>
                <c:pt idx="58">
                  <c:v>1.5</c:v>
                </c:pt>
                <c:pt idx="59">
                  <c:v>1.5</c:v>
                </c:pt>
                <c:pt idx="60">
                  <c:v>1.5</c:v>
                </c:pt>
                <c:pt idx="61">
                  <c:v>1.5</c:v>
                </c:pt>
                <c:pt idx="62">
                  <c:v>1.5</c:v>
                </c:pt>
                <c:pt idx="63">
                  <c:v>1.5</c:v>
                </c:pt>
                <c:pt idx="64">
                  <c:v>1.5</c:v>
                </c:pt>
                <c:pt idx="65" formatCode="General">
                  <c:v>1.5</c:v>
                </c:pt>
                <c:pt idx="66" formatCode="General">
                  <c:v>1.5</c:v>
                </c:pt>
                <c:pt idx="67" formatCode="General">
                  <c:v>1.5</c:v>
                </c:pt>
                <c:pt idx="68">
                  <c:v>1.5</c:v>
                </c:pt>
                <c:pt idx="69">
                  <c:v>1.5</c:v>
                </c:pt>
                <c:pt idx="70">
                  <c:v>1.5</c:v>
                </c:pt>
                <c:pt idx="71">
                  <c:v>1.5</c:v>
                </c:pt>
                <c:pt idx="72">
                  <c:v>1.5</c:v>
                </c:pt>
                <c:pt idx="73">
                  <c:v>1.5</c:v>
                </c:pt>
                <c:pt idx="74">
                  <c:v>1.5</c:v>
                </c:pt>
                <c:pt idx="75">
                  <c:v>1.5</c:v>
                </c:pt>
                <c:pt idx="76">
                  <c:v>1.5</c:v>
                </c:pt>
                <c:pt idx="77">
                  <c:v>1.5</c:v>
                </c:pt>
                <c:pt idx="78">
                  <c:v>1.5</c:v>
                </c:pt>
                <c:pt idx="79">
                  <c:v>1.5</c:v>
                </c:pt>
                <c:pt idx="80">
                  <c:v>1.5</c:v>
                </c:pt>
                <c:pt idx="81">
                  <c:v>1.5</c:v>
                </c:pt>
                <c:pt idx="82">
                  <c:v>1.5</c:v>
                </c:pt>
                <c:pt idx="83">
                  <c:v>1.5</c:v>
                </c:pt>
                <c:pt idx="84">
                  <c:v>1.5</c:v>
                </c:pt>
                <c:pt idx="85">
                  <c:v>1.5</c:v>
                </c:pt>
                <c:pt idx="86">
                  <c:v>1.5</c:v>
                </c:pt>
                <c:pt idx="87">
                  <c:v>1.5</c:v>
                </c:pt>
                <c:pt idx="88">
                  <c:v>1.5</c:v>
                </c:pt>
                <c:pt idx="89">
                  <c:v>1.5</c:v>
                </c:pt>
                <c:pt idx="90">
                  <c:v>1.5</c:v>
                </c:pt>
                <c:pt idx="91">
                  <c:v>1.5</c:v>
                </c:pt>
                <c:pt idx="92">
                  <c:v>1.5</c:v>
                </c:pt>
                <c:pt idx="93">
                  <c:v>1.5</c:v>
                </c:pt>
                <c:pt idx="94">
                  <c:v>1.5</c:v>
                </c:pt>
                <c:pt idx="95">
                  <c:v>1.5</c:v>
                </c:pt>
                <c:pt idx="96">
                  <c:v>1.5</c:v>
                </c:pt>
                <c:pt idx="97">
                  <c:v>1.5</c:v>
                </c:pt>
                <c:pt idx="98">
                  <c:v>1.5</c:v>
                </c:pt>
              </c:numCache>
            </c:numRef>
          </c:val>
          <c:smooth val="0"/>
          <c:extLst>
            <c:ext xmlns:c16="http://schemas.microsoft.com/office/drawing/2014/chart" uri="{C3380CC4-5D6E-409C-BE32-E72D297353CC}">
              <c16:uniqueId val="{00000004-44B4-4556-BBE0-74117E1B550D}"/>
            </c:ext>
          </c:extLst>
        </c:ser>
        <c:ser>
          <c:idx val="5"/>
          <c:order val="5"/>
          <c:tx>
            <c:strRef>
              <c:f>Inflacija!$Z$3</c:f>
              <c:strCache>
                <c:ptCount val="1"/>
              </c:strCache>
            </c:strRef>
          </c:tx>
          <c:spPr>
            <a:ln w="28575" cap="rnd">
              <a:noFill/>
              <a:round/>
            </a:ln>
            <a:effectLst/>
          </c:spPr>
          <c:marker>
            <c:symbol val="square"/>
            <c:size val="2"/>
            <c:spPr>
              <a:solidFill>
                <a:schemeClr val="bg1"/>
              </a:solidFill>
              <a:ln w="9525">
                <a:noFill/>
              </a:ln>
              <a:effectLst/>
            </c:spPr>
          </c:marker>
          <c:dLbls>
            <c:dLbl>
              <c:idx val="0"/>
              <c:layout>
                <c:manualLayout>
                  <c:x val="-8.1706697161564729E-3"/>
                  <c:y val="3.59135808455025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4B4-4556-BBE0-74117E1B550D}"/>
                </c:ext>
              </c:extLst>
            </c:dLbl>
            <c:dLbl>
              <c:idx val="12"/>
              <c:layout>
                <c:manualLayout>
                  <c:x val="-1.2693572615619557E-2"/>
                  <c:y val="3.5913580845502509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4B4-4556-BBE0-74117E1B550D}"/>
                </c:ext>
              </c:extLst>
            </c:dLbl>
            <c:dLbl>
              <c:idx val="24"/>
              <c:layout>
                <c:manualLayout>
                  <c:x val="-1.6189074446622868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4B4-4556-BBE0-74117E1B550D}"/>
                </c:ext>
              </c:extLst>
            </c:dLbl>
            <c:dLbl>
              <c:idx val="36"/>
              <c:layout>
                <c:manualLayout>
                  <c:x val="-1.2670622849874656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4B4-4556-BBE0-74117E1B550D}"/>
                </c:ext>
              </c:extLst>
            </c:dLbl>
            <c:dLbl>
              <c:idx val="48"/>
              <c:layout>
                <c:manualLayout>
                  <c:x val="-1.1661895724078273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4B4-4556-BBE0-74117E1B550D}"/>
                </c:ext>
              </c:extLst>
            </c:dLbl>
            <c:dLbl>
              <c:idx val="60"/>
              <c:layout>
                <c:manualLayout>
                  <c:x val="-1.2670622849874739E-2"/>
                  <c:y val="3.59134169965466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4B4-4556-BBE0-74117E1B550D}"/>
                </c:ext>
              </c:extLst>
            </c:dLbl>
            <c:dLbl>
              <c:idx val="72"/>
              <c:layout>
                <c:manualLayout>
                  <c:x val="-1.4519837351643212E-2"/>
                  <c:y val="3.5796063898481015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4B4-4556-BBE0-74117E1B550D}"/>
                </c:ext>
              </c:extLst>
            </c:dLbl>
            <c:dLbl>
              <c:idx val="84"/>
              <c:layout>
                <c:manualLayout>
                  <c:x val="-1.7936562588032428E-2"/>
                  <c:y val="3.5529352311968333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4B4-4556-BBE0-74117E1B550D}"/>
                </c:ext>
              </c:extLst>
            </c:dLbl>
            <c:dLbl>
              <c:idx val="96"/>
              <c:layout>
                <c:manualLayout>
                  <c:x val="-1.2608377699305414E-2"/>
                  <c:y val="3.6208203486903054E-2"/>
                </c:manualLayout>
              </c:layout>
              <c:dLblPos val="r"/>
              <c:showLegendKey val="0"/>
              <c:showVal val="0"/>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4B4-4556-BBE0-74117E1B550D}"/>
                </c:ext>
              </c:extLst>
            </c:dLbl>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Inflacija!$Q$40:$Q$140</c:f>
              <c:numCache>
                <c:formatCode>yyyy</c:formatCode>
                <c:ptCount val="101"/>
                <c:pt idx="0">
                  <c:v>41275</c:v>
                </c:pt>
                <c:pt idx="1">
                  <c:v>41306</c:v>
                </c:pt>
                <c:pt idx="2">
                  <c:v>41334</c:v>
                </c:pt>
                <c:pt idx="3">
                  <c:v>41365</c:v>
                </c:pt>
                <c:pt idx="4">
                  <c:v>41395</c:v>
                </c:pt>
                <c:pt idx="5">
                  <c:v>41426</c:v>
                </c:pt>
                <c:pt idx="6">
                  <c:v>41456</c:v>
                </c:pt>
                <c:pt idx="7">
                  <c:v>41487</c:v>
                </c:pt>
                <c:pt idx="8">
                  <c:v>41518</c:v>
                </c:pt>
                <c:pt idx="9">
                  <c:v>41548</c:v>
                </c:pt>
                <c:pt idx="10">
                  <c:v>41579</c:v>
                </c:pt>
                <c:pt idx="11">
                  <c:v>41609</c:v>
                </c:pt>
                <c:pt idx="12">
                  <c:v>41640</c:v>
                </c:pt>
                <c:pt idx="13">
                  <c:v>41671</c:v>
                </c:pt>
                <c:pt idx="14">
                  <c:v>41699</c:v>
                </c:pt>
                <c:pt idx="15">
                  <c:v>41730</c:v>
                </c:pt>
                <c:pt idx="16">
                  <c:v>41760</c:v>
                </c:pt>
                <c:pt idx="17">
                  <c:v>41791</c:v>
                </c:pt>
                <c:pt idx="18">
                  <c:v>41821</c:v>
                </c:pt>
                <c:pt idx="19">
                  <c:v>41852</c:v>
                </c:pt>
                <c:pt idx="20">
                  <c:v>41883</c:v>
                </c:pt>
                <c:pt idx="21">
                  <c:v>41913</c:v>
                </c:pt>
                <c:pt idx="22">
                  <c:v>41944</c:v>
                </c:pt>
                <c:pt idx="23">
                  <c:v>41974</c:v>
                </c:pt>
                <c:pt idx="24">
                  <c:v>42005</c:v>
                </c:pt>
                <c:pt idx="25">
                  <c:v>42036</c:v>
                </c:pt>
                <c:pt idx="26">
                  <c:v>42064</c:v>
                </c:pt>
                <c:pt idx="27">
                  <c:v>42095</c:v>
                </c:pt>
                <c:pt idx="28">
                  <c:v>42125</c:v>
                </c:pt>
                <c:pt idx="29">
                  <c:v>42156</c:v>
                </c:pt>
                <c:pt idx="30">
                  <c:v>42186</c:v>
                </c:pt>
                <c:pt idx="31">
                  <c:v>42217</c:v>
                </c:pt>
                <c:pt idx="32">
                  <c:v>42248</c:v>
                </c:pt>
                <c:pt idx="33">
                  <c:v>42278</c:v>
                </c:pt>
                <c:pt idx="34">
                  <c:v>42309</c:v>
                </c:pt>
                <c:pt idx="35">
                  <c:v>42339</c:v>
                </c:pt>
                <c:pt idx="36">
                  <c:v>42370</c:v>
                </c:pt>
                <c:pt idx="37">
                  <c:v>42401</c:v>
                </c:pt>
                <c:pt idx="38">
                  <c:v>42430</c:v>
                </c:pt>
                <c:pt idx="39">
                  <c:v>42461</c:v>
                </c:pt>
                <c:pt idx="40">
                  <c:v>42491</c:v>
                </c:pt>
                <c:pt idx="41">
                  <c:v>42522</c:v>
                </c:pt>
                <c:pt idx="42">
                  <c:v>42552</c:v>
                </c:pt>
                <c:pt idx="43">
                  <c:v>42583</c:v>
                </c:pt>
                <c:pt idx="44">
                  <c:v>42614</c:v>
                </c:pt>
                <c:pt idx="45">
                  <c:v>42644</c:v>
                </c:pt>
                <c:pt idx="46">
                  <c:v>42675</c:v>
                </c:pt>
                <c:pt idx="47">
                  <c:v>42705</c:v>
                </c:pt>
                <c:pt idx="48">
                  <c:v>42736</c:v>
                </c:pt>
                <c:pt idx="49">
                  <c:v>42767</c:v>
                </c:pt>
                <c:pt idx="50">
                  <c:v>42795</c:v>
                </c:pt>
                <c:pt idx="51">
                  <c:v>42826</c:v>
                </c:pt>
                <c:pt idx="52">
                  <c:v>42856</c:v>
                </c:pt>
                <c:pt idx="53">
                  <c:v>42887</c:v>
                </c:pt>
                <c:pt idx="54">
                  <c:v>42917</c:v>
                </c:pt>
                <c:pt idx="55">
                  <c:v>42948</c:v>
                </c:pt>
                <c:pt idx="56">
                  <c:v>42979</c:v>
                </c:pt>
                <c:pt idx="57">
                  <c:v>43009</c:v>
                </c:pt>
                <c:pt idx="58">
                  <c:v>43040</c:v>
                </c:pt>
                <c:pt idx="59">
                  <c:v>43070</c:v>
                </c:pt>
                <c:pt idx="60">
                  <c:v>43101</c:v>
                </c:pt>
                <c:pt idx="61">
                  <c:v>43132</c:v>
                </c:pt>
                <c:pt idx="62">
                  <c:v>43160</c:v>
                </c:pt>
                <c:pt idx="63">
                  <c:v>43191</c:v>
                </c:pt>
                <c:pt idx="64">
                  <c:v>43221</c:v>
                </c:pt>
                <c:pt idx="65">
                  <c:v>43252</c:v>
                </c:pt>
                <c:pt idx="66">
                  <c:v>43282</c:v>
                </c:pt>
                <c:pt idx="67">
                  <c:v>43313</c:v>
                </c:pt>
                <c:pt idx="68">
                  <c:v>43344</c:v>
                </c:pt>
                <c:pt idx="69">
                  <c:v>43374</c:v>
                </c:pt>
                <c:pt idx="70">
                  <c:v>43405</c:v>
                </c:pt>
                <c:pt idx="71">
                  <c:v>43435</c:v>
                </c:pt>
                <c:pt idx="72">
                  <c:v>43466</c:v>
                </c:pt>
                <c:pt idx="73">
                  <c:v>43497</c:v>
                </c:pt>
                <c:pt idx="74">
                  <c:v>43525</c:v>
                </c:pt>
                <c:pt idx="75">
                  <c:v>43556</c:v>
                </c:pt>
                <c:pt idx="76">
                  <c:v>43586</c:v>
                </c:pt>
                <c:pt idx="77">
                  <c:v>43617</c:v>
                </c:pt>
                <c:pt idx="78">
                  <c:v>43647</c:v>
                </c:pt>
                <c:pt idx="79">
                  <c:v>43678</c:v>
                </c:pt>
                <c:pt idx="80">
                  <c:v>43709</c:v>
                </c:pt>
                <c:pt idx="81">
                  <c:v>43739</c:v>
                </c:pt>
                <c:pt idx="82">
                  <c:v>43770</c:v>
                </c:pt>
                <c:pt idx="83">
                  <c:v>43800</c:v>
                </c:pt>
                <c:pt idx="84">
                  <c:v>43831</c:v>
                </c:pt>
                <c:pt idx="85">
                  <c:v>43862</c:v>
                </c:pt>
                <c:pt idx="86">
                  <c:v>43891</c:v>
                </c:pt>
                <c:pt idx="87">
                  <c:v>43922</c:v>
                </c:pt>
                <c:pt idx="88">
                  <c:v>43952</c:v>
                </c:pt>
                <c:pt idx="89">
                  <c:v>43983</c:v>
                </c:pt>
                <c:pt idx="90">
                  <c:v>44013</c:v>
                </c:pt>
                <c:pt idx="91">
                  <c:v>44044</c:v>
                </c:pt>
                <c:pt idx="92">
                  <c:v>44075</c:v>
                </c:pt>
                <c:pt idx="93">
                  <c:v>44105</c:v>
                </c:pt>
                <c:pt idx="94">
                  <c:v>44136</c:v>
                </c:pt>
                <c:pt idx="95">
                  <c:v>44166</c:v>
                </c:pt>
                <c:pt idx="96" formatCode="yy">
                  <c:v>44197</c:v>
                </c:pt>
                <c:pt idx="97" formatCode="yy">
                  <c:v>44228</c:v>
                </c:pt>
                <c:pt idx="98" formatCode="yy">
                  <c:v>44256</c:v>
                </c:pt>
              </c:numCache>
            </c:numRef>
          </c:cat>
          <c:val>
            <c:numRef>
              <c:f>Inflacija!$Z$40:$Z$140</c:f>
              <c:numCache>
                <c:formatCode>General</c:formatCode>
                <c:ptCount val="101"/>
                <c:pt idx="0">
                  <c:v>0</c:v>
                </c:pt>
                <c:pt idx="12">
                  <c:v>0</c:v>
                </c:pt>
                <c:pt idx="24">
                  <c:v>0</c:v>
                </c:pt>
                <c:pt idx="36">
                  <c:v>0</c:v>
                </c:pt>
                <c:pt idx="48">
                  <c:v>0</c:v>
                </c:pt>
                <c:pt idx="60">
                  <c:v>0</c:v>
                </c:pt>
                <c:pt idx="72">
                  <c:v>0</c:v>
                </c:pt>
                <c:pt idx="84">
                  <c:v>0</c:v>
                </c:pt>
                <c:pt idx="96">
                  <c:v>0</c:v>
                </c:pt>
              </c:numCache>
            </c:numRef>
          </c:val>
          <c:smooth val="0"/>
          <c:extLst>
            <c:ext xmlns:c16="http://schemas.microsoft.com/office/drawing/2014/chart" uri="{C3380CC4-5D6E-409C-BE32-E72D297353CC}">
              <c16:uniqueId val="{0000000E-44B4-4556-BBE0-74117E1B550D}"/>
            </c:ext>
          </c:extLst>
        </c:ser>
        <c:dLbls>
          <c:showLegendKey val="0"/>
          <c:showVal val="0"/>
          <c:showCatName val="0"/>
          <c:showSerName val="0"/>
          <c:showPercent val="0"/>
          <c:showBubbleSize val="0"/>
        </c:dLbls>
        <c:smooth val="0"/>
        <c:axId val="2067917072"/>
        <c:axId val="2067937744"/>
      </c:lineChart>
      <c:catAx>
        <c:axId val="2067917072"/>
        <c:scaling>
          <c:orientation val="minMax"/>
        </c:scaling>
        <c:delete val="0"/>
        <c:axPos val="b"/>
        <c:numFmt formatCode="yyyy" sourceLinked="0"/>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7744"/>
        <c:crosses val="autoZero"/>
        <c:auto val="0"/>
        <c:lblAlgn val="ctr"/>
        <c:lblOffset val="100"/>
        <c:tickLblSkip val="12"/>
        <c:tickMarkSkip val="1"/>
        <c:noMultiLvlLbl val="1"/>
      </c:catAx>
      <c:valAx>
        <c:axId val="2067937744"/>
        <c:scaling>
          <c:orientation val="minMax"/>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Latn-RS"/>
                  <a:t>%</a:t>
                </a:r>
                <a:endParaRPr lang="en-GB"/>
              </a:p>
            </c:rich>
          </c:tx>
          <c:layout>
            <c:manualLayout>
              <c:xMode val="edge"/>
              <c:yMode val="edge"/>
              <c:x val="8.3333333333333332E-3"/>
              <c:y val="0.34151501895596381"/>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17072"/>
        <c:crosses val="autoZero"/>
        <c:crossBetween val="midCat"/>
        <c:majorUnit val="2"/>
      </c:valAx>
      <c:spPr>
        <a:noFill/>
        <a:ln>
          <a:noFill/>
        </a:ln>
        <a:effectLst/>
      </c:spPr>
    </c:plotArea>
    <c:legend>
      <c:legendPos val="b"/>
      <c:legendEntry>
        <c:idx val="4"/>
        <c:delete val="1"/>
      </c:legendEntry>
      <c:legendEntry>
        <c:idx val="5"/>
        <c:delete val="1"/>
      </c:legendEntry>
      <c:layout>
        <c:manualLayout>
          <c:xMode val="edge"/>
          <c:yMode val="edge"/>
          <c:x val="6.6013357144708795E-2"/>
          <c:y val="0.75916043952839907"/>
          <c:w val="0.89270036496097616"/>
          <c:h val="0.23753777777777776"/>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336188914802072E-2"/>
          <c:y val="5.633805593782408E-2"/>
          <c:w val="0.86437336615075899"/>
          <c:h val="0.64068107026989318"/>
        </c:manualLayout>
      </c:layout>
      <c:lineChart>
        <c:grouping val="standard"/>
        <c:varyColors val="0"/>
        <c:ser>
          <c:idx val="1"/>
          <c:order val="0"/>
          <c:tx>
            <c:strRef>
              <c:f>'Projekcija inflacije'!$C$7</c:f>
              <c:strCache>
                <c:ptCount val="1"/>
                <c:pt idx="0">
                  <c:v>Инфлација, просек периода</c:v>
                </c:pt>
              </c:strCache>
            </c:strRef>
          </c:tx>
          <c:spPr>
            <a:ln w="22225" cap="rnd">
              <a:solidFill>
                <a:srgbClr val="EC008C"/>
              </a:solidFill>
              <a:round/>
            </a:ln>
            <a:effectLst/>
          </c:spPr>
          <c:marker>
            <c:symbol val="none"/>
          </c:marker>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inflacije'!$I$7:$T$7</c:f>
              <c:numCache>
                <c:formatCode>0.0</c:formatCode>
                <c:ptCount val="12"/>
                <c:pt idx="0">
                  <c:v>7.8</c:v>
                </c:pt>
                <c:pt idx="1">
                  <c:v>2.9</c:v>
                </c:pt>
                <c:pt idx="2">
                  <c:v>1.9</c:v>
                </c:pt>
                <c:pt idx="3">
                  <c:v>1.2</c:v>
                </c:pt>
                <c:pt idx="4">
                  <c:v>3</c:v>
                </c:pt>
                <c:pt idx="5">
                  <c:v>2</c:v>
                </c:pt>
                <c:pt idx="6">
                  <c:v>1.7</c:v>
                </c:pt>
                <c:pt idx="7">
                  <c:v>1.5</c:v>
                </c:pt>
                <c:pt idx="8">
                  <c:v>2.569</c:v>
                </c:pt>
                <c:pt idx="9">
                  <c:v>2.5</c:v>
                </c:pt>
                <c:pt idx="10">
                  <c:v>2.86</c:v>
                </c:pt>
                <c:pt idx="11">
                  <c:v>2.86</c:v>
                </c:pt>
              </c:numCache>
            </c:numRef>
          </c:val>
          <c:smooth val="0"/>
          <c:extLst>
            <c:ext xmlns:c16="http://schemas.microsoft.com/office/drawing/2014/chart" uri="{C3380CC4-5D6E-409C-BE32-E72D297353CC}">
              <c16:uniqueId val="{00000000-21EC-41A4-89CA-B718D1C72BF5}"/>
            </c:ext>
          </c:extLst>
        </c:ser>
        <c:ser>
          <c:idx val="2"/>
          <c:order val="1"/>
          <c:tx>
            <c:strRef>
              <c:f>'Projekcija inflacije'!$C$8</c:f>
              <c:strCache>
                <c:ptCount val="1"/>
                <c:pt idx="0">
                  <c:v>Дефлатор БДП</c:v>
                </c:pt>
              </c:strCache>
            </c:strRef>
          </c:tx>
          <c:spPr>
            <a:ln w="22225" cap="rnd">
              <a:solidFill>
                <a:srgbClr val="7F3F98"/>
              </a:solidFill>
              <a:round/>
            </a:ln>
            <a:effectLst/>
          </c:spPr>
          <c:marker>
            <c:symbol val="none"/>
          </c:marker>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inflacije'!$I$8:$T$8</c:f>
              <c:numCache>
                <c:formatCode>0.0</c:formatCode>
                <c:ptCount val="12"/>
                <c:pt idx="0">
                  <c:v>5.1254413454188068</c:v>
                </c:pt>
                <c:pt idx="1">
                  <c:v>2.585383220508831</c:v>
                </c:pt>
                <c:pt idx="2">
                  <c:v>1.872893376087049</c:v>
                </c:pt>
                <c:pt idx="3">
                  <c:v>1.5498888324771798</c:v>
                </c:pt>
                <c:pt idx="4">
                  <c:v>2.9707931698183216</c:v>
                </c:pt>
                <c:pt idx="5">
                  <c:v>1.9749425621523642</c:v>
                </c:pt>
                <c:pt idx="6">
                  <c:v>2.444352070837823</c:v>
                </c:pt>
                <c:pt idx="7">
                  <c:v>1.8434681557092603</c:v>
                </c:pt>
                <c:pt idx="8">
                  <c:v>2.5530033954991893</c:v>
                </c:pt>
                <c:pt idx="9">
                  <c:v>2.6958194340210397</c:v>
                </c:pt>
                <c:pt idx="10">
                  <c:v>2.9589438394863907</c:v>
                </c:pt>
                <c:pt idx="11">
                  <c:v>3.1679764126409951</c:v>
                </c:pt>
              </c:numCache>
            </c:numRef>
          </c:val>
          <c:smooth val="0"/>
          <c:extLst>
            <c:ext xmlns:c16="http://schemas.microsoft.com/office/drawing/2014/chart" uri="{C3380CC4-5D6E-409C-BE32-E72D297353CC}">
              <c16:uniqueId val="{00000001-21EC-41A4-89CA-B718D1C72BF5}"/>
            </c:ext>
          </c:extLst>
        </c:ser>
        <c:ser>
          <c:idx val="3"/>
          <c:order val="2"/>
          <c:tx>
            <c:strRef>
              <c:f>'Projekcija inflacije'!$C$9</c:f>
              <c:strCache>
                <c:ptCount val="1"/>
              </c:strCache>
            </c:strRef>
          </c:tx>
          <c:spPr>
            <a:ln w="28575" cap="rnd">
              <a:noFill/>
              <a:round/>
            </a:ln>
            <a:effectLst/>
          </c:spPr>
          <c:marker>
            <c:symbol val="square"/>
            <c:size val="2"/>
            <c:spPr>
              <a:solidFill>
                <a:schemeClr val="bg1"/>
              </a:solidFill>
              <a:ln w="9525">
                <a:noFill/>
              </a:ln>
              <a:effectLst/>
            </c:spPr>
          </c:marker>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tx2"/>
                    </a:solidFill>
                    <a:latin typeface="+mn-lt"/>
                    <a:ea typeface="+mn-ea"/>
                    <a:cs typeface="+mn-cs"/>
                  </a:defRPr>
                </a:pPr>
                <a:endParaRPr lang="sr-Latn-RS"/>
              </a:p>
            </c:txPr>
            <c:dLblPos val="b"/>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numRef>
              <c:f>'Projekcija inflacije'!$I$5:$T$5</c:f>
              <c:numCache>
                <c:formatCode>General</c:formatCode>
                <c:ptCount val="12"/>
                <c:pt idx="0">
                  <c:v>2013</c:v>
                </c:pt>
                <c:pt idx="1">
                  <c:v>2014</c:v>
                </c:pt>
                <c:pt idx="2">
                  <c:v>2015</c:v>
                </c:pt>
                <c:pt idx="3">
                  <c:v>2016</c:v>
                </c:pt>
                <c:pt idx="4">
                  <c:v>2017</c:v>
                </c:pt>
                <c:pt idx="5">
                  <c:v>2018</c:v>
                </c:pt>
                <c:pt idx="6">
                  <c:v>2019</c:v>
                </c:pt>
                <c:pt idx="7">
                  <c:v>2020</c:v>
                </c:pt>
                <c:pt idx="8">
                  <c:v>2021</c:v>
                </c:pt>
                <c:pt idx="9">
                  <c:v>2022</c:v>
                </c:pt>
                <c:pt idx="10">
                  <c:v>2023</c:v>
                </c:pt>
                <c:pt idx="11">
                  <c:v>2024</c:v>
                </c:pt>
              </c:numCache>
            </c:numRef>
          </c:cat>
          <c:val>
            <c:numRef>
              <c:f>'Projekcija inflacije'!$I$9:$T$9</c:f>
              <c:numCache>
                <c:formatCode>General</c:formatCode>
                <c:ptCount val="12"/>
                <c:pt idx="0">
                  <c:v>0</c:v>
                </c:pt>
                <c:pt idx="1">
                  <c:v>0</c:v>
                </c:pt>
                <c:pt idx="2">
                  <c:v>0</c:v>
                </c:pt>
                <c:pt idx="3">
                  <c:v>0</c:v>
                </c:pt>
                <c:pt idx="4">
                  <c:v>0</c:v>
                </c:pt>
                <c:pt idx="5">
                  <c:v>0</c:v>
                </c:pt>
                <c:pt idx="6">
                  <c:v>0</c:v>
                </c:pt>
                <c:pt idx="7">
                  <c:v>0</c:v>
                </c:pt>
                <c:pt idx="8">
                  <c:v>0</c:v>
                </c:pt>
                <c:pt idx="9">
                  <c:v>0</c:v>
                </c:pt>
                <c:pt idx="10">
                  <c:v>0</c:v>
                </c:pt>
                <c:pt idx="11">
                  <c:v>0</c:v>
                </c:pt>
              </c:numCache>
            </c:numRef>
          </c:val>
          <c:smooth val="0"/>
          <c:extLst>
            <c:ext xmlns:c16="http://schemas.microsoft.com/office/drawing/2014/chart" uri="{C3380CC4-5D6E-409C-BE32-E72D297353CC}">
              <c16:uniqueId val="{00000002-21EC-41A4-89CA-B718D1C72BF5}"/>
            </c:ext>
          </c:extLst>
        </c:ser>
        <c:dLbls>
          <c:showLegendKey val="0"/>
          <c:showVal val="0"/>
          <c:showCatName val="0"/>
          <c:showSerName val="0"/>
          <c:showPercent val="0"/>
          <c:showBubbleSize val="0"/>
        </c:dLbls>
        <c:smooth val="0"/>
        <c:axId val="2067937200"/>
        <c:axId val="2067931760"/>
      </c:lineChart>
      <c:catAx>
        <c:axId val="2067937200"/>
        <c:scaling>
          <c:orientation val="minMax"/>
        </c:scaling>
        <c:delete val="0"/>
        <c:axPos val="b"/>
        <c:numFmt formatCode="General" sourceLinked="1"/>
        <c:majorTickMark val="none"/>
        <c:minorTickMark val="none"/>
        <c:tickLblPos val="none"/>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1760"/>
        <c:crosses val="autoZero"/>
        <c:auto val="1"/>
        <c:lblAlgn val="ctr"/>
        <c:lblOffset val="100"/>
        <c:noMultiLvlLbl val="0"/>
      </c:catAx>
      <c:valAx>
        <c:axId val="2067931760"/>
        <c:scaling>
          <c:orientation val="minMax"/>
          <c:max val="8"/>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067937200"/>
        <c:crosses val="autoZero"/>
        <c:crossBetween val="midCat"/>
        <c:majorUnit val="2"/>
      </c:valAx>
      <c:spPr>
        <a:noFill/>
        <a:ln>
          <a:noFill/>
        </a:ln>
        <a:effectLst/>
      </c:spPr>
    </c:plotArea>
    <c:legend>
      <c:legendPos val="b"/>
      <c:legendEntry>
        <c:idx val="2"/>
        <c:delete val="1"/>
      </c:legendEntry>
      <c:layout>
        <c:manualLayout>
          <c:xMode val="edge"/>
          <c:yMode val="edge"/>
          <c:x val="2.5218401951955399E-3"/>
          <c:y val="0.81351522231044981"/>
          <c:w val="0.99380576517352959"/>
          <c:h val="0.1864847776895502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488334791484402E-2"/>
          <c:y val="7.2092777777777783E-2"/>
          <c:w val="0.85158573928258963"/>
          <c:h val="0.61694696969696972"/>
        </c:manualLayout>
      </c:layout>
      <c:barChart>
        <c:barDir val="col"/>
        <c:grouping val="stacked"/>
        <c:varyColors val="0"/>
        <c:ser>
          <c:idx val="5"/>
          <c:order val="1"/>
          <c:tx>
            <c:strRef>
              <c:f>'Uvoz_ek. namena'!$B$7</c:f>
              <c:strCache>
                <c:ptCount val="1"/>
                <c:pt idx="0">
                  <c:v>Средства за рад</c:v>
                </c:pt>
              </c:strCache>
            </c:strRef>
          </c:tx>
          <c:spPr>
            <a:solidFill>
              <a:srgbClr val="10103C"/>
            </a:solidFill>
            <a:ln>
              <a:noFill/>
            </a:ln>
            <a:effectLst/>
          </c:spPr>
          <c:invertIfNegative val="0"/>
          <c:dLbls>
            <c:dLbl>
              <c:idx val="0"/>
              <c:layout>
                <c:manualLayout>
                  <c:x val="0"/>
                  <c:y val="-2.1166666666666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8BE-4404-A784-9A2B6E13B997}"/>
                </c:ext>
              </c:extLst>
            </c:dLbl>
            <c:spPr>
              <a:noFill/>
              <a:ln>
                <a:noFill/>
              </a:ln>
              <a:effectLst/>
            </c:spPr>
            <c:txPr>
              <a:bodyPr rot="0" spcFirstLastPara="1" vertOverflow="ellipsis" vert="horz" wrap="square" lIns="38100" tIns="19050" rIns="38100" bIns="19050" anchor="ctr" anchorCtr="0">
                <a:spAutoFit/>
              </a:bodyPr>
              <a:lstStyle/>
              <a:p>
                <a:pPr algn="ctr">
                  <a:defRPr lang="en-US" sz="700" b="0" i="0" u="none" strike="noStrike" kern="1200" baseline="0">
                    <a:solidFill>
                      <a:schemeClr val="bg1"/>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I–III 2021</c:v>
                </c:pt>
              </c:strCache>
            </c:strRef>
          </c:cat>
          <c:val>
            <c:numRef>
              <c:f>'Uvoz_ek. namena'!$C$7:$G$7</c:f>
              <c:numCache>
                <c:formatCode>0.0</c:formatCode>
                <c:ptCount val="5"/>
                <c:pt idx="0">
                  <c:v>1.2009971935621828</c:v>
                </c:pt>
                <c:pt idx="1">
                  <c:v>2.0698649206021851</c:v>
                </c:pt>
                <c:pt idx="2">
                  <c:v>2.8085607266854353</c:v>
                </c:pt>
                <c:pt idx="3">
                  <c:v>0.22111135776304344</c:v>
                </c:pt>
                <c:pt idx="4">
                  <c:v>-1.9776512051312036</c:v>
                </c:pt>
              </c:numCache>
            </c:numRef>
          </c:val>
          <c:extLst>
            <c:ext xmlns:c16="http://schemas.microsoft.com/office/drawing/2014/chart" uri="{C3380CC4-5D6E-409C-BE32-E72D297353CC}">
              <c16:uniqueId val="{00000001-98BE-4404-A784-9A2B6E13B997}"/>
            </c:ext>
          </c:extLst>
        </c:ser>
        <c:ser>
          <c:idx val="0"/>
          <c:order val="2"/>
          <c:tx>
            <c:strRef>
              <c:f>'Uvoz_ek. namena'!$B$8</c:f>
              <c:strCache>
                <c:ptCount val="1"/>
                <c:pt idx="0">
                  <c:v>Репродукција</c:v>
                </c:pt>
              </c:strCache>
            </c:strRef>
          </c:tx>
          <c:spPr>
            <a:solidFill>
              <a:srgbClr val="2183C4"/>
            </a:solidFill>
            <a:ln>
              <a:noFill/>
            </a:ln>
            <a:effectLst/>
          </c:spPr>
          <c:invertIfNegative val="0"/>
          <c:dLbls>
            <c:dLbl>
              <c:idx val="3"/>
              <c:dLblPos val="inBase"/>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8BE-4404-A784-9A2B6E13B997}"/>
                </c:ext>
              </c:extLst>
            </c:dLbl>
            <c:dLbl>
              <c:idx val="4"/>
              <c:layout>
                <c:manualLayout>
                  <c:x val="0"/>
                  <c:y val="-1.9242424242424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8BE-4404-A784-9A2B6E13B997}"/>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I–III 2021</c:v>
                </c:pt>
              </c:strCache>
            </c:strRef>
          </c:cat>
          <c:val>
            <c:numRef>
              <c:f>'Uvoz_ek. namena'!$C$8:$G$8</c:f>
              <c:numCache>
                <c:formatCode>0.0</c:formatCode>
                <c:ptCount val="5"/>
                <c:pt idx="0">
                  <c:v>9.7395520245607141</c:v>
                </c:pt>
                <c:pt idx="1">
                  <c:v>6.5890595999175119</c:v>
                </c:pt>
                <c:pt idx="2">
                  <c:v>3.6183715275084705</c:v>
                </c:pt>
                <c:pt idx="3">
                  <c:v>-5.8440229023300203</c:v>
                </c:pt>
                <c:pt idx="4">
                  <c:v>-0.64474101788906835</c:v>
                </c:pt>
              </c:numCache>
            </c:numRef>
          </c:val>
          <c:extLst>
            <c:ext xmlns:c16="http://schemas.microsoft.com/office/drawing/2014/chart" uri="{C3380CC4-5D6E-409C-BE32-E72D297353CC}">
              <c16:uniqueId val="{00000004-98BE-4404-A784-9A2B6E13B997}"/>
            </c:ext>
          </c:extLst>
        </c:ser>
        <c:ser>
          <c:idx val="1"/>
          <c:order val="3"/>
          <c:tx>
            <c:strRef>
              <c:f>'Uvoz_ek. namena'!$B$9</c:f>
              <c:strCache>
                <c:ptCount val="1"/>
                <c:pt idx="0">
                  <c:v>Потрошна роба</c:v>
                </c:pt>
              </c:strCache>
            </c:strRef>
          </c:tx>
          <c:spPr>
            <a:solidFill>
              <a:srgbClr val="51BBE7"/>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I–III 2021</c:v>
                </c:pt>
              </c:strCache>
            </c:strRef>
          </c:cat>
          <c:val>
            <c:numRef>
              <c:f>'Uvoz_ek. namena'!$C$9:$G$9</c:f>
              <c:numCache>
                <c:formatCode>0.0</c:formatCode>
                <c:ptCount val="5"/>
                <c:pt idx="0">
                  <c:v>1.0684852852430575</c:v>
                </c:pt>
                <c:pt idx="1">
                  <c:v>2.0636419880387735</c:v>
                </c:pt>
                <c:pt idx="2">
                  <c:v>2.4162016907937023</c:v>
                </c:pt>
                <c:pt idx="3">
                  <c:v>1.5972699819478706</c:v>
                </c:pt>
                <c:pt idx="4">
                  <c:v>0.67814728824600456</c:v>
                </c:pt>
              </c:numCache>
            </c:numRef>
          </c:val>
          <c:extLst>
            <c:ext xmlns:c16="http://schemas.microsoft.com/office/drawing/2014/chart" uri="{C3380CC4-5D6E-409C-BE32-E72D297353CC}">
              <c16:uniqueId val="{00000005-98BE-4404-A784-9A2B6E13B997}"/>
            </c:ext>
          </c:extLst>
        </c:ser>
        <c:ser>
          <c:idx val="2"/>
          <c:order val="4"/>
          <c:tx>
            <c:strRef>
              <c:f>'Uvoz_ek. namena'!$B$10</c:f>
              <c:strCache>
                <c:ptCount val="1"/>
                <c:pt idx="0">
                  <c:v>Некласификовано</c:v>
                </c:pt>
              </c:strCache>
            </c:strRef>
          </c:tx>
          <c:spPr>
            <a:solidFill>
              <a:srgbClr val="C9E4EB"/>
            </a:solidFill>
            <a:ln>
              <a:noFill/>
            </a:ln>
            <a:effectLst/>
          </c:spPr>
          <c:invertIfNegative val="0"/>
          <c:dLbls>
            <c:dLbl>
              <c:idx val="2"/>
              <c:layout>
                <c:manualLayout>
                  <c:x val="8.7771580635753868E-2"/>
                  <c:y val="-2.9574135265224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8BE-4404-A784-9A2B6E13B997}"/>
                </c:ext>
              </c:extLst>
            </c:dLbl>
            <c:dLbl>
              <c:idx val="3"/>
              <c:layout>
                <c:manualLayout>
                  <c:x val="8.3384929833017069E-2"/>
                  <c:y val="-4.465353535353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8BE-4404-A784-9A2B6E13B997}"/>
                </c:ext>
              </c:extLst>
            </c:dLbl>
            <c:spPr>
              <a:noFill/>
              <a:ln>
                <a:noFill/>
              </a:ln>
              <a:effectLst/>
            </c:spPr>
            <c:txPr>
              <a:bodyPr rot="0" spcFirstLastPara="1" vertOverflow="ellipsis" vert="horz" wrap="square" anchor="ctr" anchorCtr="1"/>
              <a:lstStyle/>
              <a:p>
                <a:pPr>
                  <a:defRPr sz="700" b="0" i="0" u="none" strike="noStrike" kern="1200" baseline="0">
                    <a:solidFill>
                      <a:srgbClr val="002060"/>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317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I–III 2021</c:v>
                </c:pt>
              </c:strCache>
            </c:strRef>
          </c:cat>
          <c:val>
            <c:numRef>
              <c:f>'Uvoz_ek. namena'!$C$10:$G$10</c:f>
              <c:numCache>
                <c:formatCode>0.0</c:formatCode>
                <c:ptCount val="5"/>
                <c:pt idx="0">
                  <c:v>1.6309446387663389</c:v>
                </c:pt>
                <c:pt idx="1">
                  <c:v>2.2843833780160847</c:v>
                </c:pt>
                <c:pt idx="2">
                  <c:v>8.2577890112096625E-2</c:v>
                </c:pt>
                <c:pt idx="3">
                  <c:v>0.18220504035551299</c:v>
                </c:pt>
                <c:pt idx="4">
                  <c:v>1.6168634852761907</c:v>
                </c:pt>
              </c:numCache>
            </c:numRef>
          </c:val>
          <c:extLst>
            <c:ext xmlns:c16="http://schemas.microsoft.com/office/drawing/2014/chart" uri="{C3380CC4-5D6E-409C-BE32-E72D297353CC}">
              <c16:uniqueId val="{00000008-98BE-4404-A784-9A2B6E13B997}"/>
            </c:ext>
          </c:extLst>
        </c:ser>
        <c:dLbls>
          <c:showLegendKey val="0"/>
          <c:showVal val="0"/>
          <c:showCatName val="0"/>
          <c:showSerName val="0"/>
          <c:showPercent val="0"/>
          <c:showBubbleSize val="0"/>
        </c:dLbls>
        <c:gapWidth val="70"/>
        <c:overlap val="100"/>
        <c:axId val="1839193360"/>
        <c:axId val="1839196080"/>
      </c:barChart>
      <c:lineChart>
        <c:grouping val="standard"/>
        <c:varyColors val="0"/>
        <c:ser>
          <c:idx val="3"/>
          <c:order val="0"/>
          <c:tx>
            <c:strRef>
              <c:f>'Uvoz_ek. namena'!$B$6</c:f>
              <c:strCache>
                <c:ptCount val="1"/>
                <c:pt idx="0">
                  <c:v>Укупно</c:v>
                </c:pt>
              </c:strCache>
            </c:strRef>
          </c:tx>
          <c:spPr>
            <a:ln w="28575" cap="rnd">
              <a:solidFill>
                <a:srgbClr val="FF0000"/>
              </a:solidFill>
              <a:round/>
            </a:ln>
            <a:effectLst/>
          </c:spPr>
          <c:marker>
            <c:symbol val="none"/>
          </c:marker>
          <c:dLbls>
            <c:dLbl>
              <c:idx val="3"/>
              <c:layout>
                <c:manualLayout>
                  <c:x val="1.1948454359871767E-2"/>
                  <c:y val="-2.980555555555620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8BE-4404-A784-9A2B6E13B997}"/>
                </c:ext>
              </c:extLst>
            </c:dLbl>
            <c:dLbl>
              <c:idx val="4"/>
              <c:layout>
                <c:manualLayout>
                  <c:x val="2.3148190376672081E-2"/>
                  <c:y val="2.8222222222222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8BE-4404-A784-9A2B6E13B997}"/>
                </c:ext>
              </c:extLst>
            </c:dLbl>
            <c:spPr>
              <a:noFill/>
              <a:ln>
                <a:noFill/>
              </a:ln>
              <a:effectLst/>
            </c:spPr>
            <c:txPr>
              <a:bodyPr rot="0" spcFirstLastPara="1" vertOverflow="ellipsis" vert="horz" wrap="square" anchor="ctr" anchorCtr="1"/>
              <a:lstStyle/>
              <a:p>
                <a:pPr>
                  <a:defRPr sz="750" b="1" i="0" u="none" strike="noStrike" kern="1200" baseline="0">
                    <a:solidFill>
                      <a:srgbClr val="FF0000"/>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'Uvoz_ek. namena'!$C$5:$G$5</c:f>
              <c:strCache>
                <c:ptCount val="5"/>
                <c:pt idx="0">
                  <c:v>2017</c:v>
                </c:pt>
                <c:pt idx="1">
                  <c:v>2018</c:v>
                </c:pt>
                <c:pt idx="2">
                  <c:v>2019</c:v>
                </c:pt>
                <c:pt idx="3">
                  <c:v>2020</c:v>
                </c:pt>
                <c:pt idx="4">
                  <c:v>I–III 2021</c:v>
                </c:pt>
              </c:strCache>
            </c:strRef>
          </c:cat>
          <c:val>
            <c:numRef>
              <c:f>'Uvoz_ek. namena'!$C$6:$G$6</c:f>
              <c:numCache>
                <c:formatCode>0.0</c:formatCode>
                <c:ptCount val="5"/>
                <c:pt idx="0">
                  <c:v>13.640225218099459</c:v>
                </c:pt>
                <c:pt idx="1">
                  <c:v>13.006289956692115</c:v>
                </c:pt>
                <c:pt idx="2">
                  <c:v>8.9266242979738593</c:v>
                </c:pt>
                <c:pt idx="3">
                  <c:v>-3.8438511767391508</c:v>
                </c:pt>
                <c:pt idx="4">
                  <c:v>-0.32404082246236499</c:v>
                </c:pt>
              </c:numCache>
            </c:numRef>
          </c:val>
          <c:smooth val="0"/>
          <c:extLst>
            <c:ext xmlns:c16="http://schemas.microsoft.com/office/drawing/2014/chart" uri="{C3380CC4-5D6E-409C-BE32-E72D297353CC}">
              <c16:uniqueId val="{0000000B-98BE-4404-A784-9A2B6E13B997}"/>
            </c:ext>
          </c:extLst>
        </c:ser>
        <c:dLbls>
          <c:showLegendKey val="0"/>
          <c:showVal val="0"/>
          <c:showCatName val="0"/>
          <c:showSerName val="0"/>
          <c:showPercent val="0"/>
          <c:showBubbleSize val="0"/>
        </c:dLbls>
        <c:marker val="1"/>
        <c:smooth val="0"/>
        <c:axId val="1839193360"/>
        <c:axId val="1839196080"/>
      </c:lineChart>
      <c:catAx>
        <c:axId val="1839193360"/>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6080"/>
        <c:crosses val="autoZero"/>
        <c:auto val="1"/>
        <c:lblAlgn val="ctr"/>
        <c:lblOffset val="100"/>
        <c:noMultiLvlLbl val="0"/>
      </c:catAx>
      <c:valAx>
        <c:axId val="1839196080"/>
        <c:scaling>
          <c:orientation val="minMax"/>
          <c:max val="14"/>
          <c:min val="-6"/>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93360"/>
        <c:crosses val="autoZero"/>
        <c:crossBetween val="between"/>
        <c:majorUnit val="2"/>
      </c:valAx>
      <c:spPr>
        <a:noFill/>
        <a:ln>
          <a:noFill/>
        </a:ln>
        <a:effectLst/>
      </c:spPr>
    </c:plotArea>
    <c:legend>
      <c:legendPos val="b"/>
      <c:layout>
        <c:manualLayout>
          <c:xMode val="edge"/>
          <c:yMode val="edge"/>
          <c:x val="4.0592776922347175E-2"/>
          <c:y val="0.80912911062512316"/>
          <c:w val="0.91940033537474486"/>
          <c:h val="0.1908707070707071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80796150481189"/>
          <c:y val="4.6989720998531569E-2"/>
          <c:w val="0.84213692038495191"/>
          <c:h val="0.81779689433093983"/>
        </c:manualLayout>
      </c:layout>
      <c:areaChart>
        <c:grouping val="standard"/>
        <c:varyColors val="0"/>
        <c:ser>
          <c:idx val="1"/>
          <c:order val="0"/>
          <c:tx>
            <c:strRef>
              <c:f>'Izvoz, uvoz (Q)'!$A$8</c:f>
              <c:strCache>
                <c:ptCount val="1"/>
                <c:pt idx="0">
                  <c:v>Увоз</c:v>
                </c:pt>
              </c:strCache>
            </c:strRef>
          </c:tx>
          <c:spPr>
            <a:solidFill>
              <a:srgbClr val="51BBE7"/>
            </a:solidFill>
            <a:ln>
              <a:noFill/>
            </a:ln>
            <a:effectLst/>
          </c:spPr>
          <c:dLbls>
            <c:dLbl>
              <c:idx val="0"/>
              <c:layout>
                <c:manualLayout>
                  <c:x val="0"/>
                  <c:y val="-0.17721765614316928"/>
                </c:manualLayout>
              </c:layout>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0-CA8B-47B0-A188-91BC43B796A1}"/>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(Q)'!$K$3:$AM$4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2014</c:v>
                  </c:pt>
                  <c:pt idx="4">
                    <c:v>2015</c:v>
                  </c:pt>
                  <c:pt idx="8">
                    <c:v>2016</c:v>
                  </c:pt>
                  <c:pt idx="12">
                    <c:v>2017</c:v>
                  </c:pt>
                  <c:pt idx="16">
                    <c:v>2018</c:v>
                  </c:pt>
                  <c:pt idx="20">
                    <c:v>2019</c:v>
                  </c:pt>
                  <c:pt idx="24">
                    <c:v>2020</c:v>
                  </c:pt>
                  <c:pt idx="28">
                    <c:v>2021</c:v>
                  </c:pt>
                </c:lvl>
              </c:multiLvlStrCache>
            </c:multiLvlStrRef>
          </c:cat>
          <c:val>
            <c:numRef>
              <c:f>'Izvoz, uvoz (Q)'!$K$8:$AM$8</c:f>
              <c:numCache>
                <c:formatCode>#,##0.0</c:formatCode>
                <c:ptCount val="29"/>
                <c:pt idx="0">
                  <c:v>3485</c:v>
                </c:pt>
                <c:pt idx="1">
                  <c:v>3866.6000000000004</c:v>
                </c:pt>
                <c:pt idx="2">
                  <c:v>3854</c:v>
                </c:pt>
                <c:pt idx="3">
                  <c:v>3981.8</c:v>
                </c:pt>
                <c:pt idx="4">
                  <c:v>3874.8</c:v>
                </c:pt>
                <c:pt idx="5">
                  <c:v>4090.1</c:v>
                </c:pt>
                <c:pt idx="6">
                  <c:v>3962.6</c:v>
                </c:pt>
                <c:pt idx="7">
                  <c:v>4249.1000000000004</c:v>
                </c:pt>
                <c:pt idx="8">
                  <c:v>3976.6</c:v>
                </c:pt>
                <c:pt idx="9">
                  <c:v>4459</c:v>
                </c:pt>
                <c:pt idx="10">
                  <c:v>4149.7000000000007</c:v>
                </c:pt>
                <c:pt idx="11">
                  <c:v>4560.5</c:v>
                </c:pt>
                <c:pt idx="12">
                  <c:v>4507.8999999999996</c:v>
                </c:pt>
                <c:pt idx="13">
                  <c:v>4918.6000000000004</c:v>
                </c:pt>
                <c:pt idx="14">
                  <c:v>4707.3999999999996</c:v>
                </c:pt>
                <c:pt idx="15">
                  <c:v>5262</c:v>
                </c:pt>
                <c:pt idx="16">
                  <c:v>5075.8999999999996</c:v>
                </c:pt>
                <c:pt idx="17">
                  <c:v>5458.7000000000007</c:v>
                </c:pt>
                <c:pt idx="18">
                  <c:v>5419</c:v>
                </c:pt>
                <c:pt idx="19">
                  <c:v>5965.1</c:v>
                </c:pt>
                <c:pt idx="20">
                  <c:v>5560.6</c:v>
                </c:pt>
                <c:pt idx="21">
                  <c:v>5942</c:v>
                </c:pt>
                <c:pt idx="22">
                  <c:v>5842.9999999999982</c:v>
                </c:pt>
                <c:pt idx="23">
                  <c:v>6529.7000000000007</c:v>
                </c:pt>
                <c:pt idx="24">
                  <c:v>5986.9</c:v>
                </c:pt>
                <c:pt idx="25">
                  <c:v>4743.219000000001</c:v>
                </c:pt>
                <c:pt idx="26">
                  <c:v>5793.9459999999981</c:v>
                </c:pt>
                <c:pt idx="27">
                  <c:v>6433.5040000000008</c:v>
                </c:pt>
                <c:pt idx="28">
                  <c:v>5967.5</c:v>
                </c:pt>
              </c:numCache>
            </c:numRef>
          </c:val>
          <c:extLst>
            <c:ext xmlns:c16="http://schemas.microsoft.com/office/drawing/2014/chart" uri="{C3380CC4-5D6E-409C-BE32-E72D297353CC}">
              <c16:uniqueId val="{00000001-CA8B-47B0-A188-91BC43B796A1}"/>
            </c:ext>
          </c:extLst>
        </c:ser>
        <c:ser>
          <c:idx val="0"/>
          <c:order val="1"/>
          <c:tx>
            <c:strRef>
              <c:f>'Izvoz, uvoz (Q)'!$A$7</c:f>
              <c:strCache>
                <c:ptCount val="1"/>
                <c:pt idx="0">
                  <c:v>Извоз</c:v>
                </c:pt>
              </c:strCache>
            </c:strRef>
          </c:tx>
          <c:spPr>
            <a:solidFill>
              <a:srgbClr val="29489A"/>
            </a:solidFill>
            <a:ln>
              <a:noFill/>
            </a:ln>
            <a:effectLst/>
          </c:spPr>
          <c:dLbls>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(Q)'!$K$3:$AM$4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2014</c:v>
                  </c:pt>
                  <c:pt idx="4">
                    <c:v>2015</c:v>
                  </c:pt>
                  <c:pt idx="8">
                    <c:v>2016</c:v>
                  </c:pt>
                  <c:pt idx="12">
                    <c:v>2017</c:v>
                  </c:pt>
                  <c:pt idx="16">
                    <c:v>2018</c:v>
                  </c:pt>
                  <c:pt idx="20">
                    <c:v>2019</c:v>
                  </c:pt>
                  <c:pt idx="24">
                    <c:v>2020</c:v>
                  </c:pt>
                  <c:pt idx="28">
                    <c:v>2021</c:v>
                  </c:pt>
                </c:lvl>
              </c:multiLvlStrCache>
            </c:multiLvlStrRef>
          </c:cat>
          <c:val>
            <c:numRef>
              <c:f>'Izvoz, uvoz (Q)'!$K$7:$AM$7</c:f>
              <c:numCache>
                <c:formatCode>#,##0.0</c:formatCode>
                <c:ptCount val="29"/>
                <c:pt idx="0">
                  <c:v>2636.5</c:v>
                </c:pt>
                <c:pt idx="1">
                  <c:v>2876</c:v>
                </c:pt>
                <c:pt idx="2">
                  <c:v>2786.1</c:v>
                </c:pt>
                <c:pt idx="3">
                  <c:v>2860</c:v>
                </c:pt>
                <c:pt idx="4">
                  <c:v>2774.6</c:v>
                </c:pt>
                <c:pt idx="5">
                  <c:v>3194.2</c:v>
                </c:pt>
                <c:pt idx="6">
                  <c:v>3041.8999999999996</c:v>
                </c:pt>
                <c:pt idx="7">
                  <c:v>3030.3</c:v>
                </c:pt>
                <c:pt idx="8">
                  <c:v>3084.4</c:v>
                </c:pt>
                <c:pt idx="9">
                  <c:v>3473.8999999999996</c:v>
                </c:pt>
                <c:pt idx="10">
                  <c:v>3353.3</c:v>
                </c:pt>
                <c:pt idx="11">
                  <c:v>3511.3</c:v>
                </c:pt>
                <c:pt idx="12">
                  <c:v>3515</c:v>
                </c:pt>
                <c:pt idx="13">
                  <c:v>3950.5000000000005</c:v>
                </c:pt>
                <c:pt idx="14">
                  <c:v>3785.8</c:v>
                </c:pt>
                <c:pt idx="15">
                  <c:v>3799.7</c:v>
                </c:pt>
                <c:pt idx="16">
                  <c:v>3829.1</c:v>
                </c:pt>
                <c:pt idx="17">
                  <c:v>4218.6000000000004</c:v>
                </c:pt>
                <c:pt idx="18">
                  <c:v>4091.0999999999995</c:v>
                </c:pt>
                <c:pt idx="19">
                  <c:v>4143.2000000000007</c:v>
                </c:pt>
                <c:pt idx="20">
                  <c:v>4102.1000000000004</c:v>
                </c:pt>
                <c:pt idx="21">
                  <c:v>4488.7999999999993</c:v>
                </c:pt>
                <c:pt idx="22">
                  <c:v>4404.1000000000004</c:v>
                </c:pt>
                <c:pt idx="23">
                  <c:v>4541.4000000000015</c:v>
                </c:pt>
                <c:pt idx="24">
                  <c:v>4237.5</c:v>
                </c:pt>
                <c:pt idx="25">
                  <c:v>3597.1819999999998</c:v>
                </c:pt>
                <c:pt idx="26">
                  <c:v>4371.2519999999995</c:v>
                </c:pt>
                <c:pt idx="27">
                  <c:v>4848.5939999999991</c:v>
                </c:pt>
                <c:pt idx="28">
                  <c:v>4822.8999999999996</c:v>
                </c:pt>
              </c:numCache>
            </c:numRef>
          </c:val>
          <c:extLst>
            <c:ext xmlns:c16="http://schemas.microsoft.com/office/drawing/2014/chart" uri="{C3380CC4-5D6E-409C-BE32-E72D297353CC}">
              <c16:uniqueId val="{00000002-CA8B-47B0-A188-91BC43B796A1}"/>
            </c:ext>
          </c:extLst>
        </c:ser>
        <c:ser>
          <c:idx val="2"/>
          <c:order val="2"/>
          <c:tx>
            <c:strRef>
              <c:f>'Izvoz, uvoz (Q)'!$A$9</c:f>
              <c:strCache>
                <c:ptCount val="1"/>
                <c:pt idx="0">
                  <c:v>Дефицит</c:v>
                </c:pt>
              </c:strCache>
            </c:strRef>
          </c:tx>
          <c:spPr>
            <a:solidFill>
              <a:srgbClr val="ED1C24"/>
            </a:solidFill>
            <a:ln>
              <a:noFill/>
            </a:ln>
            <a:effectLst/>
          </c:spPr>
          <c:dLbls>
            <c:dLbl>
              <c:idx val="0"/>
              <c:layout>
                <c:manualLayout>
                  <c:x val="4.6296178308005021E-3"/>
                  <c:y val="-7.5717812166241853E-3"/>
                </c:manualLayout>
              </c:layout>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extLst>
                <c:ext xmlns:c15="http://schemas.microsoft.com/office/drawing/2012/chart" uri="{CE6537A1-D6FC-4f65-9D91-7224C49458BB}">
                  <c15:layout>
                    <c:manualLayout>
                      <c:w val="0.26513888888888887"/>
                      <c:h val="0.20975355507351168"/>
                    </c:manualLayout>
                  </c15:layout>
                </c:ext>
                <c:ext xmlns:c16="http://schemas.microsoft.com/office/drawing/2014/chart" uri="{C3380CC4-5D6E-409C-BE32-E72D297353CC}">
                  <c16:uniqueId val="{00000003-CA8B-47B0-A188-91BC43B796A1}"/>
                </c:ext>
              </c:extLst>
            </c:dLbl>
            <c:spPr>
              <a:noFill/>
              <a:ln>
                <a:noFill/>
              </a:ln>
              <a:effectLst/>
            </c:spPr>
            <c:txPr>
              <a:bodyPr rot="0" spcFirstLastPara="1" vertOverflow="ellipsis" vert="horz" wrap="none" anchor="ctr" anchorCtr="1"/>
              <a:lstStyle/>
              <a:p>
                <a:pPr>
                  <a:defRPr sz="1000" b="1" i="0" u="none" strike="noStrike" kern="1200" baseline="0">
                    <a:solidFill>
                      <a:schemeClr val="bg1"/>
                    </a:solidFill>
                    <a:latin typeface="+mn-lt"/>
                    <a:ea typeface="+mn-ea"/>
                    <a:cs typeface="+mn-cs"/>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multiLvlStrRef>
              <c:f>'Izvoz, uvoz (Q)'!$K$3:$AM$4</c:f>
              <c:multiLvlStrCache>
                <c:ptCount val="29"/>
                <c:lvl>
                  <c:pt idx="0">
                    <c:v>Q1</c:v>
                  </c:pt>
                  <c:pt idx="1">
                    <c:v>Q2</c:v>
                  </c:pt>
                  <c:pt idx="2">
                    <c:v>Q3</c:v>
                  </c:pt>
                  <c:pt idx="3">
                    <c:v>Q4</c:v>
                  </c:pt>
                  <c:pt idx="4">
                    <c:v>Q1</c:v>
                  </c:pt>
                  <c:pt idx="5">
                    <c:v>Q2</c:v>
                  </c:pt>
                  <c:pt idx="6">
                    <c:v>Q3</c:v>
                  </c:pt>
                  <c:pt idx="7">
                    <c:v>Q4</c:v>
                  </c:pt>
                  <c:pt idx="8">
                    <c:v>Q1</c:v>
                  </c:pt>
                  <c:pt idx="9">
                    <c:v>Q2</c:v>
                  </c:pt>
                  <c:pt idx="10">
                    <c:v>Q3</c:v>
                  </c:pt>
                  <c:pt idx="11">
                    <c:v>Q4</c:v>
                  </c:pt>
                  <c:pt idx="12">
                    <c:v>Q1</c:v>
                  </c:pt>
                  <c:pt idx="13">
                    <c:v>Q2</c:v>
                  </c:pt>
                  <c:pt idx="14">
                    <c:v>Q3</c:v>
                  </c:pt>
                  <c:pt idx="15">
                    <c:v>Q4</c:v>
                  </c:pt>
                  <c:pt idx="16">
                    <c:v>Q1</c:v>
                  </c:pt>
                  <c:pt idx="17">
                    <c:v>Q2</c:v>
                  </c:pt>
                  <c:pt idx="18">
                    <c:v>Q3</c:v>
                  </c:pt>
                  <c:pt idx="19">
                    <c:v>Q4</c:v>
                  </c:pt>
                  <c:pt idx="20">
                    <c:v>Q1</c:v>
                  </c:pt>
                  <c:pt idx="21">
                    <c:v>Q2</c:v>
                  </c:pt>
                  <c:pt idx="22">
                    <c:v>Q3</c:v>
                  </c:pt>
                  <c:pt idx="23">
                    <c:v>Q4</c:v>
                  </c:pt>
                  <c:pt idx="24">
                    <c:v>Q1</c:v>
                  </c:pt>
                  <c:pt idx="25">
                    <c:v>Q2</c:v>
                  </c:pt>
                  <c:pt idx="26">
                    <c:v>Q3</c:v>
                  </c:pt>
                  <c:pt idx="27">
                    <c:v>Q4</c:v>
                  </c:pt>
                  <c:pt idx="28">
                    <c:v>Q1</c:v>
                  </c:pt>
                </c:lvl>
                <c:lvl>
                  <c:pt idx="0">
                    <c:v>2014</c:v>
                  </c:pt>
                  <c:pt idx="4">
                    <c:v>2015</c:v>
                  </c:pt>
                  <c:pt idx="8">
                    <c:v>2016</c:v>
                  </c:pt>
                  <c:pt idx="12">
                    <c:v>2017</c:v>
                  </c:pt>
                  <c:pt idx="16">
                    <c:v>2018</c:v>
                  </c:pt>
                  <c:pt idx="20">
                    <c:v>2019</c:v>
                  </c:pt>
                  <c:pt idx="24">
                    <c:v>2020</c:v>
                  </c:pt>
                  <c:pt idx="28">
                    <c:v>2021</c:v>
                  </c:pt>
                </c:lvl>
              </c:multiLvlStrCache>
            </c:multiLvlStrRef>
          </c:cat>
          <c:val>
            <c:numRef>
              <c:f>'Izvoz, uvoz (Q)'!$K$9:$AM$9</c:f>
              <c:numCache>
                <c:formatCode>#,##0.0</c:formatCode>
                <c:ptCount val="29"/>
                <c:pt idx="0">
                  <c:v>-848.5</c:v>
                </c:pt>
                <c:pt idx="1">
                  <c:v>-990.60000000000036</c:v>
                </c:pt>
                <c:pt idx="2">
                  <c:v>-1067.9000000000001</c:v>
                </c:pt>
                <c:pt idx="3">
                  <c:v>-1121.8000000000002</c:v>
                </c:pt>
                <c:pt idx="4">
                  <c:v>-1100.2000000000003</c:v>
                </c:pt>
                <c:pt idx="5">
                  <c:v>-895.90000000000009</c:v>
                </c:pt>
                <c:pt idx="6">
                  <c:v>-920.70000000000027</c:v>
                </c:pt>
                <c:pt idx="7">
                  <c:v>-1218.8000000000002</c:v>
                </c:pt>
                <c:pt idx="8">
                  <c:v>-892.19999999999982</c:v>
                </c:pt>
                <c:pt idx="9">
                  <c:v>-985.10000000000036</c:v>
                </c:pt>
                <c:pt idx="10">
                  <c:v>-796.40000000000055</c:v>
                </c:pt>
                <c:pt idx="11">
                  <c:v>-1049.1999999999998</c:v>
                </c:pt>
                <c:pt idx="12">
                  <c:v>-992.89999999999964</c:v>
                </c:pt>
                <c:pt idx="13">
                  <c:v>-968.09999999999991</c:v>
                </c:pt>
                <c:pt idx="14">
                  <c:v>-921.59999999999945</c:v>
                </c:pt>
                <c:pt idx="15">
                  <c:v>-1462.3000000000002</c:v>
                </c:pt>
                <c:pt idx="16">
                  <c:v>-1246.7999999999997</c:v>
                </c:pt>
                <c:pt idx="17">
                  <c:v>-1240.1000000000004</c:v>
                </c:pt>
                <c:pt idx="18">
                  <c:v>-1327.9000000000005</c:v>
                </c:pt>
                <c:pt idx="19">
                  <c:v>-1821.8999999999996</c:v>
                </c:pt>
                <c:pt idx="20">
                  <c:v>-1458.5</c:v>
                </c:pt>
                <c:pt idx="21">
                  <c:v>-1453.2000000000007</c:v>
                </c:pt>
                <c:pt idx="22">
                  <c:v>-1438.8999999999978</c:v>
                </c:pt>
                <c:pt idx="23">
                  <c:v>-1988.2999999999993</c:v>
                </c:pt>
                <c:pt idx="24">
                  <c:v>-1749.3999999999996</c:v>
                </c:pt>
                <c:pt idx="25">
                  <c:v>-1146.0370000000012</c:v>
                </c:pt>
                <c:pt idx="26">
                  <c:v>-1422.6939999999986</c:v>
                </c:pt>
                <c:pt idx="27">
                  <c:v>-1584.9100000000017</c:v>
                </c:pt>
                <c:pt idx="28">
                  <c:v>-1144.6000000000004</c:v>
                </c:pt>
              </c:numCache>
            </c:numRef>
          </c:val>
          <c:extLst>
            <c:ext xmlns:c16="http://schemas.microsoft.com/office/drawing/2014/chart" uri="{C3380CC4-5D6E-409C-BE32-E72D297353CC}">
              <c16:uniqueId val="{00000004-CA8B-47B0-A188-91BC43B796A1}"/>
            </c:ext>
          </c:extLst>
        </c:ser>
        <c:dLbls>
          <c:showLegendKey val="0"/>
          <c:showVal val="0"/>
          <c:showCatName val="0"/>
          <c:showSerName val="0"/>
          <c:showPercent val="0"/>
          <c:showBubbleSize val="0"/>
        </c:dLbls>
        <c:axId val="1839202064"/>
        <c:axId val="1839196624"/>
      </c:areaChart>
      <c:catAx>
        <c:axId val="1839202064"/>
        <c:scaling>
          <c:orientation val="minMax"/>
        </c:scaling>
        <c:delete val="0"/>
        <c:axPos val="b"/>
        <c:numFmt formatCode="General" sourceLinked="1"/>
        <c:majorTickMark val="none"/>
        <c:minorTickMark val="none"/>
        <c:tickLblPos val="low"/>
        <c:spPr>
          <a:noFill/>
          <a:ln w="6350" cap="flat" cmpd="sng" algn="ctr">
            <a:solidFill>
              <a:srgbClr val="898989"/>
            </a:solidFill>
            <a:round/>
          </a:ln>
          <a:effectLst/>
        </c:spPr>
        <c:txPr>
          <a:bodyPr rot="-5400000" spcFirstLastPara="1" vertOverflow="ellipsis" wrap="square" anchor="ctr" anchorCtr="1"/>
          <a:lstStyle/>
          <a:p>
            <a:pPr>
              <a:defRPr sz="650" b="0" i="0" u="none" strike="noStrike" kern="1200" baseline="0">
                <a:solidFill>
                  <a:schemeClr val="tx2"/>
                </a:solidFill>
                <a:latin typeface="+mn-lt"/>
                <a:ea typeface="+mn-ea"/>
                <a:cs typeface="+mn-cs"/>
              </a:defRPr>
            </a:pPr>
            <a:endParaRPr lang="sr-Latn-RS"/>
          </a:p>
        </c:txPr>
        <c:crossAx val="1839196624"/>
        <c:crosses val="autoZero"/>
        <c:auto val="1"/>
        <c:lblAlgn val="ctr"/>
        <c:lblOffset val="0"/>
        <c:noMultiLvlLbl val="0"/>
      </c:catAx>
      <c:valAx>
        <c:axId val="1839196624"/>
        <c:scaling>
          <c:orientation val="minMax"/>
          <c:max val="7000"/>
          <c:min val="-200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202064"/>
        <c:crosses val="autoZero"/>
        <c:crossBetween val="between"/>
        <c:majorUnit val="2000"/>
      </c:valAx>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39150826485673E-2"/>
          <c:y val="3.2258064516129031E-2"/>
          <c:w val="0.90409995360749396"/>
          <c:h val="0.75972906612479885"/>
        </c:manualLayout>
      </c:layout>
      <c:barChart>
        <c:barDir val="col"/>
        <c:grouping val="stacked"/>
        <c:varyColors val="0"/>
        <c:ser>
          <c:idx val="0"/>
          <c:order val="1"/>
          <c:tx>
            <c:strRef>
              <c:f>'Struktura CA i FA'!$B$10</c:f>
              <c:strCache>
                <c:ptCount val="1"/>
                <c:pt idx="0">
                  <c:v>Салдо робне размене </c:v>
                </c:pt>
              </c:strCache>
            </c:strRef>
          </c:tx>
          <c:spPr>
            <a:solidFill>
              <a:srgbClr val="10103C"/>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FA'!$F$10:$L$10</c:f>
              <c:numCache>
                <c:formatCode>0.0</c:formatCode>
                <c:ptCount val="7"/>
                <c:pt idx="0">
                  <c:v>-11.85634111525191</c:v>
                </c:pt>
                <c:pt idx="1">
                  <c:v>-12.232686434344609</c:v>
                </c:pt>
                <c:pt idx="2">
                  <c:v>-11.243253403007953</c:v>
                </c:pt>
                <c:pt idx="3">
                  <c:v>-11.962336121661659</c:v>
                </c:pt>
                <c:pt idx="4">
                  <c:v>-11.482074353977433</c:v>
                </c:pt>
                <c:pt idx="5">
                  <c:v>-10.480470201754818</c:v>
                </c:pt>
                <c:pt idx="6">
                  <c:v>-9.487724855846551</c:v>
                </c:pt>
              </c:numCache>
            </c:numRef>
          </c:val>
          <c:extLst>
            <c:ext xmlns:c16="http://schemas.microsoft.com/office/drawing/2014/chart" uri="{C3380CC4-5D6E-409C-BE32-E72D297353CC}">
              <c16:uniqueId val="{00000000-6480-459D-A37A-EB9475A78D43}"/>
            </c:ext>
          </c:extLst>
        </c:ser>
        <c:ser>
          <c:idx val="1"/>
          <c:order val="2"/>
          <c:tx>
            <c:strRef>
              <c:f>'Struktura CA i FA'!$B$11</c:f>
              <c:strCache>
                <c:ptCount val="1"/>
                <c:pt idx="0">
                  <c:v>Салдо услугa</c:v>
                </c:pt>
              </c:strCache>
            </c:strRef>
          </c:tx>
          <c:spPr>
            <a:solidFill>
              <a:srgbClr val="29489A"/>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FA'!$F$11:$L$11</c:f>
              <c:numCache>
                <c:formatCode>0.0</c:formatCode>
                <c:ptCount val="7"/>
                <c:pt idx="0">
                  <c:v>2.3195078458208238</c:v>
                </c:pt>
                <c:pt idx="1">
                  <c:v>2.2009453418610074</c:v>
                </c:pt>
                <c:pt idx="2">
                  <c:v>2.3126627025436792</c:v>
                </c:pt>
                <c:pt idx="3">
                  <c:v>2.281374218890698</c:v>
                </c:pt>
                <c:pt idx="4">
                  <c:v>2.4310580879756776</c:v>
                </c:pt>
                <c:pt idx="5">
                  <c:v>2.3803682320979069</c:v>
                </c:pt>
                <c:pt idx="6">
                  <c:v>2.5091503750999147</c:v>
                </c:pt>
              </c:numCache>
            </c:numRef>
          </c:val>
          <c:extLst>
            <c:ext xmlns:c16="http://schemas.microsoft.com/office/drawing/2014/chart" uri="{C3380CC4-5D6E-409C-BE32-E72D297353CC}">
              <c16:uniqueId val="{00000001-6480-459D-A37A-EB9475A78D43}"/>
            </c:ext>
          </c:extLst>
        </c:ser>
        <c:ser>
          <c:idx val="2"/>
          <c:order val="3"/>
          <c:tx>
            <c:strRef>
              <c:f>'Struktura CA i FA'!$B$12</c:f>
              <c:strCache>
                <c:ptCount val="1"/>
                <c:pt idx="0">
                  <c:v>Салдо дохотка           </c:v>
                </c:pt>
              </c:strCache>
            </c:strRef>
          </c:tx>
          <c:spPr>
            <a:solidFill>
              <a:srgbClr val="2183C4"/>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FA'!$F$12:$L$12</c:f>
              <c:numCache>
                <c:formatCode>0.0</c:formatCode>
                <c:ptCount val="7"/>
                <c:pt idx="0">
                  <c:v>-5.0879454802975124</c:v>
                </c:pt>
                <c:pt idx="1">
                  <c:v>-5.3916071891109327</c:v>
                </c:pt>
                <c:pt idx="2">
                  <c:v>-3.0205997176448953</c:v>
                </c:pt>
                <c:pt idx="3">
                  <c:v>-3.5708466034810913</c:v>
                </c:pt>
                <c:pt idx="4">
                  <c:v>-3.6839880256246809</c:v>
                </c:pt>
                <c:pt idx="5">
                  <c:v>-3.9387388013130868</c:v>
                </c:pt>
                <c:pt idx="6">
                  <c:v>-4.0773693595373572</c:v>
                </c:pt>
              </c:numCache>
            </c:numRef>
          </c:val>
          <c:extLst>
            <c:ext xmlns:c16="http://schemas.microsoft.com/office/drawing/2014/chart" uri="{C3380CC4-5D6E-409C-BE32-E72D297353CC}">
              <c16:uniqueId val="{00000002-6480-459D-A37A-EB9475A78D43}"/>
            </c:ext>
          </c:extLst>
        </c:ser>
        <c:ser>
          <c:idx val="3"/>
          <c:order val="4"/>
          <c:tx>
            <c:strRef>
              <c:f>'Struktura CA i FA'!$B$13</c:f>
              <c:strCache>
                <c:ptCount val="1"/>
                <c:pt idx="0">
                  <c:v>Салдо текућих трансфера</c:v>
                </c:pt>
              </c:strCache>
            </c:strRef>
          </c:tx>
          <c:spPr>
            <a:solidFill>
              <a:srgbClr val="51BBE7"/>
            </a:solidFill>
            <a:ln>
              <a:noFill/>
            </a:ln>
            <a:effectLst/>
          </c:spPr>
          <c:invertIfNegative val="0"/>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FA'!$F$13:$L$13</c:f>
              <c:numCache>
                <c:formatCode>0.0</c:formatCode>
                <c:ptCount val="7"/>
                <c:pt idx="0">
                  <c:v>9.7844329701219959</c:v>
                </c:pt>
                <c:pt idx="1">
                  <c:v>8.5473967706053919</c:v>
                </c:pt>
                <c:pt idx="2">
                  <c:v>7.6869772307185782</c:v>
                </c:pt>
                <c:pt idx="3">
                  <c:v>7.6971582341703524</c:v>
                </c:pt>
                <c:pt idx="4">
                  <c:v>7.461478285402273</c:v>
                </c:pt>
                <c:pt idx="5">
                  <c:v>7.1068547936736133</c:v>
                </c:pt>
                <c:pt idx="6">
                  <c:v>6.6649306838591427</c:v>
                </c:pt>
              </c:numCache>
            </c:numRef>
          </c:val>
          <c:extLst>
            <c:ext xmlns:c16="http://schemas.microsoft.com/office/drawing/2014/chart" uri="{C3380CC4-5D6E-409C-BE32-E72D297353CC}">
              <c16:uniqueId val="{00000003-6480-459D-A37A-EB9475A78D43}"/>
            </c:ext>
          </c:extLst>
        </c:ser>
        <c:dLbls>
          <c:showLegendKey val="0"/>
          <c:showVal val="0"/>
          <c:showCatName val="0"/>
          <c:showSerName val="0"/>
          <c:showPercent val="0"/>
          <c:showBubbleSize val="0"/>
        </c:dLbls>
        <c:gapWidth val="50"/>
        <c:overlap val="100"/>
        <c:axId val="1763590384"/>
        <c:axId val="1763611056"/>
      </c:barChart>
      <c:lineChart>
        <c:grouping val="standard"/>
        <c:varyColors val="0"/>
        <c:ser>
          <c:idx val="4"/>
          <c:order val="0"/>
          <c:tx>
            <c:strRef>
              <c:f>'Struktura CA i FA'!$B$9</c:f>
              <c:strCache>
                <c:ptCount val="1"/>
                <c:pt idx="0">
                  <c:v>Дефицит текућег рачуна</c:v>
                </c:pt>
              </c:strCache>
            </c:strRef>
          </c:tx>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rgbClr val="FF0000"/>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'Struktura CA i FA'!$F$8:$L$8</c:f>
              <c:numCache>
                <c:formatCode>General</c:formatCode>
                <c:ptCount val="7"/>
                <c:pt idx="0">
                  <c:v>2018</c:v>
                </c:pt>
                <c:pt idx="1">
                  <c:v>2019</c:v>
                </c:pt>
                <c:pt idx="2">
                  <c:v>2020</c:v>
                </c:pt>
                <c:pt idx="3">
                  <c:v>2021</c:v>
                </c:pt>
                <c:pt idx="4">
                  <c:v>2022</c:v>
                </c:pt>
                <c:pt idx="5">
                  <c:v>2023</c:v>
                </c:pt>
                <c:pt idx="6">
                  <c:v>2024</c:v>
                </c:pt>
              </c:numCache>
            </c:numRef>
          </c:cat>
          <c:val>
            <c:numRef>
              <c:f>'Struktura CA i FA'!$F$9:$L$9</c:f>
              <c:numCache>
                <c:formatCode>0.0</c:formatCode>
                <c:ptCount val="7"/>
                <c:pt idx="0">
                  <c:v>-4.8403457796066034</c:v>
                </c:pt>
                <c:pt idx="1">
                  <c:v>-6.8759515109891467</c:v>
                </c:pt>
                <c:pt idx="2">
                  <c:v>-4.2642131873905909</c:v>
                </c:pt>
                <c:pt idx="3">
                  <c:v>-5.554650272081699</c:v>
                </c:pt>
                <c:pt idx="4">
                  <c:v>-5.2735260062241638</c:v>
                </c:pt>
                <c:pt idx="5">
                  <c:v>-4.9319859772963852</c:v>
                </c:pt>
                <c:pt idx="6">
                  <c:v>-4.3910131564248509</c:v>
                </c:pt>
              </c:numCache>
            </c:numRef>
          </c:val>
          <c:smooth val="0"/>
          <c:extLst>
            <c:ext xmlns:c16="http://schemas.microsoft.com/office/drawing/2014/chart" uri="{C3380CC4-5D6E-409C-BE32-E72D297353CC}">
              <c16:uniqueId val="{00000004-6480-459D-A37A-EB9475A78D43}"/>
            </c:ext>
          </c:extLst>
        </c:ser>
        <c:dLbls>
          <c:showLegendKey val="0"/>
          <c:showVal val="0"/>
          <c:showCatName val="0"/>
          <c:showSerName val="0"/>
          <c:showPercent val="0"/>
          <c:showBubbleSize val="0"/>
        </c:dLbls>
        <c:marker val="1"/>
        <c:smooth val="0"/>
        <c:axId val="1763590384"/>
        <c:axId val="1763611056"/>
      </c:lineChart>
      <c:catAx>
        <c:axId val="1763590384"/>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bg1"/>
                </a:solidFill>
                <a:latin typeface="+mn-lt"/>
                <a:ea typeface="+mn-ea"/>
                <a:cs typeface="+mn-cs"/>
              </a:defRPr>
            </a:pPr>
            <a:endParaRPr lang="sr-Latn-RS"/>
          </a:p>
        </c:txPr>
        <c:crossAx val="1763611056"/>
        <c:crosses val="autoZero"/>
        <c:auto val="1"/>
        <c:lblAlgn val="ctr"/>
        <c:lblOffset val="100"/>
        <c:noMultiLvlLbl val="0"/>
      </c:catAx>
      <c:valAx>
        <c:axId val="1763611056"/>
        <c:scaling>
          <c:orientation val="minMax"/>
          <c:max val="15"/>
          <c:min val="-2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763590384"/>
        <c:crosses val="autoZero"/>
        <c:crossBetween val="between"/>
        <c:majorUnit val="5"/>
      </c:valAx>
      <c:spPr>
        <a:noFill/>
        <a:ln>
          <a:noFill/>
        </a:ln>
        <a:effectLst/>
      </c:spPr>
    </c:plotArea>
    <c:legend>
      <c:legendPos val="b"/>
      <c:layout>
        <c:manualLayout>
          <c:xMode val="edge"/>
          <c:yMode val="edge"/>
          <c:x val="1.14209682123068E-3"/>
          <c:y val="0.85112691558716447"/>
          <c:w val="0.99885790317876932"/>
          <c:h val="0.1488730844128355"/>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7937445319335081E-2"/>
          <c:y val="5.0925925925925923E-2"/>
          <c:w val="0.92150699912510936"/>
          <c:h val="0.70304067460317465"/>
        </c:manualLayout>
      </c:layout>
      <c:barChart>
        <c:barDir val="col"/>
        <c:grouping val="clustered"/>
        <c:varyColors val="0"/>
        <c:ser>
          <c:idx val="0"/>
          <c:order val="0"/>
          <c:tx>
            <c:strRef>
              <c:f>'Def. tek. racuna i SDI'!$B$8</c:f>
              <c:strCache>
                <c:ptCount val="1"/>
                <c:pt idx="0">
                  <c:v>Дефицит текућег рачуна, % БДП</c:v>
                </c:pt>
              </c:strCache>
            </c:strRef>
          </c:tx>
          <c:spPr>
            <a:solidFill>
              <a:srgbClr val="29489A"/>
            </a:solidFill>
            <a:ln>
              <a:noFill/>
            </a:ln>
            <a:effectLst/>
          </c:spPr>
          <c:invertIfNegative val="0"/>
          <c:cat>
            <c:numRef>
              <c:f>'Def. tek. racuna i SDI'!$E$7:$L$7</c:f>
              <c:numCache>
                <c:formatCode>General</c:formatCode>
                <c:ptCount val="8"/>
                <c:pt idx="0">
                  <c:v>2017</c:v>
                </c:pt>
                <c:pt idx="1">
                  <c:v>2018</c:v>
                </c:pt>
                <c:pt idx="2">
                  <c:v>2019</c:v>
                </c:pt>
                <c:pt idx="3">
                  <c:v>2020</c:v>
                </c:pt>
                <c:pt idx="4">
                  <c:v>2021</c:v>
                </c:pt>
                <c:pt idx="5">
                  <c:v>2022</c:v>
                </c:pt>
                <c:pt idx="6">
                  <c:v>2023</c:v>
                </c:pt>
                <c:pt idx="7">
                  <c:v>2024</c:v>
                </c:pt>
              </c:numCache>
            </c:numRef>
          </c:cat>
          <c:val>
            <c:numRef>
              <c:f>'Def. tek. racuna i SDI'!$E$8:$L$8</c:f>
              <c:numCache>
                <c:formatCode>0.0</c:formatCode>
                <c:ptCount val="8"/>
                <c:pt idx="0">
                  <c:v>5.2269704404684463</c:v>
                </c:pt>
                <c:pt idx="1">
                  <c:v>4.8403457796066034</c:v>
                </c:pt>
                <c:pt idx="2">
                  <c:v>6.8759515109891467</c:v>
                </c:pt>
                <c:pt idx="3">
                  <c:v>4.2642131873905909</c:v>
                </c:pt>
                <c:pt idx="4">
                  <c:v>5.554650272081699</c:v>
                </c:pt>
                <c:pt idx="5">
                  <c:v>5.2735260062241638</c:v>
                </c:pt>
                <c:pt idx="6">
                  <c:v>4.9319859772963852</c:v>
                </c:pt>
                <c:pt idx="7">
                  <c:v>4.3910131564248509</c:v>
                </c:pt>
              </c:numCache>
            </c:numRef>
          </c:val>
          <c:extLst>
            <c:ext xmlns:c16="http://schemas.microsoft.com/office/drawing/2014/chart" uri="{C3380CC4-5D6E-409C-BE32-E72D297353CC}">
              <c16:uniqueId val="{00000000-FBDE-4199-A4D6-88EF37525D67}"/>
            </c:ext>
          </c:extLst>
        </c:ser>
        <c:ser>
          <c:idx val="1"/>
          <c:order val="1"/>
          <c:tx>
            <c:strRef>
              <c:f>'Def. tek. racuna i SDI'!$B$9</c:f>
              <c:strCache>
                <c:ptCount val="1"/>
                <c:pt idx="0">
                  <c:v>Стране директне инвестиције, нето, % БДП</c:v>
                </c:pt>
              </c:strCache>
            </c:strRef>
          </c:tx>
          <c:spPr>
            <a:solidFill>
              <a:srgbClr val="51BBE7"/>
            </a:solidFill>
            <a:ln>
              <a:noFill/>
            </a:ln>
            <a:effectLst/>
          </c:spPr>
          <c:invertIfNegative val="0"/>
          <c:cat>
            <c:numRef>
              <c:f>'Def. tek. racuna i SDI'!$E$7:$L$7</c:f>
              <c:numCache>
                <c:formatCode>General</c:formatCode>
                <c:ptCount val="8"/>
                <c:pt idx="0">
                  <c:v>2017</c:v>
                </c:pt>
                <c:pt idx="1">
                  <c:v>2018</c:v>
                </c:pt>
                <c:pt idx="2">
                  <c:v>2019</c:v>
                </c:pt>
                <c:pt idx="3">
                  <c:v>2020</c:v>
                </c:pt>
                <c:pt idx="4">
                  <c:v>2021</c:v>
                </c:pt>
                <c:pt idx="5">
                  <c:v>2022</c:v>
                </c:pt>
                <c:pt idx="6">
                  <c:v>2023</c:v>
                </c:pt>
                <c:pt idx="7">
                  <c:v>2024</c:v>
                </c:pt>
              </c:numCache>
            </c:numRef>
          </c:cat>
          <c:val>
            <c:numRef>
              <c:f>'Def. tek. racuna i SDI'!$E$9:$L$9</c:f>
              <c:numCache>
                <c:formatCode>0.0</c:formatCode>
                <c:ptCount val="8"/>
                <c:pt idx="0">
                  <c:v>6.1631165965351746</c:v>
                </c:pt>
                <c:pt idx="1">
                  <c:v>7.3591834087842951</c:v>
                </c:pt>
                <c:pt idx="2">
                  <c:v>7.7247302461043192</c:v>
                </c:pt>
                <c:pt idx="3">
                  <c:v>6.2458063629316731</c:v>
                </c:pt>
                <c:pt idx="4">
                  <c:v>6.1101152992898671</c:v>
                </c:pt>
                <c:pt idx="5">
                  <c:v>6.4329537097202545</c:v>
                </c:pt>
                <c:pt idx="6">
                  <c:v>6.1649824716204833</c:v>
                </c:pt>
                <c:pt idx="7">
                  <c:v>5.7083171033523001</c:v>
                </c:pt>
              </c:numCache>
            </c:numRef>
          </c:val>
          <c:extLst>
            <c:ext xmlns:c16="http://schemas.microsoft.com/office/drawing/2014/chart" uri="{C3380CC4-5D6E-409C-BE32-E72D297353CC}">
              <c16:uniqueId val="{00000001-FBDE-4199-A4D6-88EF37525D67}"/>
            </c:ext>
          </c:extLst>
        </c:ser>
        <c:dLbls>
          <c:showLegendKey val="0"/>
          <c:showVal val="0"/>
          <c:showCatName val="0"/>
          <c:showSerName val="0"/>
          <c:showPercent val="0"/>
          <c:showBubbleSize val="0"/>
        </c:dLbls>
        <c:gapWidth val="80"/>
        <c:overlap val="-11"/>
        <c:axId val="1839176496"/>
        <c:axId val="1839185744"/>
      </c:barChart>
      <c:catAx>
        <c:axId val="1839176496"/>
        <c:scaling>
          <c:orientation val="minMax"/>
        </c:scaling>
        <c:delete val="0"/>
        <c:axPos val="b"/>
        <c:numFmt formatCode="General" sourceLinked="1"/>
        <c:majorTickMark val="none"/>
        <c:minorTickMark val="none"/>
        <c:tickLblPos val="nextTo"/>
        <c:spPr>
          <a:noFill/>
          <a:ln w="6350" cap="flat" cmpd="sng" algn="ctr">
            <a:solidFill>
              <a:srgbClr val="898989"/>
            </a:solid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85744"/>
        <c:crosses val="autoZero"/>
        <c:auto val="1"/>
        <c:lblAlgn val="ctr"/>
        <c:lblOffset val="100"/>
        <c:noMultiLvlLbl val="0"/>
      </c:catAx>
      <c:valAx>
        <c:axId val="1839185744"/>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1839176496"/>
        <c:crosses val="autoZero"/>
        <c:crossBetween val="between"/>
      </c:valAx>
      <c:spPr>
        <a:noFill/>
        <a:ln>
          <a:noFill/>
        </a:ln>
        <a:effectLst/>
      </c:spPr>
    </c:plotArea>
    <c:legend>
      <c:legendPos val="b"/>
      <c:layout>
        <c:manualLayout>
          <c:xMode val="edge"/>
          <c:yMode val="edge"/>
          <c:x val="1.0742927967337418E-2"/>
          <c:y val="0.86493849206349194"/>
          <c:w val="0.97274511918886852"/>
          <c:h val="0.12246209515072751"/>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userShapes r:id="rId5"/>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4217259528330458E-2"/>
          <c:y val="6.7551982074010614E-2"/>
          <c:w val="0.91156548094333911"/>
          <c:h val="0.82429264255212753"/>
        </c:manualLayout>
      </c:layout>
      <c:areaChart>
        <c:grouping val="stacked"/>
        <c:varyColors val="0"/>
        <c:ser>
          <c:idx val="0"/>
          <c:order val="1"/>
          <c:tx>
            <c:strRef>
              <c:f>'fan chart srbija'!$G$4</c:f>
              <c:strCache>
                <c:ptCount val="1"/>
                <c:pt idx="0">
                  <c:v>dno</c:v>
                </c:pt>
              </c:strCache>
            </c:strRef>
          </c:tx>
          <c:spPr>
            <a:noFill/>
          </c:spPr>
          <c:cat>
            <c:strRef>
              <c:f>'fan chart srbija'!$E$7:$E$13</c:f>
              <c:strCache>
                <c:ptCount val="7"/>
                <c:pt idx="0">
                  <c:v>2018</c:v>
                </c:pt>
                <c:pt idx="1">
                  <c:v>2019</c:v>
                </c:pt>
                <c:pt idx="2">
                  <c:v>2020</c:v>
                </c:pt>
                <c:pt idx="3">
                  <c:v>2021</c:v>
                </c:pt>
                <c:pt idx="4">
                  <c:v>2022</c:v>
                </c:pt>
                <c:pt idx="5">
                  <c:v>2023</c:v>
                </c:pt>
                <c:pt idx="6">
                  <c:v>2024</c:v>
                </c:pt>
              </c:strCache>
            </c:strRef>
          </c:cat>
          <c:val>
            <c:numRef>
              <c:f>'fan chart srbija'!$G$7:$G$13</c:f>
              <c:numCache>
                <c:formatCode>0.0</c:formatCode>
                <c:ptCount val="7"/>
                <c:pt idx="0">
                  <c:v>4.5</c:v>
                </c:pt>
                <c:pt idx="1">
                  <c:v>4.2</c:v>
                </c:pt>
                <c:pt idx="2">
                  <c:v>-1</c:v>
                </c:pt>
                <c:pt idx="3">
                  <c:v>3.5</c:v>
                </c:pt>
                <c:pt idx="4">
                  <c:v>2.5</c:v>
                </c:pt>
                <c:pt idx="5">
                  <c:v>3</c:v>
                </c:pt>
                <c:pt idx="6">
                  <c:v>3</c:v>
                </c:pt>
              </c:numCache>
            </c:numRef>
          </c:val>
          <c:extLst>
            <c:ext xmlns:c16="http://schemas.microsoft.com/office/drawing/2014/chart" uri="{C3380CC4-5D6E-409C-BE32-E72D297353CC}">
              <c16:uniqueId val="{00000000-4DF4-4EC9-9431-0B26B9840860}"/>
            </c:ext>
          </c:extLst>
        </c:ser>
        <c:ser>
          <c:idx val="2"/>
          <c:order val="2"/>
          <c:tx>
            <c:strRef>
              <c:f>'fan chart srbija'!$H$4</c:f>
              <c:strCache>
                <c:ptCount val="1"/>
                <c:pt idx="0">
                  <c:v>90</c:v>
                </c:pt>
              </c:strCache>
            </c:strRef>
          </c:tx>
          <c:spPr>
            <a:solidFill>
              <a:srgbClr val="FFF1F1"/>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srbija'!$H$7:$H$13</c:f>
              <c:numCache>
                <c:formatCode>0.0</c:formatCode>
                <c:ptCount val="7"/>
                <c:pt idx="0">
                  <c:v>0</c:v>
                </c:pt>
                <c:pt idx="1">
                  <c:v>0</c:v>
                </c:pt>
                <c:pt idx="2">
                  <c:v>0</c:v>
                </c:pt>
                <c:pt idx="3">
                  <c:v>0.3</c:v>
                </c:pt>
                <c:pt idx="4">
                  <c:v>0.2</c:v>
                </c:pt>
                <c:pt idx="5">
                  <c:v>0.2</c:v>
                </c:pt>
                <c:pt idx="6">
                  <c:v>0.2</c:v>
                </c:pt>
              </c:numCache>
            </c:numRef>
          </c:val>
          <c:extLst>
            <c:ext xmlns:c16="http://schemas.microsoft.com/office/drawing/2014/chart" uri="{C3380CC4-5D6E-409C-BE32-E72D297353CC}">
              <c16:uniqueId val="{00000001-4DF4-4EC9-9431-0B26B9840860}"/>
            </c:ext>
          </c:extLst>
        </c:ser>
        <c:ser>
          <c:idx val="3"/>
          <c:order val="3"/>
          <c:tx>
            <c:strRef>
              <c:f>'fan chart srbija'!$I$4</c:f>
              <c:strCache>
                <c:ptCount val="1"/>
                <c:pt idx="0">
                  <c:v>80</c:v>
                </c:pt>
              </c:strCache>
            </c:strRef>
          </c:tx>
          <c:spPr>
            <a:solidFill>
              <a:srgbClr val="FFD5D5"/>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srbija'!$I$7:$I$13</c:f>
              <c:numCache>
                <c:formatCode>0.0</c:formatCode>
                <c:ptCount val="7"/>
                <c:pt idx="0">
                  <c:v>0</c:v>
                </c:pt>
                <c:pt idx="1">
                  <c:v>0</c:v>
                </c:pt>
                <c:pt idx="2">
                  <c:v>0</c:v>
                </c:pt>
                <c:pt idx="3">
                  <c:v>0.3</c:v>
                </c:pt>
                <c:pt idx="4">
                  <c:v>0.2</c:v>
                </c:pt>
                <c:pt idx="5">
                  <c:v>0.1</c:v>
                </c:pt>
                <c:pt idx="6">
                  <c:v>0.1</c:v>
                </c:pt>
              </c:numCache>
            </c:numRef>
          </c:val>
          <c:extLst>
            <c:ext xmlns:c16="http://schemas.microsoft.com/office/drawing/2014/chart" uri="{C3380CC4-5D6E-409C-BE32-E72D297353CC}">
              <c16:uniqueId val="{00000002-4DF4-4EC9-9431-0B26B9840860}"/>
            </c:ext>
          </c:extLst>
        </c:ser>
        <c:ser>
          <c:idx val="4"/>
          <c:order val="4"/>
          <c:tx>
            <c:strRef>
              <c:f>'fan chart srbija'!$J$4</c:f>
              <c:strCache>
                <c:ptCount val="1"/>
                <c:pt idx="0">
                  <c:v>70</c:v>
                </c:pt>
              </c:strCache>
            </c:strRef>
          </c:tx>
          <c:spPr>
            <a:solidFill>
              <a:srgbClr val="FFAFAF"/>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srbija'!$J$7:$J$13</c:f>
              <c:numCache>
                <c:formatCode>0.0</c:formatCode>
                <c:ptCount val="7"/>
                <c:pt idx="0">
                  <c:v>0</c:v>
                </c:pt>
                <c:pt idx="1">
                  <c:v>0</c:v>
                </c:pt>
                <c:pt idx="2">
                  <c:v>0</c:v>
                </c:pt>
                <c:pt idx="3">
                  <c:v>0.3</c:v>
                </c:pt>
                <c:pt idx="4">
                  <c:v>0.2</c:v>
                </c:pt>
                <c:pt idx="5">
                  <c:v>0.1</c:v>
                </c:pt>
                <c:pt idx="6">
                  <c:v>0.1</c:v>
                </c:pt>
              </c:numCache>
            </c:numRef>
          </c:val>
          <c:extLst>
            <c:ext xmlns:c16="http://schemas.microsoft.com/office/drawing/2014/chart" uri="{C3380CC4-5D6E-409C-BE32-E72D297353CC}">
              <c16:uniqueId val="{00000003-4DF4-4EC9-9431-0B26B9840860}"/>
            </c:ext>
          </c:extLst>
        </c:ser>
        <c:ser>
          <c:idx val="5"/>
          <c:order val="5"/>
          <c:tx>
            <c:strRef>
              <c:f>'fan chart srbija'!$K$4</c:f>
              <c:strCache>
                <c:ptCount val="1"/>
                <c:pt idx="0">
                  <c:v>60</c:v>
                </c:pt>
              </c:strCache>
            </c:strRef>
          </c:tx>
          <c:spPr>
            <a:solidFill>
              <a:srgbClr val="FF7D7D"/>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srbija'!$K$7:$K$13</c:f>
              <c:numCache>
                <c:formatCode>0.0</c:formatCode>
                <c:ptCount val="7"/>
                <c:pt idx="0">
                  <c:v>0</c:v>
                </c:pt>
                <c:pt idx="1">
                  <c:v>0</c:v>
                </c:pt>
                <c:pt idx="2">
                  <c:v>0</c:v>
                </c:pt>
                <c:pt idx="3">
                  <c:v>0.3</c:v>
                </c:pt>
                <c:pt idx="4">
                  <c:v>0.2</c:v>
                </c:pt>
                <c:pt idx="5">
                  <c:v>0.1</c:v>
                </c:pt>
                <c:pt idx="6">
                  <c:v>0.1</c:v>
                </c:pt>
              </c:numCache>
            </c:numRef>
          </c:val>
          <c:extLst>
            <c:ext xmlns:c16="http://schemas.microsoft.com/office/drawing/2014/chart" uri="{C3380CC4-5D6E-409C-BE32-E72D297353CC}">
              <c16:uniqueId val="{00000004-4DF4-4EC9-9431-0B26B9840860}"/>
            </c:ext>
          </c:extLst>
        </c:ser>
        <c:ser>
          <c:idx val="6"/>
          <c:order val="6"/>
          <c:tx>
            <c:strRef>
              <c:f>'fan chart srbija'!$L$4</c:f>
              <c:strCache>
                <c:ptCount val="1"/>
                <c:pt idx="0">
                  <c:v>50</c:v>
                </c:pt>
              </c:strCache>
            </c:strRef>
          </c:tx>
          <c:spPr>
            <a:solidFill>
              <a:srgbClr val="FF4747"/>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srbija'!$L$7:$L$13</c:f>
              <c:numCache>
                <c:formatCode>0.0</c:formatCode>
                <c:ptCount val="7"/>
                <c:pt idx="0">
                  <c:v>0</c:v>
                </c:pt>
                <c:pt idx="1">
                  <c:v>0</c:v>
                </c:pt>
                <c:pt idx="2">
                  <c:v>0</c:v>
                </c:pt>
                <c:pt idx="3">
                  <c:v>0.3</c:v>
                </c:pt>
                <c:pt idx="4">
                  <c:v>0.1</c:v>
                </c:pt>
                <c:pt idx="5">
                  <c:v>0.2</c:v>
                </c:pt>
                <c:pt idx="6">
                  <c:v>0.1</c:v>
                </c:pt>
              </c:numCache>
            </c:numRef>
          </c:val>
          <c:extLst>
            <c:ext xmlns:c16="http://schemas.microsoft.com/office/drawing/2014/chart" uri="{C3380CC4-5D6E-409C-BE32-E72D297353CC}">
              <c16:uniqueId val="{00000005-4DF4-4EC9-9431-0B26B9840860}"/>
            </c:ext>
          </c:extLst>
        </c:ser>
        <c:ser>
          <c:idx val="7"/>
          <c:order val="7"/>
          <c:tx>
            <c:strRef>
              <c:f>'fan chart srbija'!$M$4</c:f>
              <c:strCache>
                <c:ptCount val="1"/>
                <c:pt idx="0">
                  <c:v>40</c:v>
                </c:pt>
              </c:strCache>
            </c:strRef>
          </c:tx>
          <c:spPr>
            <a:solidFill>
              <a:srgbClr val="C0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srbija'!$M$7:$M$13</c:f>
              <c:numCache>
                <c:formatCode>0.0</c:formatCode>
                <c:ptCount val="7"/>
                <c:pt idx="0">
                  <c:v>0</c:v>
                </c:pt>
                <c:pt idx="1">
                  <c:v>0</c:v>
                </c:pt>
                <c:pt idx="2">
                  <c:v>0</c:v>
                </c:pt>
                <c:pt idx="3">
                  <c:v>0.2</c:v>
                </c:pt>
                <c:pt idx="4">
                  <c:v>0.1</c:v>
                </c:pt>
                <c:pt idx="5">
                  <c:v>0.2</c:v>
                </c:pt>
                <c:pt idx="6">
                  <c:v>0.1</c:v>
                </c:pt>
              </c:numCache>
            </c:numRef>
          </c:val>
          <c:extLst>
            <c:ext xmlns:c16="http://schemas.microsoft.com/office/drawing/2014/chart" uri="{C3380CC4-5D6E-409C-BE32-E72D297353CC}">
              <c16:uniqueId val="{00000006-4DF4-4EC9-9431-0B26B9840860}"/>
            </c:ext>
          </c:extLst>
        </c:ser>
        <c:ser>
          <c:idx val="8"/>
          <c:order val="8"/>
          <c:tx>
            <c:strRef>
              <c:f>'fan chart srbija'!$N$4</c:f>
              <c:strCache>
                <c:ptCount val="1"/>
                <c:pt idx="0">
                  <c:v>30</c:v>
                </c:pt>
              </c:strCache>
            </c:strRef>
          </c:tx>
          <c:spPr>
            <a:solidFill>
              <a:srgbClr val="7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srbija'!$N$7:$N$13</c:f>
              <c:numCache>
                <c:formatCode>0.0</c:formatCode>
                <c:ptCount val="7"/>
                <c:pt idx="0">
                  <c:v>0</c:v>
                </c:pt>
                <c:pt idx="1">
                  <c:v>0</c:v>
                </c:pt>
                <c:pt idx="2">
                  <c:v>0</c:v>
                </c:pt>
                <c:pt idx="3">
                  <c:v>0.2</c:v>
                </c:pt>
                <c:pt idx="4">
                  <c:v>0.14755070574747364</c:v>
                </c:pt>
                <c:pt idx="5">
                  <c:v>0.1</c:v>
                </c:pt>
                <c:pt idx="6">
                  <c:v>0.1</c:v>
                </c:pt>
              </c:numCache>
            </c:numRef>
          </c:val>
          <c:extLst>
            <c:ext xmlns:c16="http://schemas.microsoft.com/office/drawing/2014/chart" uri="{C3380CC4-5D6E-409C-BE32-E72D297353CC}">
              <c16:uniqueId val="{00000007-4DF4-4EC9-9431-0B26B9840860}"/>
            </c:ext>
          </c:extLst>
        </c:ser>
        <c:ser>
          <c:idx val="9"/>
          <c:order val="9"/>
          <c:tx>
            <c:strRef>
              <c:f>'fan chart srbija'!$O$4</c:f>
              <c:strCache>
                <c:ptCount val="1"/>
                <c:pt idx="0">
                  <c:v>20</c:v>
                </c:pt>
              </c:strCache>
            </c:strRef>
          </c:tx>
          <c:spPr>
            <a:solidFill>
              <a:srgbClr val="46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srbija'!$O$7:$O$13</c:f>
              <c:numCache>
                <c:formatCode>0.0</c:formatCode>
                <c:ptCount val="7"/>
                <c:pt idx="0">
                  <c:v>0</c:v>
                </c:pt>
                <c:pt idx="1">
                  <c:v>0</c:v>
                </c:pt>
                <c:pt idx="2">
                  <c:v>0</c:v>
                </c:pt>
                <c:pt idx="3">
                  <c:v>0.3</c:v>
                </c:pt>
                <c:pt idx="4">
                  <c:v>0.14275701540108665</c:v>
                </c:pt>
                <c:pt idx="5">
                  <c:v>0.1</c:v>
                </c:pt>
                <c:pt idx="6">
                  <c:v>0.1</c:v>
                </c:pt>
              </c:numCache>
            </c:numRef>
          </c:val>
          <c:extLst>
            <c:ext xmlns:c16="http://schemas.microsoft.com/office/drawing/2014/chart" uri="{C3380CC4-5D6E-409C-BE32-E72D297353CC}">
              <c16:uniqueId val="{00000008-4DF4-4EC9-9431-0B26B9840860}"/>
            </c:ext>
          </c:extLst>
        </c:ser>
        <c:ser>
          <c:idx val="10"/>
          <c:order val="10"/>
          <c:tx>
            <c:strRef>
              <c:f>'fan chart srbija'!$P$4</c:f>
              <c:strCache>
                <c:ptCount val="1"/>
                <c:pt idx="0">
                  <c:v>10</c:v>
                </c:pt>
              </c:strCache>
            </c:strRef>
          </c:tx>
          <c:spPr>
            <a:solidFill>
              <a:srgbClr val="1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srbija'!$P$7:$P$13</c:f>
              <c:numCache>
                <c:formatCode>0.0</c:formatCode>
                <c:ptCount val="7"/>
                <c:pt idx="0">
                  <c:v>0</c:v>
                </c:pt>
                <c:pt idx="1">
                  <c:v>0</c:v>
                </c:pt>
                <c:pt idx="2">
                  <c:v>0</c:v>
                </c:pt>
                <c:pt idx="3">
                  <c:v>0.3</c:v>
                </c:pt>
                <c:pt idx="4">
                  <c:v>0.14049365685606263</c:v>
                </c:pt>
                <c:pt idx="5">
                  <c:v>0.1</c:v>
                </c:pt>
                <c:pt idx="6">
                  <c:v>0.1</c:v>
                </c:pt>
              </c:numCache>
            </c:numRef>
          </c:val>
          <c:extLst>
            <c:ext xmlns:c16="http://schemas.microsoft.com/office/drawing/2014/chart" uri="{C3380CC4-5D6E-409C-BE32-E72D297353CC}">
              <c16:uniqueId val="{00000009-4DF4-4EC9-9431-0B26B9840860}"/>
            </c:ext>
          </c:extLst>
        </c:ser>
        <c:ser>
          <c:idx val="11"/>
          <c:order val="11"/>
          <c:tx>
            <c:strRef>
              <c:f>'fan chart srbija'!$Q$4</c:f>
              <c:strCache>
                <c:ptCount val="1"/>
                <c:pt idx="0">
                  <c:v>10</c:v>
                </c:pt>
              </c:strCache>
            </c:strRef>
          </c:tx>
          <c:spPr>
            <a:solidFill>
              <a:srgbClr val="1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srbija'!$Q$7:$Q$13</c:f>
              <c:numCache>
                <c:formatCode>0.0</c:formatCode>
                <c:ptCount val="7"/>
                <c:pt idx="0">
                  <c:v>0</c:v>
                </c:pt>
                <c:pt idx="1">
                  <c:v>0</c:v>
                </c:pt>
                <c:pt idx="2">
                  <c:v>0</c:v>
                </c:pt>
                <c:pt idx="3">
                  <c:v>0.2</c:v>
                </c:pt>
                <c:pt idx="4">
                  <c:v>0.14049365685606263</c:v>
                </c:pt>
                <c:pt idx="5">
                  <c:v>0.1</c:v>
                </c:pt>
                <c:pt idx="6">
                  <c:v>0.1</c:v>
                </c:pt>
              </c:numCache>
            </c:numRef>
          </c:val>
          <c:extLst>
            <c:ext xmlns:c16="http://schemas.microsoft.com/office/drawing/2014/chart" uri="{C3380CC4-5D6E-409C-BE32-E72D297353CC}">
              <c16:uniqueId val="{0000000A-4DF4-4EC9-9431-0B26B9840860}"/>
            </c:ext>
          </c:extLst>
        </c:ser>
        <c:ser>
          <c:idx val="12"/>
          <c:order val="12"/>
          <c:tx>
            <c:strRef>
              <c:f>'fan chart srbija'!$R$4</c:f>
              <c:strCache>
                <c:ptCount val="1"/>
                <c:pt idx="0">
                  <c:v>20</c:v>
                </c:pt>
              </c:strCache>
            </c:strRef>
          </c:tx>
          <c:spPr>
            <a:solidFill>
              <a:srgbClr val="46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srbija'!$R$7:$R$13</c:f>
              <c:numCache>
                <c:formatCode>0.0</c:formatCode>
                <c:ptCount val="7"/>
                <c:pt idx="0">
                  <c:v>0</c:v>
                </c:pt>
                <c:pt idx="1">
                  <c:v>0</c:v>
                </c:pt>
                <c:pt idx="2">
                  <c:v>0</c:v>
                </c:pt>
                <c:pt idx="3">
                  <c:v>0.2</c:v>
                </c:pt>
                <c:pt idx="4">
                  <c:v>0.14049365685606263</c:v>
                </c:pt>
                <c:pt idx="5">
                  <c:v>0.1</c:v>
                </c:pt>
                <c:pt idx="6">
                  <c:v>0.1</c:v>
                </c:pt>
              </c:numCache>
            </c:numRef>
          </c:val>
          <c:extLst>
            <c:ext xmlns:c16="http://schemas.microsoft.com/office/drawing/2014/chart" uri="{C3380CC4-5D6E-409C-BE32-E72D297353CC}">
              <c16:uniqueId val="{0000000B-4DF4-4EC9-9431-0B26B9840860}"/>
            </c:ext>
          </c:extLst>
        </c:ser>
        <c:ser>
          <c:idx val="13"/>
          <c:order val="13"/>
          <c:tx>
            <c:strRef>
              <c:f>'fan chart srbija'!$S$4</c:f>
              <c:strCache>
                <c:ptCount val="1"/>
                <c:pt idx="0">
                  <c:v>30</c:v>
                </c:pt>
              </c:strCache>
            </c:strRef>
          </c:tx>
          <c:spPr>
            <a:solidFill>
              <a:srgbClr val="74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srbija'!$S$7:$S$13</c:f>
              <c:numCache>
                <c:formatCode>0.0</c:formatCode>
                <c:ptCount val="7"/>
                <c:pt idx="0">
                  <c:v>0</c:v>
                </c:pt>
                <c:pt idx="1">
                  <c:v>0</c:v>
                </c:pt>
                <c:pt idx="2">
                  <c:v>0</c:v>
                </c:pt>
                <c:pt idx="3">
                  <c:v>0.2</c:v>
                </c:pt>
                <c:pt idx="4">
                  <c:v>0.14049365685606263</c:v>
                </c:pt>
                <c:pt idx="5">
                  <c:v>0.1</c:v>
                </c:pt>
                <c:pt idx="6">
                  <c:v>0.1</c:v>
                </c:pt>
              </c:numCache>
            </c:numRef>
          </c:val>
          <c:extLst>
            <c:ext xmlns:c16="http://schemas.microsoft.com/office/drawing/2014/chart" uri="{C3380CC4-5D6E-409C-BE32-E72D297353CC}">
              <c16:uniqueId val="{0000000C-4DF4-4EC9-9431-0B26B9840860}"/>
            </c:ext>
          </c:extLst>
        </c:ser>
        <c:ser>
          <c:idx val="14"/>
          <c:order val="14"/>
          <c:tx>
            <c:strRef>
              <c:f>'fan chart srbija'!$T$4</c:f>
              <c:strCache>
                <c:ptCount val="1"/>
                <c:pt idx="0">
                  <c:v>40</c:v>
                </c:pt>
              </c:strCache>
            </c:strRef>
          </c:tx>
          <c:spPr>
            <a:solidFill>
              <a:srgbClr val="C00000"/>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srbija'!$T$7:$T$13</c:f>
              <c:numCache>
                <c:formatCode>0.0</c:formatCode>
                <c:ptCount val="7"/>
                <c:pt idx="0">
                  <c:v>0</c:v>
                </c:pt>
                <c:pt idx="1">
                  <c:v>0</c:v>
                </c:pt>
                <c:pt idx="2">
                  <c:v>0</c:v>
                </c:pt>
                <c:pt idx="3">
                  <c:v>0.2</c:v>
                </c:pt>
                <c:pt idx="4">
                  <c:v>0.14049365685606263</c:v>
                </c:pt>
                <c:pt idx="5">
                  <c:v>0.1</c:v>
                </c:pt>
                <c:pt idx="6">
                  <c:v>0.1</c:v>
                </c:pt>
              </c:numCache>
            </c:numRef>
          </c:val>
          <c:extLst>
            <c:ext xmlns:c16="http://schemas.microsoft.com/office/drawing/2014/chart" uri="{C3380CC4-5D6E-409C-BE32-E72D297353CC}">
              <c16:uniqueId val="{0000000D-4DF4-4EC9-9431-0B26B9840860}"/>
            </c:ext>
          </c:extLst>
        </c:ser>
        <c:ser>
          <c:idx val="15"/>
          <c:order val="15"/>
          <c:tx>
            <c:strRef>
              <c:f>'fan chart srbija'!$U$4</c:f>
              <c:strCache>
                <c:ptCount val="1"/>
                <c:pt idx="0">
                  <c:v>50</c:v>
                </c:pt>
              </c:strCache>
            </c:strRef>
          </c:tx>
          <c:spPr>
            <a:solidFill>
              <a:srgbClr val="FF4747"/>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srbija'!$U$7:$U$13</c:f>
              <c:numCache>
                <c:formatCode>0.0</c:formatCode>
                <c:ptCount val="7"/>
                <c:pt idx="0">
                  <c:v>0</c:v>
                </c:pt>
                <c:pt idx="1">
                  <c:v>0</c:v>
                </c:pt>
                <c:pt idx="2">
                  <c:v>0</c:v>
                </c:pt>
                <c:pt idx="3">
                  <c:v>0.2</c:v>
                </c:pt>
                <c:pt idx="4">
                  <c:v>0.14049365685606263</c:v>
                </c:pt>
                <c:pt idx="5">
                  <c:v>0.1</c:v>
                </c:pt>
                <c:pt idx="6">
                  <c:v>0.1</c:v>
                </c:pt>
              </c:numCache>
            </c:numRef>
          </c:val>
          <c:extLst>
            <c:ext xmlns:c16="http://schemas.microsoft.com/office/drawing/2014/chart" uri="{C3380CC4-5D6E-409C-BE32-E72D297353CC}">
              <c16:uniqueId val="{0000000E-4DF4-4EC9-9431-0B26B9840860}"/>
            </c:ext>
          </c:extLst>
        </c:ser>
        <c:ser>
          <c:idx val="16"/>
          <c:order val="16"/>
          <c:tx>
            <c:strRef>
              <c:f>'fan chart srbija'!$V$4</c:f>
              <c:strCache>
                <c:ptCount val="1"/>
                <c:pt idx="0">
                  <c:v>60</c:v>
                </c:pt>
              </c:strCache>
            </c:strRef>
          </c:tx>
          <c:spPr>
            <a:solidFill>
              <a:srgbClr val="FF7D7D"/>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srbija'!$V$7:$V$13</c:f>
              <c:numCache>
                <c:formatCode>0.0</c:formatCode>
                <c:ptCount val="7"/>
                <c:pt idx="0">
                  <c:v>0</c:v>
                </c:pt>
                <c:pt idx="1">
                  <c:v>0</c:v>
                </c:pt>
                <c:pt idx="2">
                  <c:v>0</c:v>
                </c:pt>
                <c:pt idx="3">
                  <c:v>0.3</c:v>
                </c:pt>
                <c:pt idx="4">
                  <c:v>0.18685867900548692</c:v>
                </c:pt>
                <c:pt idx="5">
                  <c:v>0.1</c:v>
                </c:pt>
                <c:pt idx="6">
                  <c:v>0.1</c:v>
                </c:pt>
              </c:numCache>
            </c:numRef>
          </c:val>
          <c:extLst>
            <c:ext xmlns:c16="http://schemas.microsoft.com/office/drawing/2014/chart" uri="{C3380CC4-5D6E-409C-BE32-E72D297353CC}">
              <c16:uniqueId val="{0000000F-4DF4-4EC9-9431-0B26B9840860}"/>
            </c:ext>
          </c:extLst>
        </c:ser>
        <c:ser>
          <c:idx val="17"/>
          <c:order val="17"/>
          <c:tx>
            <c:strRef>
              <c:f>'fan chart srbija'!$W$4</c:f>
              <c:strCache>
                <c:ptCount val="1"/>
                <c:pt idx="0">
                  <c:v>70</c:v>
                </c:pt>
              </c:strCache>
            </c:strRef>
          </c:tx>
          <c:spPr>
            <a:solidFill>
              <a:srgbClr val="FFAFAF"/>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srbija'!$W$7:$W$13</c:f>
              <c:numCache>
                <c:formatCode>0.0</c:formatCode>
                <c:ptCount val="7"/>
                <c:pt idx="0">
                  <c:v>0</c:v>
                </c:pt>
                <c:pt idx="1">
                  <c:v>0</c:v>
                </c:pt>
                <c:pt idx="2">
                  <c:v>0</c:v>
                </c:pt>
                <c:pt idx="3">
                  <c:v>0.3</c:v>
                </c:pt>
                <c:pt idx="4">
                  <c:v>0.21780661174118254</c:v>
                </c:pt>
                <c:pt idx="5">
                  <c:v>0.1</c:v>
                </c:pt>
                <c:pt idx="6">
                  <c:v>0.1</c:v>
                </c:pt>
              </c:numCache>
            </c:numRef>
          </c:val>
          <c:extLst>
            <c:ext xmlns:c16="http://schemas.microsoft.com/office/drawing/2014/chart" uri="{C3380CC4-5D6E-409C-BE32-E72D297353CC}">
              <c16:uniqueId val="{00000010-4DF4-4EC9-9431-0B26B9840860}"/>
            </c:ext>
          </c:extLst>
        </c:ser>
        <c:ser>
          <c:idx val="18"/>
          <c:order val="18"/>
          <c:tx>
            <c:strRef>
              <c:f>'fan chart srbija'!$X$4</c:f>
              <c:strCache>
                <c:ptCount val="1"/>
                <c:pt idx="0">
                  <c:v>80</c:v>
                </c:pt>
              </c:strCache>
            </c:strRef>
          </c:tx>
          <c:spPr>
            <a:solidFill>
              <a:srgbClr val="FFD5D5"/>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srbija'!$X$7:$X$13</c:f>
              <c:numCache>
                <c:formatCode>0.0</c:formatCode>
                <c:ptCount val="7"/>
                <c:pt idx="0">
                  <c:v>0</c:v>
                </c:pt>
                <c:pt idx="1">
                  <c:v>0</c:v>
                </c:pt>
                <c:pt idx="2">
                  <c:v>0</c:v>
                </c:pt>
                <c:pt idx="3">
                  <c:v>0.4</c:v>
                </c:pt>
                <c:pt idx="4">
                  <c:v>0.27405045208518697</c:v>
                </c:pt>
                <c:pt idx="5">
                  <c:v>0.1</c:v>
                </c:pt>
                <c:pt idx="6">
                  <c:v>0.1</c:v>
                </c:pt>
              </c:numCache>
            </c:numRef>
          </c:val>
          <c:extLst>
            <c:ext xmlns:c16="http://schemas.microsoft.com/office/drawing/2014/chart" uri="{C3380CC4-5D6E-409C-BE32-E72D297353CC}">
              <c16:uniqueId val="{00000011-4DF4-4EC9-9431-0B26B9840860}"/>
            </c:ext>
          </c:extLst>
        </c:ser>
        <c:ser>
          <c:idx val="19"/>
          <c:order val="19"/>
          <c:tx>
            <c:strRef>
              <c:f>'fan chart srbija'!$Y$4</c:f>
              <c:strCache>
                <c:ptCount val="1"/>
                <c:pt idx="0">
                  <c:v>90</c:v>
                </c:pt>
              </c:strCache>
            </c:strRef>
          </c:tx>
          <c:spPr>
            <a:solidFill>
              <a:srgbClr val="FFF1F1"/>
            </a:solidFill>
            <a:ln w="25400">
              <a:noFill/>
            </a:ln>
          </c:spPr>
          <c:cat>
            <c:strRef>
              <c:f>'fan chart srbija'!$E$7:$E$13</c:f>
              <c:strCache>
                <c:ptCount val="7"/>
                <c:pt idx="0">
                  <c:v>2018</c:v>
                </c:pt>
                <c:pt idx="1">
                  <c:v>2019</c:v>
                </c:pt>
                <c:pt idx="2">
                  <c:v>2020</c:v>
                </c:pt>
                <c:pt idx="3">
                  <c:v>2021</c:v>
                </c:pt>
                <c:pt idx="4">
                  <c:v>2022</c:v>
                </c:pt>
                <c:pt idx="5">
                  <c:v>2023</c:v>
                </c:pt>
                <c:pt idx="6">
                  <c:v>2024</c:v>
                </c:pt>
              </c:strCache>
            </c:strRef>
          </c:cat>
          <c:val>
            <c:numRef>
              <c:f>'fan chart srbija'!$Y$7:$Y$13</c:f>
              <c:numCache>
                <c:formatCode>0.0</c:formatCode>
                <c:ptCount val="7"/>
                <c:pt idx="0">
                  <c:v>0</c:v>
                </c:pt>
                <c:pt idx="1">
                  <c:v>0</c:v>
                </c:pt>
                <c:pt idx="2">
                  <c:v>0</c:v>
                </c:pt>
                <c:pt idx="3">
                  <c:v>0.4</c:v>
                </c:pt>
                <c:pt idx="4">
                  <c:v>0.3</c:v>
                </c:pt>
                <c:pt idx="5">
                  <c:v>0.2</c:v>
                </c:pt>
                <c:pt idx="6">
                  <c:v>0.2</c:v>
                </c:pt>
              </c:numCache>
            </c:numRef>
          </c:val>
          <c:extLst>
            <c:ext xmlns:c16="http://schemas.microsoft.com/office/drawing/2014/chart" uri="{C3380CC4-5D6E-409C-BE32-E72D297353CC}">
              <c16:uniqueId val="{00000012-4DF4-4EC9-9431-0B26B9840860}"/>
            </c:ext>
          </c:extLst>
        </c:ser>
        <c:dLbls>
          <c:showLegendKey val="0"/>
          <c:showVal val="0"/>
          <c:showCatName val="0"/>
          <c:showSerName val="0"/>
          <c:showPercent val="0"/>
          <c:showBubbleSize val="0"/>
        </c:dLbls>
        <c:axId val="1761020848"/>
        <c:axId val="1761011056"/>
      </c:areaChart>
      <c:lineChart>
        <c:grouping val="standard"/>
        <c:varyColors val="0"/>
        <c:ser>
          <c:idx val="1"/>
          <c:order val="0"/>
          <c:tx>
            <c:strRef>
              <c:f>'fan chart srbija'!$F$4</c:f>
              <c:strCache>
                <c:ptCount val="1"/>
                <c:pt idx="0">
                  <c:v>srednja</c:v>
                </c:pt>
              </c:strCache>
            </c:strRef>
          </c:tx>
          <c:spPr>
            <a:ln w="19050">
              <a:solidFill>
                <a:sysClr val="windowText" lastClr="000000"/>
              </a:solidFill>
            </a:ln>
          </c:spPr>
          <c:marker>
            <c:symbol val="none"/>
          </c:marker>
          <c:cat>
            <c:strRef>
              <c:f>'fan chart srbija'!$E$7:$E$13</c:f>
              <c:strCache>
                <c:ptCount val="7"/>
                <c:pt idx="0">
                  <c:v>2018</c:v>
                </c:pt>
                <c:pt idx="1">
                  <c:v>2019</c:v>
                </c:pt>
                <c:pt idx="2">
                  <c:v>2020</c:v>
                </c:pt>
                <c:pt idx="3">
                  <c:v>2021</c:v>
                </c:pt>
                <c:pt idx="4">
                  <c:v>2022</c:v>
                </c:pt>
                <c:pt idx="5">
                  <c:v>2023</c:v>
                </c:pt>
                <c:pt idx="6">
                  <c:v>2024</c:v>
                </c:pt>
              </c:strCache>
            </c:strRef>
          </c:cat>
          <c:val>
            <c:numRef>
              <c:f>'fan chart srbija'!$F$7:$F$13</c:f>
              <c:numCache>
                <c:formatCode>0.0</c:formatCode>
                <c:ptCount val="7"/>
                <c:pt idx="0">
                  <c:v>4.5</c:v>
                </c:pt>
                <c:pt idx="1">
                  <c:v>4.2</c:v>
                </c:pt>
                <c:pt idx="2">
                  <c:v>-1</c:v>
                </c:pt>
                <c:pt idx="3">
                  <c:v>6</c:v>
                </c:pt>
                <c:pt idx="4">
                  <c:v>4</c:v>
                </c:pt>
                <c:pt idx="5">
                  <c:v>4</c:v>
                </c:pt>
                <c:pt idx="6">
                  <c:v>4</c:v>
                </c:pt>
              </c:numCache>
            </c:numRef>
          </c:val>
          <c:smooth val="0"/>
          <c:extLst>
            <c:ext xmlns:c16="http://schemas.microsoft.com/office/drawing/2014/chart" uri="{C3380CC4-5D6E-409C-BE32-E72D297353CC}">
              <c16:uniqueId val="{00000013-4DF4-4EC9-9431-0B26B9840860}"/>
            </c:ext>
          </c:extLst>
        </c:ser>
        <c:dLbls>
          <c:showLegendKey val="0"/>
          <c:showVal val="0"/>
          <c:showCatName val="0"/>
          <c:showSerName val="0"/>
          <c:showPercent val="0"/>
          <c:showBubbleSize val="0"/>
        </c:dLbls>
        <c:marker val="1"/>
        <c:smooth val="0"/>
        <c:axId val="1761020848"/>
        <c:axId val="1761011056"/>
      </c:lineChart>
      <c:catAx>
        <c:axId val="1761020848"/>
        <c:scaling>
          <c:orientation val="minMax"/>
        </c:scaling>
        <c:delete val="0"/>
        <c:axPos val="b"/>
        <c:numFmt formatCode="General" sourceLinked="1"/>
        <c:majorTickMark val="none"/>
        <c:minorTickMark val="none"/>
        <c:tickLblPos val="low"/>
        <c:spPr>
          <a:ln w="6350">
            <a:solidFill>
              <a:srgbClr val="898989"/>
            </a:solidFill>
          </a:ln>
        </c:spPr>
        <c:txPr>
          <a:bodyPr rot="0" vert="horz"/>
          <a:lstStyle/>
          <a:p>
            <a:pPr>
              <a:defRPr/>
            </a:pPr>
            <a:endParaRPr lang="sr-Latn-RS"/>
          </a:p>
        </c:txPr>
        <c:crossAx val="1761011056"/>
        <c:crosses val="autoZero"/>
        <c:auto val="1"/>
        <c:lblAlgn val="ctr"/>
        <c:lblOffset val="100"/>
        <c:tickLblSkip val="1"/>
        <c:noMultiLvlLbl val="0"/>
      </c:catAx>
      <c:valAx>
        <c:axId val="1761011056"/>
        <c:scaling>
          <c:orientation val="minMax"/>
          <c:max val="9"/>
          <c:min val="-2"/>
        </c:scaling>
        <c:delete val="0"/>
        <c:axPos val="l"/>
        <c:numFmt formatCode="0" sourceLinked="0"/>
        <c:majorTickMark val="none"/>
        <c:minorTickMark val="none"/>
        <c:tickLblPos val="nextTo"/>
        <c:spPr>
          <a:ln w="12700">
            <a:noFill/>
          </a:ln>
        </c:spPr>
        <c:txPr>
          <a:bodyPr rot="0" vert="horz"/>
          <a:lstStyle/>
          <a:p>
            <a:pPr>
              <a:defRPr/>
            </a:pPr>
            <a:endParaRPr lang="sr-Latn-RS"/>
          </a:p>
        </c:txPr>
        <c:crossAx val="1761020848"/>
        <c:crosses val="autoZero"/>
        <c:crossBetween val="midCat"/>
        <c:majorUnit val="1"/>
      </c:valAx>
      <c:spPr>
        <a:noFill/>
        <a:ln>
          <a:noFill/>
        </a:ln>
      </c:spPr>
    </c:plotArea>
    <c:plotVisOnly val="1"/>
    <c:dispBlanksAs val="gap"/>
    <c:showDLblsOverMax val="0"/>
  </c:chart>
  <c:spPr>
    <a:noFill/>
    <a:ln w="9525">
      <a:noFill/>
    </a:ln>
  </c:spPr>
  <c:txPr>
    <a:bodyPr/>
    <a:lstStyle/>
    <a:p>
      <a:pPr>
        <a:defRPr sz="750" b="0" i="0" u="none" strike="noStrike" baseline="0">
          <a:solidFill>
            <a:schemeClr val="tx2"/>
          </a:solidFill>
          <a:latin typeface="+mn-lt"/>
          <a:ea typeface="Calibri"/>
          <a:cs typeface="Calibri"/>
        </a:defRPr>
      </a:pPr>
      <a:endParaRPr lang="sr-Latn-R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2394894894894895"/>
          <c:w val="0.91418918918918923"/>
          <c:h val="0.72349849849849845"/>
        </c:manualLayout>
      </c:layout>
      <c:barChart>
        <c:barDir val="col"/>
        <c:grouping val="clustered"/>
        <c:varyColors val="0"/>
        <c:ser>
          <c:idx val="0"/>
          <c:order val="0"/>
          <c:tx>
            <c:strRef>
              <c:f>'Osn. makroekon. agregati'!$B$5</c:f>
              <c:strCache>
                <c:ptCount val="1"/>
                <c:pt idx="0">
                  <c:v>Реални раст БДП, %</c:v>
                </c:pt>
              </c:strCache>
            </c:strRef>
          </c:tx>
          <c:spPr>
            <a:solidFill>
              <a:srgbClr val="00389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8F91-40B4-97F4-7B9428797955}"/>
              </c:ext>
            </c:extLst>
          </c:dPt>
          <c:dPt>
            <c:idx val="1"/>
            <c:invertIfNegative val="0"/>
            <c:bubble3D val="0"/>
            <c:spPr>
              <a:solidFill>
                <a:srgbClr val="ED1C24"/>
              </a:solidFill>
              <a:ln>
                <a:noFill/>
              </a:ln>
              <a:effectLst/>
            </c:spPr>
            <c:extLst>
              <c:ext xmlns:c16="http://schemas.microsoft.com/office/drawing/2014/chart" uri="{C3380CC4-5D6E-409C-BE32-E72D297353CC}">
                <c16:uniqueId val="{00000003-8F91-40B4-97F4-7B9428797955}"/>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8F91-40B4-97F4-7B9428797955}"/>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FF0000"/>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8F91-40B4-97F4-7B942879795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agregati'!$C$5,'Osn. makroekon. agregati'!$D$5)</c:f>
              <c:numCache>
                <c:formatCode>0.0</c:formatCode>
                <c:ptCount val="2"/>
                <c:pt idx="0">
                  <c:v>6</c:v>
                </c:pt>
                <c:pt idx="1">
                  <c:v>6</c:v>
                </c:pt>
              </c:numCache>
            </c:numRef>
          </c:val>
          <c:extLst>
            <c:ext xmlns:c16="http://schemas.microsoft.com/office/drawing/2014/chart" uri="{C3380CC4-5D6E-409C-BE32-E72D297353CC}">
              <c16:uniqueId val="{00000004-8F91-40B4-97F4-7B942879795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27340332458443"/>
          <c:y val="6.8420463835463186E-2"/>
          <c:w val="0.82069808982210557"/>
          <c:h val="0.65509286748992446"/>
        </c:manualLayout>
      </c:layout>
      <c:barChart>
        <c:barDir val="col"/>
        <c:grouping val="clustered"/>
        <c:varyColors val="0"/>
        <c:ser>
          <c:idx val="0"/>
          <c:order val="0"/>
          <c:tx>
            <c:v>Фискални резултат</c:v>
          </c:tx>
          <c:spPr>
            <a:solidFill>
              <a:schemeClr val="accent1">
                <a:shade val="76000"/>
              </a:schemeClr>
            </a:solidFill>
            <a:ln>
              <a:noFill/>
            </a:ln>
            <a:effectLst/>
          </c:spPr>
          <c:invertIfNegative val="0"/>
          <c:dLbls>
            <c:dLbl>
              <c:idx val="2"/>
              <c:layout>
                <c:manualLayout>
                  <c:x val="-1.3888888888888931E-2"/>
                  <c:y val="-4.7867158087594751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16-492B-92AC-EEECED774CB7}"/>
                </c:ext>
              </c:extLst>
            </c:dLbl>
            <c:dLbl>
              <c:idx val="3"/>
              <c:layout>
                <c:manualLayout>
                  <c:x val="-9.2592592592592587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16-492B-92AC-EEECED774CB7}"/>
                </c:ext>
              </c:extLst>
            </c:dLbl>
            <c:dLbl>
              <c:idx val="4"/>
              <c:layout>
                <c:manualLayout>
                  <c:x val="-9.2592592592593437E-3"/>
                  <c:y val="1.044386422976506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16-492B-92AC-EEECED774CB7}"/>
                </c:ext>
              </c:extLst>
            </c:dLbl>
            <c:numFmt formatCode="#,##0.0" sourceLinked="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'Quaterly, Yearly'!$CE$7:$CK$8</c:f>
              <c:strCache>
                <c:ptCount val="7"/>
                <c:pt idx="0">
                  <c:v>2015</c:v>
                </c:pt>
                <c:pt idx="1">
                  <c:v>2016</c:v>
                </c:pt>
                <c:pt idx="2">
                  <c:v>2017</c:v>
                </c:pt>
                <c:pt idx="3">
                  <c:v>2018</c:v>
                </c:pt>
                <c:pt idx="4">
                  <c:v>2019</c:v>
                </c:pt>
                <c:pt idx="5">
                  <c:v>2020</c:v>
                </c:pt>
                <c:pt idx="6">
                  <c:v>2021</c:v>
                </c:pt>
              </c:strCache>
            </c:strRef>
          </c:cat>
          <c:val>
            <c:numRef>
              <c:f>'Quaterly, Yearly'!$CE$78:$CK$78</c:f>
              <c:numCache>
                <c:formatCode>#,##0.00</c:formatCode>
                <c:ptCount val="7"/>
                <c:pt idx="0">
                  <c:v>-3.4561672728767112</c:v>
                </c:pt>
                <c:pt idx="1">
                  <c:v>-1.1926941660681765</c:v>
                </c:pt>
                <c:pt idx="2">
                  <c:v>1.0986349345465762</c:v>
                </c:pt>
                <c:pt idx="3">
                  <c:v>0.63523655395945411</c:v>
                </c:pt>
                <c:pt idx="4">
                  <c:v>-0.20513275318303217</c:v>
                </c:pt>
                <c:pt idx="5">
                  <c:v>-8.1043658748276464</c:v>
                </c:pt>
                <c:pt idx="6">
                  <c:v>-6.9</c:v>
                </c:pt>
              </c:numCache>
            </c:numRef>
          </c:val>
          <c:extLst>
            <c:ext xmlns:c16="http://schemas.microsoft.com/office/drawing/2014/chart" uri="{C3380CC4-5D6E-409C-BE32-E72D297353CC}">
              <c16:uniqueId val="{00000003-8116-492B-92AC-EEECED774CB7}"/>
            </c:ext>
          </c:extLst>
        </c:ser>
        <c:ser>
          <c:idx val="1"/>
          <c:order val="1"/>
          <c:tx>
            <c:v>Примарни фискални резултат</c:v>
          </c:tx>
          <c:spPr>
            <a:solidFill>
              <a:schemeClr val="accent1">
                <a:tint val="77000"/>
              </a:schemeClr>
            </a:solidFill>
            <a:ln>
              <a:noFill/>
            </a:ln>
            <a:effectLst/>
          </c:spPr>
          <c:invertIfNegative val="0"/>
          <c:dLbls>
            <c:dLbl>
              <c:idx val="0"/>
              <c:layout>
                <c:manualLayout>
                  <c:x val="6.6914552347623214E-3"/>
                  <c:y val="-6.345675458974939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16-492B-92AC-EEECED774CB7}"/>
                </c:ext>
              </c:extLst>
            </c:dLbl>
            <c:dLbl>
              <c:idx val="1"/>
              <c:layout>
                <c:manualLayout>
                  <c:x val="-3.2073297015369011E-3"/>
                  <c:y val="-1.41424978807239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16-492B-92AC-EEECED774CB7}"/>
                </c:ext>
              </c:extLst>
            </c:dLbl>
            <c:dLbl>
              <c:idx val="2"/>
              <c:layout>
                <c:manualLayout>
                  <c:x val="-2.4176209155354405E-3"/>
                  <c:y val="-6.65152027843574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16-492B-92AC-EEECED774CB7}"/>
                </c:ext>
              </c:extLst>
            </c:dLbl>
            <c:dLbl>
              <c:idx val="3"/>
              <c:layout>
                <c:manualLayout>
                  <c:x val="2.6858041798127055E-3"/>
                  <c:y val="3.629473912566746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16-492B-92AC-EEECED774CB7}"/>
                </c:ext>
              </c:extLst>
            </c:dLbl>
            <c:dLbl>
              <c:idx val="4"/>
              <c:layout>
                <c:manualLayout>
                  <c:x val="-3.9217883120591336E-3"/>
                  <c:y val="-1.08980896450816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16-492B-92AC-EEECED774CB7}"/>
                </c:ext>
              </c:extLst>
            </c:dLbl>
            <c:dLbl>
              <c:idx val="5"/>
              <c:layout>
                <c:manualLayout>
                  <c:x val="1.8183368791494724E-3"/>
                  <c:y val="-1.34348449740702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116-492B-92AC-EEECED774CB7}"/>
                </c:ext>
              </c:extLst>
            </c:dLbl>
            <c:dLbl>
              <c:idx val="6"/>
              <c:layout>
                <c:manualLayout>
                  <c:x val="1.3735038279346209E-2"/>
                  <c:y val="-1.31188348229063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116-492B-92AC-EEECED774CB7}"/>
                </c:ext>
              </c:extLst>
            </c:dLbl>
            <c:dLbl>
              <c:idx val="7"/>
              <c:layout>
                <c:manualLayout>
                  <c:x val="-2.9208525152033104E-2"/>
                  <c:y val="-1.971637882449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116-492B-92AC-EEECED774CB7}"/>
                </c:ext>
              </c:extLst>
            </c:dLbl>
            <c:dLbl>
              <c:idx val="8"/>
              <c:layout>
                <c:manualLayout>
                  <c:x val="-4.0694720170973364E-2"/>
                  <c:y val="-3.99560352002959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116-492B-92AC-EEECED774CB7}"/>
                </c:ext>
              </c:extLst>
            </c:dLbl>
            <c:dLbl>
              <c:idx val="9"/>
              <c:layout>
                <c:manualLayout>
                  <c:x val="-4.7561598436538947E-2"/>
                  <c:y val="1.37998645169602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116-492B-92AC-EEECED774CB7}"/>
                </c:ext>
              </c:extLst>
            </c:dLbl>
            <c:dLbl>
              <c:idx val="10"/>
              <c:layout>
                <c:manualLayout>
                  <c:x val="-3.1357910371513177E-2"/>
                  <c:y val="-1.5058062466060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116-492B-92AC-EEECED774CB7}"/>
                </c:ext>
              </c:extLst>
            </c:dLbl>
            <c:dLbl>
              <c:idx val="11"/>
              <c:layout>
                <c:manualLayout>
                  <c:x val="-4.746385337205393E-2"/>
                  <c:y val="-2.50967707767667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116-492B-92AC-EEECED774CB7}"/>
                </c:ext>
              </c:extLst>
            </c:dLbl>
            <c:numFmt formatCode="#,##0.0" sourceLinked="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'Quaterly, Yearly'!$CE$7:$CK$8</c:f>
              <c:strCache>
                <c:ptCount val="7"/>
                <c:pt idx="0">
                  <c:v>2015</c:v>
                </c:pt>
                <c:pt idx="1">
                  <c:v>2016</c:v>
                </c:pt>
                <c:pt idx="2">
                  <c:v>2017</c:v>
                </c:pt>
                <c:pt idx="3">
                  <c:v>2018</c:v>
                </c:pt>
                <c:pt idx="4">
                  <c:v>2019</c:v>
                </c:pt>
                <c:pt idx="5">
                  <c:v>2020</c:v>
                </c:pt>
                <c:pt idx="6">
                  <c:v>2021</c:v>
                </c:pt>
              </c:strCache>
            </c:strRef>
          </c:cat>
          <c:val>
            <c:numRef>
              <c:f>'Quaterly, Yearly'!$CE$79:$CK$79</c:f>
              <c:numCache>
                <c:formatCode>#,##0.00</c:formatCode>
                <c:ptCount val="7"/>
                <c:pt idx="0">
                  <c:v>-0.47061316203530046</c:v>
                </c:pt>
                <c:pt idx="1">
                  <c:v>1.7045650732845505</c:v>
                </c:pt>
                <c:pt idx="2">
                  <c:v>3.634771068549187</c:v>
                </c:pt>
                <c:pt idx="3">
                  <c:v>2.7475533250713307</c:v>
                </c:pt>
                <c:pt idx="4">
                  <c:v>1.792985143581004</c:v>
                </c:pt>
                <c:pt idx="5">
                  <c:v>-6.0883647372354028</c:v>
                </c:pt>
                <c:pt idx="6">
                  <c:v>-5</c:v>
                </c:pt>
              </c:numCache>
            </c:numRef>
          </c:val>
          <c:extLst>
            <c:ext xmlns:c16="http://schemas.microsoft.com/office/drawing/2014/chart" uri="{C3380CC4-5D6E-409C-BE32-E72D297353CC}">
              <c16:uniqueId val="{00000010-8116-492B-92AC-EEECED774CB7}"/>
            </c:ext>
          </c:extLst>
        </c:ser>
        <c:dLbls>
          <c:showLegendKey val="0"/>
          <c:showVal val="0"/>
          <c:showCatName val="0"/>
          <c:showSerName val="0"/>
          <c:showPercent val="0"/>
          <c:showBubbleSize val="0"/>
        </c:dLbls>
        <c:gapWidth val="150"/>
        <c:axId val="522006368"/>
        <c:axId val="522006928"/>
      </c:barChart>
      <c:catAx>
        <c:axId val="522006368"/>
        <c:scaling>
          <c:orientation val="minMax"/>
        </c:scaling>
        <c:delete val="0"/>
        <c:axPos val="b"/>
        <c:numFmt formatCode="General" sourceLinked="1"/>
        <c:majorTickMark val="out"/>
        <c:minorTickMark val="none"/>
        <c:tickLblPos val="low"/>
        <c:spPr>
          <a:noFill/>
          <a:ln w="12700" cap="flat" cmpd="sng" algn="ctr">
            <a:noFill/>
            <a:prstDash val="sysDash"/>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522006928"/>
        <c:crosses val="autoZero"/>
        <c:auto val="1"/>
        <c:lblAlgn val="ctr"/>
        <c:lblOffset val="100"/>
        <c:noMultiLvlLbl val="0"/>
      </c:catAx>
      <c:valAx>
        <c:axId val="522006928"/>
        <c:scaling>
          <c:orientation val="minMax"/>
          <c:max val="5"/>
          <c:min val="-10"/>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en-US"/>
                  <a:t>% </a:t>
                </a:r>
                <a:r>
                  <a:rPr lang="sr-Cyrl-RS"/>
                  <a:t>БДП</a:t>
                </a:r>
                <a:endParaRPr lang="en-US"/>
              </a:p>
            </c:rich>
          </c:tx>
          <c:layout>
            <c:manualLayout>
              <c:xMode val="edge"/>
              <c:yMode val="edge"/>
              <c:x val="5.2074219889180528E-3"/>
              <c:y val="0.36798129741978974"/>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522006368"/>
        <c:crosses val="autoZero"/>
        <c:crossBetween val="between"/>
      </c:valAx>
      <c:spPr>
        <a:noFill/>
        <a:ln>
          <a:noFill/>
        </a:ln>
        <a:effectLst/>
      </c:spPr>
    </c:plotArea>
    <c:legend>
      <c:legendPos val="b"/>
      <c:layout>
        <c:manualLayout>
          <c:xMode val="edge"/>
          <c:yMode val="edge"/>
          <c:x val="8.0788495188101481E-2"/>
          <c:y val="0.84822110350960234"/>
          <c:w val="0.80977544473607466"/>
          <c:h val="0.12540284944799654"/>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r>
              <a:rPr lang="en-US" sz="900" b="1" i="0" u="none" strike="noStrike" kern="1200" spc="0" baseline="0">
                <a:solidFill>
                  <a:srgbClr val="002060"/>
                </a:solidFill>
                <a:latin typeface="+mn-lt"/>
                <a:ea typeface="+mn-ea"/>
                <a:cs typeface="+mn-cs"/>
              </a:rPr>
              <a:t>S0 </a:t>
            </a:r>
            <a:r>
              <a:rPr lang="sr-Cyrl-RS" sz="900" b="1" i="0" u="none" strike="noStrike" kern="1200" spc="0" baseline="0">
                <a:solidFill>
                  <a:srgbClr val="002060"/>
                </a:solidFill>
                <a:latin typeface="+mn-lt"/>
                <a:ea typeface="+mn-ea"/>
                <a:cs typeface="+mn-cs"/>
              </a:rPr>
              <a:t>индикатор са фискалним подиндексом и подиндексом финансијске конкурентности за Србију за период 2015–20</a:t>
            </a:r>
            <a:r>
              <a:rPr lang="sr-Latn-RS" sz="900" b="1" i="0" u="none" strike="noStrike" kern="1200" spc="0" baseline="0">
                <a:solidFill>
                  <a:srgbClr val="002060"/>
                </a:solidFill>
                <a:latin typeface="+mn-lt"/>
                <a:ea typeface="+mn-ea"/>
                <a:cs typeface="+mn-cs"/>
              </a:rPr>
              <a:t>20</a:t>
            </a:r>
            <a:r>
              <a:rPr lang="sr-Cyrl-RS" sz="900" b="1" i="0" u="none" strike="noStrike" kern="1200" spc="0" baseline="0">
                <a:solidFill>
                  <a:srgbClr val="002060"/>
                </a:solidFill>
                <a:latin typeface="+mn-lt"/>
                <a:ea typeface="+mn-ea"/>
                <a:cs typeface="+mn-cs"/>
              </a:rPr>
              <a:t>. године </a:t>
            </a:r>
            <a:endParaRPr lang="en-US" sz="900" b="1" i="0" u="none" strike="noStrike" kern="1200" spc="0" baseline="0">
              <a:solidFill>
                <a:srgbClr val="002060"/>
              </a:solidFill>
              <a:latin typeface="+mn-lt"/>
              <a:ea typeface="+mn-ea"/>
              <a:cs typeface="+mn-cs"/>
            </a:endParaRPr>
          </a:p>
        </c:rich>
      </c:tx>
      <c:layout>
        <c:manualLayout>
          <c:xMode val="edge"/>
          <c:yMode val="edge"/>
          <c:x val="0.12678927371840756"/>
          <c:y val="1.9783036258848846E-2"/>
        </c:manualLayout>
      </c:layout>
      <c:overlay val="0"/>
      <c:spPr>
        <a:noFill/>
        <a:ln>
          <a:noFill/>
        </a:ln>
        <a:effectLst/>
      </c:spPr>
      <c:txPr>
        <a:bodyPr rot="0" spcFirstLastPara="1" vertOverflow="ellipsis" vert="horz" wrap="square" anchor="ctr" anchorCtr="1"/>
        <a:lstStyle/>
        <a:p>
          <a:pPr algn="ctr" rtl="0">
            <a:defRPr sz="900" b="1" i="0" u="none" strike="noStrike" kern="1200" spc="0" baseline="0">
              <a:solidFill>
                <a:srgbClr val="002060"/>
              </a:solidFill>
              <a:latin typeface="+mn-lt"/>
              <a:ea typeface="+mn-ea"/>
              <a:cs typeface="+mn-cs"/>
            </a:defRPr>
          </a:pPr>
          <a:endParaRPr lang="sr-Latn-RS"/>
        </a:p>
      </c:txPr>
    </c:title>
    <c:autoTitleDeleted val="0"/>
    <c:plotArea>
      <c:layout>
        <c:manualLayout>
          <c:layoutTarget val="inner"/>
          <c:xMode val="edge"/>
          <c:yMode val="edge"/>
          <c:x val="7.0614647637256292E-2"/>
          <c:y val="8.0128205128205135E-2"/>
          <c:w val="0.89818784226795878"/>
          <c:h val="0.56116520290732885"/>
        </c:manualLayout>
      </c:layout>
      <c:barChart>
        <c:barDir val="col"/>
        <c:grouping val="clustered"/>
        <c:varyColors val="0"/>
        <c:ser>
          <c:idx val="0"/>
          <c:order val="0"/>
          <c:tx>
            <c:strRef>
              <c:f>'S0 EU Serbia'!$AC$39</c:f>
              <c:strCache>
                <c:ptCount val="1"/>
                <c:pt idx="0">
                  <c:v>Фискални подиндекс</c:v>
                </c:pt>
              </c:strCache>
            </c:strRef>
          </c:tx>
          <c:spPr>
            <a:solidFill>
              <a:srgbClr val="7030A0"/>
            </a:solidFill>
            <a:ln w="9525">
              <a:noFill/>
            </a:ln>
            <a:effectLst/>
          </c:spPr>
          <c:invertIfNegative val="0"/>
          <c:cat>
            <c:numRef>
              <c:f>'S0 EU Serbia'!$AB$43:$AB$48</c:f>
              <c:numCache>
                <c:formatCode>General</c:formatCode>
                <c:ptCount val="6"/>
                <c:pt idx="0">
                  <c:v>2015</c:v>
                </c:pt>
                <c:pt idx="1">
                  <c:v>2016</c:v>
                </c:pt>
                <c:pt idx="2">
                  <c:v>2017</c:v>
                </c:pt>
                <c:pt idx="3">
                  <c:v>2018</c:v>
                </c:pt>
                <c:pt idx="4">
                  <c:v>2019</c:v>
                </c:pt>
                <c:pt idx="5">
                  <c:v>2020</c:v>
                </c:pt>
              </c:numCache>
            </c:numRef>
          </c:cat>
          <c:val>
            <c:numRef>
              <c:f>'S0 EU Serbia'!$AC$43:$AC$48</c:f>
              <c:numCache>
                <c:formatCode>0.00</c:formatCode>
                <c:ptCount val="6"/>
                <c:pt idx="0">
                  <c:v>0.40718562874251496</c:v>
                </c:pt>
                <c:pt idx="1">
                  <c:v>0.19161676646706588</c:v>
                </c:pt>
                <c:pt idx="2">
                  <c:v>0</c:v>
                </c:pt>
                <c:pt idx="3">
                  <c:v>0</c:v>
                </c:pt>
                <c:pt idx="4">
                  <c:v>0</c:v>
                </c:pt>
                <c:pt idx="5">
                  <c:v>0.47904191616766456</c:v>
                </c:pt>
              </c:numCache>
            </c:numRef>
          </c:val>
          <c:extLst>
            <c:ext xmlns:c16="http://schemas.microsoft.com/office/drawing/2014/chart" uri="{C3380CC4-5D6E-409C-BE32-E72D297353CC}">
              <c16:uniqueId val="{00000000-DC78-4F3A-BCE1-C4468C93D069}"/>
            </c:ext>
          </c:extLst>
        </c:ser>
        <c:ser>
          <c:idx val="1"/>
          <c:order val="1"/>
          <c:tx>
            <c:strRef>
              <c:f>'S0 EU Serbia'!$AD$39</c:f>
              <c:strCache>
                <c:ptCount val="1"/>
                <c:pt idx="0">
                  <c:v>Подиндекс макро-финансијске конкурентности</c:v>
                </c:pt>
              </c:strCache>
            </c:strRef>
          </c:tx>
          <c:spPr>
            <a:solidFill>
              <a:srgbClr val="5297AC"/>
            </a:solidFill>
            <a:ln w="9525">
              <a:noFill/>
            </a:ln>
            <a:effectLst/>
          </c:spPr>
          <c:invertIfNegative val="0"/>
          <c:cat>
            <c:numRef>
              <c:f>'S0 EU Serbia'!$AB$43:$AB$48</c:f>
              <c:numCache>
                <c:formatCode>General</c:formatCode>
                <c:ptCount val="6"/>
                <c:pt idx="0">
                  <c:v>2015</c:v>
                </c:pt>
                <c:pt idx="1">
                  <c:v>2016</c:v>
                </c:pt>
                <c:pt idx="2">
                  <c:v>2017</c:v>
                </c:pt>
                <c:pt idx="3">
                  <c:v>2018</c:v>
                </c:pt>
                <c:pt idx="4">
                  <c:v>2019</c:v>
                </c:pt>
                <c:pt idx="5">
                  <c:v>2020</c:v>
                </c:pt>
              </c:numCache>
            </c:numRef>
          </c:cat>
          <c:val>
            <c:numRef>
              <c:f>'S0 EU Serbia'!$AD$43:$AD$48</c:f>
              <c:numCache>
                <c:formatCode>0.00</c:formatCode>
                <c:ptCount val="6"/>
                <c:pt idx="0">
                  <c:v>0.27243589743589747</c:v>
                </c:pt>
                <c:pt idx="1">
                  <c:v>0.27243589743589747</c:v>
                </c:pt>
                <c:pt idx="2">
                  <c:v>0.27243589743589747</c:v>
                </c:pt>
                <c:pt idx="3">
                  <c:v>0.27243589743589747</c:v>
                </c:pt>
                <c:pt idx="4">
                  <c:v>0.27243589743589747</c:v>
                </c:pt>
                <c:pt idx="5">
                  <c:v>0.42307692307692302</c:v>
                </c:pt>
              </c:numCache>
            </c:numRef>
          </c:val>
          <c:extLst>
            <c:ext xmlns:c16="http://schemas.microsoft.com/office/drawing/2014/chart" uri="{C3380CC4-5D6E-409C-BE32-E72D297353CC}">
              <c16:uniqueId val="{00000001-DC78-4F3A-BCE1-C4468C93D069}"/>
            </c:ext>
          </c:extLst>
        </c:ser>
        <c:dLbls>
          <c:showLegendKey val="0"/>
          <c:showVal val="0"/>
          <c:showCatName val="0"/>
          <c:showSerName val="0"/>
          <c:showPercent val="0"/>
          <c:showBubbleSize val="0"/>
        </c:dLbls>
        <c:gapWidth val="150"/>
        <c:axId val="-486944112"/>
        <c:axId val="-486944656"/>
      </c:barChart>
      <c:lineChart>
        <c:grouping val="standard"/>
        <c:varyColors val="0"/>
        <c:ser>
          <c:idx val="2"/>
          <c:order val="2"/>
          <c:tx>
            <c:strRef>
              <c:f>'S0 EU Serbia'!$AE$39</c:f>
              <c:strCache>
                <c:ptCount val="1"/>
                <c:pt idx="0">
                  <c:v>S0 индикатор</c:v>
                </c:pt>
              </c:strCache>
            </c:strRef>
          </c:tx>
          <c:spPr>
            <a:ln w="22225" cap="rnd">
              <a:noFill/>
              <a:prstDash val="solid"/>
              <a:round/>
            </a:ln>
            <a:effectLst/>
          </c:spPr>
          <c:marker>
            <c:symbol val="triangle"/>
            <c:size val="16"/>
            <c:spPr>
              <a:solidFill>
                <a:schemeClr val="tx1"/>
              </a:solidFill>
              <a:ln w="9525">
                <a:noFill/>
              </a:ln>
              <a:effectLst/>
            </c:spPr>
          </c:marker>
          <c:dPt>
            <c:idx val="0"/>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3-DC78-4F3A-BCE1-C4468C93D069}"/>
              </c:ext>
            </c:extLst>
          </c:dPt>
          <c:dPt>
            <c:idx val="1"/>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5-DC78-4F3A-BCE1-C4468C93D069}"/>
              </c:ext>
            </c:extLst>
          </c:dPt>
          <c:dPt>
            <c:idx val="2"/>
            <c:marker>
              <c:symbol val="triangle"/>
              <c:size val="16"/>
              <c:spPr>
                <a:solidFill>
                  <a:schemeClr val="tx1"/>
                </a:solidFill>
                <a:ln w="9525">
                  <a:noFill/>
                </a:ln>
                <a:effectLst/>
              </c:spPr>
            </c:marker>
            <c:bubble3D val="0"/>
            <c:spPr>
              <a:ln w="12700" cap="rnd">
                <a:noFill/>
                <a:prstDash val="solid"/>
                <a:round/>
              </a:ln>
              <a:effectLst/>
            </c:spPr>
            <c:extLst>
              <c:ext xmlns:c16="http://schemas.microsoft.com/office/drawing/2014/chart" uri="{C3380CC4-5D6E-409C-BE32-E72D297353CC}">
                <c16:uniqueId val="{00000007-DC78-4F3A-BCE1-C4468C93D069}"/>
              </c:ext>
            </c:extLst>
          </c:dPt>
          <c:cat>
            <c:numRef>
              <c:f>'S0 EU Serbia'!$AB$43:$AB$48</c:f>
              <c:numCache>
                <c:formatCode>General</c:formatCode>
                <c:ptCount val="6"/>
                <c:pt idx="0">
                  <c:v>2015</c:v>
                </c:pt>
                <c:pt idx="1">
                  <c:v>2016</c:v>
                </c:pt>
                <c:pt idx="2">
                  <c:v>2017</c:v>
                </c:pt>
                <c:pt idx="3">
                  <c:v>2018</c:v>
                </c:pt>
                <c:pt idx="4">
                  <c:v>2019</c:v>
                </c:pt>
                <c:pt idx="5">
                  <c:v>2020</c:v>
                </c:pt>
              </c:numCache>
            </c:numRef>
          </c:cat>
          <c:val>
            <c:numRef>
              <c:f>'S0 EU Serbia'!$AE$43:$AE$48</c:f>
              <c:numCache>
                <c:formatCode>0.00</c:formatCode>
                <c:ptCount val="6"/>
                <c:pt idx="0">
                  <c:v>0.31941544885177453</c:v>
                </c:pt>
                <c:pt idx="1">
                  <c:v>0.24425887265135704</c:v>
                </c:pt>
                <c:pt idx="2">
                  <c:v>0.17745302713987476</c:v>
                </c:pt>
                <c:pt idx="3">
                  <c:v>0.17745302713987476</c:v>
                </c:pt>
                <c:pt idx="4">
                  <c:v>0.17745302713987476</c:v>
                </c:pt>
                <c:pt idx="5">
                  <c:v>0.4425887265135699</c:v>
                </c:pt>
              </c:numCache>
            </c:numRef>
          </c:val>
          <c:smooth val="0"/>
          <c:extLst>
            <c:ext xmlns:c16="http://schemas.microsoft.com/office/drawing/2014/chart" uri="{C3380CC4-5D6E-409C-BE32-E72D297353CC}">
              <c16:uniqueId val="{00000008-DC78-4F3A-BCE1-C4468C93D069}"/>
            </c:ext>
          </c:extLst>
        </c:ser>
        <c:ser>
          <c:idx val="3"/>
          <c:order val="3"/>
          <c:tx>
            <c:strRef>
              <c:f>'S0 EU Serbia'!$AF$39</c:f>
              <c:strCache>
                <c:ptCount val="1"/>
                <c:pt idx="0">
                  <c:v>Праг фискалног подиндекса</c:v>
                </c:pt>
              </c:strCache>
            </c:strRef>
          </c:tx>
          <c:spPr>
            <a:ln w="22225" cap="rnd">
              <a:solidFill>
                <a:srgbClr val="7030A0"/>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Serbia'!$AF$43:$AF$48</c:f>
              <c:numCache>
                <c:formatCode>General</c:formatCode>
                <c:ptCount val="6"/>
                <c:pt idx="0">
                  <c:v>0.36</c:v>
                </c:pt>
                <c:pt idx="1">
                  <c:v>0.36</c:v>
                </c:pt>
                <c:pt idx="2">
                  <c:v>0.36</c:v>
                </c:pt>
                <c:pt idx="3">
                  <c:v>0.36</c:v>
                </c:pt>
                <c:pt idx="4">
                  <c:v>0.36</c:v>
                </c:pt>
                <c:pt idx="5">
                  <c:v>0.36</c:v>
                </c:pt>
              </c:numCache>
            </c:numRef>
          </c:val>
          <c:smooth val="0"/>
          <c:extLst>
            <c:ext xmlns:c16="http://schemas.microsoft.com/office/drawing/2014/chart" uri="{C3380CC4-5D6E-409C-BE32-E72D297353CC}">
              <c16:uniqueId val="{00000009-DC78-4F3A-BCE1-C4468C93D069}"/>
            </c:ext>
          </c:extLst>
        </c:ser>
        <c:ser>
          <c:idx val="4"/>
          <c:order val="4"/>
          <c:tx>
            <c:strRef>
              <c:f>'S0 EU Serbia'!$AG$39</c:f>
              <c:strCache>
                <c:ptCount val="1"/>
                <c:pt idx="0">
                  <c:v>Праг финансијског подиндекса</c:v>
                </c:pt>
              </c:strCache>
            </c:strRef>
          </c:tx>
          <c:spPr>
            <a:ln w="22225" cap="rnd">
              <a:solidFill>
                <a:srgbClr val="5297AC"/>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Serbia'!$AG$43:$AG$48</c:f>
              <c:numCache>
                <c:formatCode>General</c:formatCode>
                <c:ptCount val="6"/>
                <c:pt idx="0">
                  <c:v>0.49</c:v>
                </c:pt>
                <c:pt idx="1">
                  <c:v>0.49</c:v>
                </c:pt>
                <c:pt idx="2">
                  <c:v>0.49</c:v>
                </c:pt>
                <c:pt idx="3">
                  <c:v>0.49</c:v>
                </c:pt>
                <c:pt idx="4">
                  <c:v>0.49</c:v>
                </c:pt>
                <c:pt idx="5">
                  <c:v>0.49</c:v>
                </c:pt>
              </c:numCache>
            </c:numRef>
          </c:val>
          <c:smooth val="0"/>
          <c:extLst>
            <c:ext xmlns:c16="http://schemas.microsoft.com/office/drawing/2014/chart" uri="{C3380CC4-5D6E-409C-BE32-E72D297353CC}">
              <c16:uniqueId val="{0000000A-DC78-4F3A-BCE1-C4468C93D069}"/>
            </c:ext>
          </c:extLst>
        </c:ser>
        <c:ser>
          <c:idx val="5"/>
          <c:order val="5"/>
          <c:tx>
            <c:strRef>
              <c:f>'S0 EU Serbia'!$AH$39</c:f>
              <c:strCache>
                <c:ptCount val="1"/>
                <c:pt idx="0">
                  <c:v>S0 праг</c:v>
                </c:pt>
              </c:strCache>
            </c:strRef>
          </c:tx>
          <c:spPr>
            <a:ln w="22225" cap="rnd">
              <a:solidFill>
                <a:schemeClr val="tx1"/>
              </a:solidFill>
              <a:prstDash val="dash"/>
              <a:round/>
            </a:ln>
            <a:effectLst/>
          </c:spPr>
          <c:marker>
            <c:symbol val="none"/>
          </c:marker>
          <c:cat>
            <c:numRef>
              <c:f>'S0 EU Serbia'!$AB$43:$AB$48</c:f>
              <c:numCache>
                <c:formatCode>General</c:formatCode>
                <c:ptCount val="6"/>
                <c:pt idx="0">
                  <c:v>2015</c:v>
                </c:pt>
                <c:pt idx="1">
                  <c:v>2016</c:v>
                </c:pt>
                <c:pt idx="2">
                  <c:v>2017</c:v>
                </c:pt>
                <c:pt idx="3">
                  <c:v>2018</c:v>
                </c:pt>
                <c:pt idx="4">
                  <c:v>2019</c:v>
                </c:pt>
                <c:pt idx="5">
                  <c:v>2020</c:v>
                </c:pt>
              </c:numCache>
            </c:numRef>
          </c:cat>
          <c:val>
            <c:numRef>
              <c:f>'S0 EU Serbia'!$AH$43:$AH$48</c:f>
              <c:numCache>
                <c:formatCode>General</c:formatCode>
                <c:ptCount val="6"/>
                <c:pt idx="0">
                  <c:v>0.46</c:v>
                </c:pt>
                <c:pt idx="1">
                  <c:v>0.46</c:v>
                </c:pt>
                <c:pt idx="2">
                  <c:v>0.46</c:v>
                </c:pt>
                <c:pt idx="3">
                  <c:v>0.46</c:v>
                </c:pt>
                <c:pt idx="4">
                  <c:v>0.46</c:v>
                </c:pt>
                <c:pt idx="5">
                  <c:v>0.46</c:v>
                </c:pt>
              </c:numCache>
            </c:numRef>
          </c:val>
          <c:smooth val="0"/>
          <c:extLst>
            <c:ext xmlns:c16="http://schemas.microsoft.com/office/drawing/2014/chart" uri="{C3380CC4-5D6E-409C-BE32-E72D297353CC}">
              <c16:uniqueId val="{0000000B-DC78-4F3A-BCE1-C4468C93D069}"/>
            </c:ext>
          </c:extLst>
        </c:ser>
        <c:dLbls>
          <c:showLegendKey val="0"/>
          <c:showVal val="0"/>
          <c:showCatName val="0"/>
          <c:showSerName val="0"/>
          <c:showPercent val="0"/>
          <c:showBubbleSize val="0"/>
        </c:dLbls>
        <c:marker val="1"/>
        <c:smooth val="0"/>
        <c:axId val="-486944112"/>
        <c:axId val="-486944656"/>
      </c:lineChart>
      <c:catAx>
        <c:axId val="-486944112"/>
        <c:scaling>
          <c:orientation val="minMax"/>
        </c:scaling>
        <c:delete val="0"/>
        <c:axPos val="b"/>
        <c:numFmt formatCode="General" sourceLinked="1"/>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sr-Latn-RS"/>
          </a:p>
        </c:txPr>
        <c:crossAx val="-486944656"/>
        <c:crosses val="autoZero"/>
        <c:auto val="1"/>
        <c:lblAlgn val="ctr"/>
        <c:lblOffset val="100"/>
        <c:noMultiLvlLbl val="0"/>
      </c:catAx>
      <c:valAx>
        <c:axId val="-486944656"/>
        <c:scaling>
          <c:orientation val="minMax"/>
          <c:max val="0.70000000000000007"/>
        </c:scaling>
        <c:delete val="0"/>
        <c:axPos val="l"/>
        <c:numFmt formatCode="#,##0.00" sourceLinked="0"/>
        <c:majorTickMark val="out"/>
        <c:minorTickMark val="none"/>
        <c:tickLblPos val="nextTo"/>
        <c:spPr>
          <a:noFill/>
          <a:ln w="6350">
            <a:noFill/>
          </a:ln>
          <a:effectLst/>
        </c:spPr>
        <c:txPr>
          <a:bodyPr rot="-6000000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sr-Latn-RS"/>
          </a:p>
        </c:txPr>
        <c:crossAx val="-486944112"/>
        <c:crossesAt val="1"/>
        <c:crossBetween val="between"/>
      </c:valAx>
      <c:spPr>
        <a:noFill/>
        <a:ln>
          <a:noFill/>
        </a:ln>
        <a:effectLst/>
      </c:spPr>
    </c:plotArea>
    <c:legend>
      <c:legendPos val="b"/>
      <c:layout>
        <c:manualLayout>
          <c:xMode val="edge"/>
          <c:yMode val="edge"/>
          <c:x val="2.930789712720251E-4"/>
          <c:y val="0.70762012921461737"/>
          <c:w val="0.99970692102872794"/>
          <c:h val="0.26440616797900257"/>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j-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rgbClr val="002060"/>
                </a:solidFill>
                <a:latin typeface="+mn-lt"/>
                <a:ea typeface="+mn-ea"/>
                <a:cs typeface="Calibri Light" panose="020F0302020204030204" pitchFamily="34" charset="0"/>
              </a:defRPr>
            </a:pPr>
            <a:r>
              <a:rPr lang="en-US" sz="1000" b="1" i="0">
                <a:solidFill>
                  <a:srgbClr val="002060"/>
                </a:solidFill>
                <a:latin typeface="+mn-lt"/>
                <a:cs typeface="Calibri Light" panose="020F0302020204030204" pitchFamily="34" charset="0"/>
              </a:rPr>
              <a:t>S0</a:t>
            </a:r>
            <a:r>
              <a:rPr lang="en-US" sz="1000" b="1" i="0" baseline="0">
                <a:solidFill>
                  <a:srgbClr val="002060"/>
                </a:solidFill>
                <a:latin typeface="+mn-lt"/>
                <a:cs typeface="Calibri Light" panose="020F0302020204030204" pitchFamily="34" charset="0"/>
              </a:rPr>
              <a:t> </a:t>
            </a:r>
            <a:r>
              <a:rPr lang="sr-Cyrl-RS" sz="1000" b="1" i="0" baseline="0">
                <a:solidFill>
                  <a:srgbClr val="002060"/>
                </a:solidFill>
                <a:latin typeface="+mn-lt"/>
                <a:cs typeface="Calibri Light" panose="020F0302020204030204" pitchFamily="34" charset="0"/>
              </a:rPr>
              <a:t>земље ЕУ и Србија</a:t>
            </a:r>
            <a:endParaRPr lang="sr-Cyrl-RS" sz="1000" b="1" i="0">
              <a:solidFill>
                <a:srgbClr val="002060"/>
              </a:solidFill>
              <a:latin typeface="+mn-lt"/>
              <a:cs typeface="Calibri Light" panose="020F0302020204030204" pitchFamily="34" charset="0"/>
            </a:endParaRPr>
          </a:p>
        </c:rich>
      </c:tx>
      <c:layout>
        <c:manualLayout>
          <c:xMode val="edge"/>
          <c:yMode val="edge"/>
          <c:x val="0.42591783671346856"/>
          <c:y val="0.04"/>
        </c:manualLayout>
      </c:layout>
      <c:overlay val="0"/>
      <c:spPr>
        <a:noFill/>
        <a:ln>
          <a:noFill/>
        </a:ln>
        <a:effectLst/>
      </c:spPr>
      <c:txPr>
        <a:bodyPr rot="0" spcFirstLastPara="1" vertOverflow="ellipsis" vert="horz" wrap="square" anchor="ctr" anchorCtr="1"/>
        <a:lstStyle/>
        <a:p>
          <a:pPr>
            <a:defRPr sz="1000" b="1" i="0" u="none" strike="noStrike" kern="1200" spc="0" baseline="0">
              <a:solidFill>
                <a:srgbClr val="002060"/>
              </a:solidFill>
              <a:latin typeface="+mn-lt"/>
              <a:ea typeface="+mn-ea"/>
              <a:cs typeface="Calibri Light" panose="020F0302020204030204" pitchFamily="34" charset="0"/>
            </a:defRPr>
          </a:pPr>
          <a:endParaRPr lang="sr-Latn-RS"/>
        </a:p>
      </c:txPr>
    </c:title>
    <c:autoTitleDeleted val="0"/>
    <c:plotArea>
      <c:layout>
        <c:manualLayout>
          <c:layoutTarget val="inner"/>
          <c:xMode val="edge"/>
          <c:yMode val="edge"/>
          <c:x val="7.0140553174856415E-2"/>
          <c:y val="0.13775301764159703"/>
          <c:w val="0.89795062064282105"/>
          <c:h val="0.4716665570007092"/>
        </c:manualLayout>
      </c:layout>
      <c:barChart>
        <c:barDir val="col"/>
        <c:grouping val="clustered"/>
        <c:varyColors val="0"/>
        <c:ser>
          <c:idx val="4"/>
          <c:order val="6"/>
          <c:tx>
            <c:strRef>
              <c:f>'S0 EU Serbia'!$U$2</c:f>
              <c:strCache>
                <c:ptCount val="1"/>
                <c:pt idx="0">
                  <c:v>S0 2019</c:v>
                </c:pt>
              </c:strCache>
            </c:strRef>
          </c:tx>
          <c:spPr>
            <a:solidFill>
              <a:schemeClr val="accent5"/>
            </a:solidFill>
            <a:ln>
              <a:noFill/>
            </a:ln>
            <a:effectLst/>
          </c:spPr>
          <c:invertIfNegative val="0"/>
          <c:val>
            <c:numRef>
              <c:f>'S0 EU Serbia'!$U$3:$U$29</c:f>
              <c:numCache>
                <c:formatCode>0.00</c:formatCode>
                <c:ptCount val="27"/>
                <c:pt idx="0">
                  <c:v>0.1</c:v>
                </c:pt>
                <c:pt idx="1">
                  <c:v>0.17</c:v>
                </c:pt>
                <c:pt idx="2">
                  <c:v>0.21</c:v>
                </c:pt>
                <c:pt idx="3">
                  <c:v>0.22</c:v>
                </c:pt>
                <c:pt idx="4">
                  <c:v>0.24</c:v>
                </c:pt>
                <c:pt idx="5">
                  <c:v>0.45</c:v>
                </c:pt>
                <c:pt idx="6">
                  <c:v>0.2</c:v>
                </c:pt>
                <c:pt idx="7">
                  <c:v>0.2</c:v>
                </c:pt>
                <c:pt idx="8">
                  <c:v>0.26</c:v>
                </c:pt>
                <c:pt idx="9">
                  <c:v>0.36</c:v>
                </c:pt>
                <c:pt idx="10">
                  <c:v>0.08</c:v>
                </c:pt>
                <c:pt idx="11">
                  <c:v>0.28999999999999998</c:v>
                </c:pt>
                <c:pt idx="12">
                  <c:v>0.14000000000000001</c:v>
                </c:pt>
                <c:pt idx="13">
                  <c:v>0.33</c:v>
                </c:pt>
                <c:pt idx="14">
                  <c:v>0.24</c:v>
                </c:pt>
                <c:pt idx="15">
                  <c:v>0.21</c:v>
                </c:pt>
                <c:pt idx="16">
                  <c:v>0.19</c:v>
                </c:pt>
                <c:pt idx="17">
                  <c:v>0.06</c:v>
                </c:pt>
                <c:pt idx="18">
                  <c:v>0.16</c:v>
                </c:pt>
                <c:pt idx="19">
                  <c:v>0.26</c:v>
                </c:pt>
                <c:pt idx="20">
                  <c:v>0.33</c:v>
                </c:pt>
                <c:pt idx="21">
                  <c:v>0.37</c:v>
                </c:pt>
                <c:pt idx="22">
                  <c:v>0.17745302713987476</c:v>
                </c:pt>
                <c:pt idx="23">
                  <c:v>0.27</c:v>
                </c:pt>
                <c:pt idx="24">
                  <c:v>0.05</c:v>
                </c:pt>
                <c:pt idx="25">
                  <c:v>0.37</c:v>
                </c:pt>
                <c:pt idx="26">
                  <c:v>0.24</c:v>
                </c:pt>
              </c:numCache>
            </c:numRef>
          </c:val>
          <c:extLst>
            <c:ext xmlns:c16="http://schemas.microsoft.com/office/drawing/2014/chart" uri="{C3380CC4-5D6E-409C-BE32-E72D297353CC}">
              <c16:uniqueId val="{00000000-C8BD-4412-B712-47FE3F6281FE}"/>
            </c:ext>
          </c:extLst>
        </c:ser>
        <c:ser>
          <c:idx val="5"/>
          <c:order val="7"/>
          <c:tx>
            <c:strRef>
              <c:f>'S0 EU Serbia'!$X$2</c:f>
              <c:strCache>
                <c:ptCount val="1"/>
                <c:pt idx="0">
                  <c:v>S0 2020</c:v>
                </c:pt>
              </c:strCache>
            </c:strRef>
          </c:tx>
          <c:spPr>
            <a:solidFill>
              <a:srgbClr val="7030A0"/>
            </a:solidFill>
            <a:ln>
              <a:noFill/>
            </a:ln>
            <a:effectLst/>
          </c:spPr>
          <c:invertIfNegative val="0"/>
          <c:val>
            <c:numRef>
              <c:f>'S0 EU Serbia'!$X$3:$X$29</c:f>
              <c:numCache>
                <c:formatCode>0.00</c:formatCode>
                <c:ptCount val="27"/>
                <c:pt idx="0">
                  <c:v>0.4</c:v>
                </c:pt>
                <c:pt idx="1">
                  <c:v>0.48</c:v>
                </c:pt>
                <c:pt idx="2">
                  <c:v>0.35</c:v>
                </c:pt>
                <c:pt idx="3">
                  <c:v>0.37</c:v>
                </c:pt>
                <c:pt idx="4">
                  <c:v>0.61</c:v>
                </c:pt>
                <c:pt idx="5">
                  <c:v>0.64</c:v>
                </c:pt>
                <c:pt idx="6">
                  <c:v>0.41</c:v>
                </c:pt>
                <c:pt idx="7">
                  <c:v>0.33</c:v>
                </c:pt>
                <c:pt idx="8">
                  <c:v>0.49</c:v>
                </c:pt>
                <c:pt idx="9">
                  <c:v>0.55000000000000004</c:v>
                </c:pt>
                <c:pt idx="10">
                  <c:v>0.37</c:v>
                </c:pt>
                <c:pt idx="11">
                  <c:v>0.46</c:v>
                </c:pt>
                <c:pt idx="12">
                  <c:v>0.42</c:v>
                </c:pt>
                <c:pt idx="13">
                  <c:v>0.48</c:v>
                </c:pt>
                <c:pt idx="14">
                  <c:v>0.48</c:v>
                </c:pt>
                <c:pt idx="15">
                  <c:v>0.37</c:v>
                </c:pt>
                <c:pt idx="16">
                  <c:v>0.3</c:v>
                </c:pt>
                <c:pt idx="17">
                  <c:v>0.28999999999999998</c:v>
                </c:pt>
                <c:pt idx="18">
                  <c:v>0.39</c:v>
                </c:pt>
                <c:pt idx="19">
                  <c:v>0.45</c:v>
                </c:pt>
                <c:pt idx="20">
                  <c:v>0.61</c:v>
                </c:pt>
                <c:pt idx="21">
                  <c:v>0.49</c:v>
                </c:pt>
                <c:pt idx="22">
                  <c:v>0.4425887265135699</c:v>
                </c:pt>
                <c:pt idx="23">
                  <c:v>0.54</c:v>
                </c:pt>
                <c:pt idx="24">
                  <c:v>0.43</c:v>
                </c:pt>
                <c:pt idx="25">
                  <c:v>0.5</c:v>
                </c:pt>
                <c:pt idx="26">
                  <c:v>0.32</c:v>
                </c:pt>
              </c:numCache>
            </c:numRef>
          </c:val>
          <c:extLst>
            <c:ext xmlns:c16="http://schemas.microsoft.com/office/drawing/2014/chart" uri="{C3380CC4-5D6E-409C-BE32-E72D297353CC}">
              <c16:uniqueId val="{00000001-C8BD-4412-B712-47FE3F6281FE}"/>
            </c:ext>
          </c:extLst>
        </c:ser>
        <c:dLbls>
          <c:showLegendKey val="0"/>
          <c:showVal val="0"/>
          <c:showCatName val="0"/>
          <c:showSerName val="0"/>
          <c:showPercent val="0"/>
          <c:showBubbleSize val="0"/>
        </c:dLbls>
        <c:gapWidth val="150"/>
        <c:axId val="-486950096"/>
        <c:axId val="-486949552"/>
        <c:extLst>
          <c:ext xmlns:c15="http://schemas.microsoft.com/office/drawing/2012/chart" uri="{02D57815-91ED-43cb-92C2-25804820EDAC}">
            <c15:filteredBarSeries>
              <c15:ser>
                <c:idx val="6"/>
                <c:order val="2"/>
                <c:tx>
                  <c:strRef>
                    <c:extLst>
                      <c:ext uri="{02D57815-91ED-43cb-92C2-25804820EDAC}">
                        <c15:formulaRef>
                          <c15:sqref>'S0 EU Serbia'!$I$2</c15:sqref>
                        </c15:formulaRef>
                      </c:ext>
                    </c:extLst>
                    <c:strCache>
                      <c:ptCount val="1"/>
                      <c:pt idx="0">
                        <c:v>S0
2015</c:v>
                      </c:pt>
                    </c:strCache>
                  </c:strRef>
                </c:tx>
                <c:spPr>
                  <a:solidFill>
                    <a:schemeClr val="accent2"/>
                  </a:solidFill>
                  <a:ln>
                    <a:noFill/>
                  </a:ln>
                  <a:effectLst/>
                </c:spPr>
                <c:invertIfNegative val="0"/>
                <c:cat>
                  <c:strRef>
                    <c:extLst>
                      <c:ex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c:ext uri="{02D57815-91ED-43cb-92C2-25804820EDAC}">
                        <c15:formulaRef>
                          <c15:sqref>'S0 EU Serbia'!$I$3:$I$31</c15:sqref>
                        </c15:formulaRef>
                      </c:ext>
                    </c:extLst>
                    <c:numCache>
                      <c:formatCode>0.00</c:formatCode>
                      <c:ptCount val="29"/>
                      <c:pt idx="0">
                        <c:v>7.0000000000000007E-2</c:v>
                      </c:pt>
                      <c:pt idx="1">
                        <c:v>0.1</c:v>
                      </c:pt>
                      <c:pt idx="2">
                        <c:v>0.21</c:v>
                      </c:pt>
                      <c:pt idx="3">
                        <c:v>0.11</c:v>
                      </c:pt>
                      <c:pt idx="4">
                        <c:v>0.26</c:v>
                      </c:pt>
                      <c:pt idx="6">
                        <c:v>0.25</c:v>
                      </c:pt>
                      <c:pt idx="7">
                        <c:v>0.19</c:v>
                      </c:pt>
                      <c:pt idx="8">
                        <c:v>0.22</c:v>
                      </c:pt>
                      <c:pt idx="9">
                        <c:v>0.17</c:v>
                      </c:pt>
                      <c:pt idx="10">
                        <c:v>0.02</c:v>
                      </c:pt>
                      <c:pt idx="11">
                        <c:v>0.16</c:v>
                      </c:pt>
                      <c:pt idx="12">
                        <c:v>0.38</c:v>
                      </c:pt>
                      <c:pt idx="13">
                        <c:v>0.21</c:v>
                      </c:pt>
                      <c:pt idx="14">
                        <c:v>0.34</c:v>
                      </c:pt>
                      <c:pt idx="15">
                        <c:v>0.18</c:v>
                      </c:pt>
                      <c:pt idx="16">
                        <c:v>0.09</c:v>
                      </c:pt>
                      <c:pt idx="17">
                        <c:v>0.13</c:v>
                      </c:pt>
                      <c:pt idx="18">
                        <c:v>0.19</c:v>
                      </c:pt>
                      <c:pt idx="19">
                        <c:v>0.27</c:v>
                      </c:pt>
                      <c:pt idx="20">
                        <c:v>0.24</c:v>
                      </c:pt>
                      <c:pt idx="21">
                        <c:v>0.14000000000000001</c:v>
                      </c:pt>
                      <c:pt idx="22">
                        <c:v>0.36</c:v>
                      </c:pt>
                      <c:pt idx="23">
                        <c:v>0.21</c:v>
                      </c:pt>
                      <c:pt idx="24">
                        <c:v>0.08</c:v>
                      </c:pt>
                      <c:pt idx="25">
                        <c:v>0.21</c:v>
                      </c:pt>
                      <c:pt idx="26">
                        <c:v>0.15</c:v>
                      </c:pt>
                      <c:pt idx="27">
                        <c:v>0.36</c:v>
                      </c:pt>
                    </c:numCache>
                  </c:numRef>
                </c:val>
                <c:extLst>
                  <c:ext xmlns:c16="http://schemas.microsoft.com/office/drawing/2014/chart" uri="{C3380CC4-5D6E-409C-BE32-E72D297353CC}">
                    <c16:uniqueId val="{00000005-C8BD-4412-B712-47FE3F6281FE}"/>
                  </c:ext>
                </c:extLst>
              </c15:ser>
            </c15:filteredBarSeries>
            <c15:filteredBarSeries>
              <c15:ser>
                <c:idx val="9"/>
                <c:order val="3"/>
                <c:tx>
                  <c:strRef>
                    <c:extLst xmlns:c15="http://schemas.microsoft.com/office/drawing/2012/chart">
                      <c:ext xmlns:c15="http://schemas.microsoft.com/office/drawing/2012/chart" uri="{02D57815-91ED-43cb-92C2-25804820EDAC}">
                        <c15:formulaRef>
                          <c15:sqref>'S0 EU Serbia'!$L$2</c15:sqref>
                        </c15:formulaRef>
                      </c:ext>
                    </c:extLst>
                    <c:strCache>
                      <c:ptCount val="1"/>
                      <c:pt idx="0">
                        <c:v>S0
 2016</c:v>
                      </c:pt>
                    </c:strCache>
                  </c:strRef>
                </c:tx>
                <c:spPr>
                  <a:solidFill>
                    <a:srgbClr val="7030A0"/>
                  </a:solidFill>
                  <a:ln>
                    <a:noFill/>
                  </a:ln>
                  <a:effectLst/>
                </c:spPr>
                <c:invertIfNegative val="0"/>
                <c:dPt>
                  <c:idx val="16"/>
                  <c:invertIfNegative val="0"/>
                  <c:bubble3D val="0"/>
                  <c:spPr>
                    <a:solidFill>
                      <a:srgbClr val="7F7F7F"/>
                    </a:solidFill>
                    <a:ln>
                      <a:noFill/>
                    </a:ln>
                    <a:effectLst/>
                  </c:spPr>
                  <c:extLst xmlns:c15="http://schemas.microsoft.com/office/drawing/2012/chart">
                    <c:ext xmlns:c16="http://schemas.microsoft.com/office/drawing/2014/chart" uri="{C3380CC4-5D6E-409C-BE32-E72D297353CC}">
                      <c16:uniqueId val="{00000007-C8BD-4412-B712-47FE3F6281FE}"/>
                    </c:ext>
                  </c:extLst>
                </c:dPt>
                <c:cat>
                  <c:strRef>
                    <c:extLst xmlns:c15="http://schemas.microsoft.com/office/drawing/2012/chart">
                      <c:ext xmlns:c15="http://schemas.microsoft.com/office/drawing/2012/chart" uri="{02D57815-91ED-43cb-92C2-25804820EDAC}">
                        <c15:formulaRef>
                          <c15:sqref>'S0 EU Serbia'!$A$3:$A$31</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Serbia'!$L$3:$L$31</c15:sqref>
                        </c15:formulaRef>
                      </c:ext>
                    </c:extLst>
                    <c:numCache>
                      <c:formatCode>0.00</c:formatCode>
                      <c:ptCount val="29"/>
                      <c:pt idx="0">
                        <c:v>0.15</c:v>
                      </c:pt>
                      <c:pt idx="1">
                        <c:v>0.42</c:v>
                      </c:pt>
                      <c:pt idx="2">
                        <c:v>0.28000000000000003</c:v>
                      </c:pt>
                      <c:pt idx="3">
                        <c:v>0.19</c:v>
                      </c:pt>
                      <c:pt idx="4">
                        <c:v>0.18</c:v>
                      </c:pt>
                      <c:pt idx="5">
                        <c:v>0.41</c:v>
                      </c:pt>
                      <c:pt idx="6">
                        <c:v>0.19</c:v>
                      </c:pt>
                      <c:pt idx="7">
                        <c:v>0.25</c:v>
                      </c:pt>
                      <c:pt idx="8">
                        <c:v>0.22</c:v>
                      </c:pt>
                      <c:pt idx="9">
                        <c:v>0.31</c:v>
                      </c:pt>
                      <c:pt idx="10">
                        <c:v>0.08</c:v>
                      </c:pt>
                      <c:pt idx="11">
                        <c:v>0.31</c:v>
                      </c:pt>
                      <c:pt idx="12">
                        <c:v>0.28000000000000003</c:v>
                      </c:pt>
                      <c:pt idx="13">
                        <c:v>0.42</c:v>
                      </c:pt>
                      <c:pt idx="14">
                        <c:v>0.28999999999999998</c:v>
                      </c:pt>
                      <c:pt idx="15">
                        <c:v>0.21</c:v>
                      </c:pt>
                      <c:pt idx="16">
                        <c:v>0.28999999999999998</c:v>
                      </c:pt>
                      <c:pt idx="17">
                        <c:v>0.15</c:v>
                      </c:pt>
                      <c:pt idx="18">
                        <c:v>0.2</c:v>
                      </c:pt>
                      <c:pt idx="19">
                        <c:v>0.28999999999999998</c:v>
                      </c:pt>
                      <c:pt idx="20">
                        <c:v>0.41</c:v>
                      </c:pt>
                      <c:pt idx="21">
                        <c:v>0.26</c:v>
                      </c:pt>
                      <c:pt idx="22">
                        <c:v>0.19161676646706588</c:v>
                      </c:pt>
                      <c:pt idx="23">
                        <c:v>0.34</c:v>
                      </c:pt>
                      <c:pt idx="24">
                        <c:v>0.14000000000000001</c:v>
                      </c:pt>
                      <c:pt idx="25">
                        <c:v>0.37</c:v>
                      </c:pt>
                      <c:pt idx="26">
                        <c:v>0.12</c:v>
                      </c:pt>
                      <c:pt idx="27">
                        <c:v>0.41</c:v>
                      </c:pt>
                    </c:numCache>
                  </c:numRef>
                </c:val>
                <c:extLst xmlns:c15="http://schemas.microsoft.com/office/drawing/2012/chart">
                  <c:ext xmlns:c16="http://schemas.microsoft.com/office/drawing/2014/chart" uri="{C3380CC4-5D6E-409C-BE32-E72D297353CC}">
                    <c16:uniqueId val="{00000008-C8BD-4412-B712-47FE3F6281FE}"/>
                  </c:ext>
                </c:extLst>
              </c15:ser>
            </c15:filteredBarSeries>
            <c15:filteredBarSeries>
              <c15:ser>
                <c:idx val="0"/>
                <c:order val="4"/>
                <c:tx>
                  <c:strRef>
                    <c:extLst xmlns:c15="http://schemas.microsoft.com/office/drawing/2012/chart">
                      <c:ext xmlns:c15="http://schemas.microsoft.com/office/drawing/2012/chart" uri="{02D57815-91ED-43cb-92C2-25804820EDAC}">
                        <c15:formulaRef>
                          <c15:sqref>'S0 EU Serbia'!$O$2</c15:sqref>
                        </c15:formulaRef>
                      </c:ext>
                    </c:extLst>
                    <c:strCache>
                      <c:ptCount val="1"/>
                      <c:pt idx="0">
                        <c:v>S0 2017</c:v>
                      </c:pt>
                    </c:strCache>
                  </c:strRef>
                </c:tx>
                <c:spPr>
                  <a:solidFill>
                    <a:schemeClr val="accent1"/>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Serbia'!$O$3:$O$30</c15:sqref>
                        </c15:formulaRef>
                      </c:ext>
                    </c:extLst>
                    <c:numCache>
                      <c:formatCode>0.00</c:formatCode>
                      <c:ptCount val="28"/>
                      <c:pt idx="0">
                        <c:v>7.0000000000000007E-2</c:v>
                      </c:pt>
                      <c:pt idx="1">
                        <c:v>0.35</c:v>
                      </c:pt>
                      <c:pt idx="2">
                        <c:v>0.25</c:v>
                      </c:pt>
                      <c:pt idx="3">
                        <c:v>0.19</c:v>
                      </c:pt>
                      <c:pt idx="4">
                        <c:v>0.2</c:v>
                      </c:pt>
                      <c:pt idx="5">
                        <c:v>0.44</c:v>
                      </c:pt>
                      <c:pt idx="6">
                        <c:v>0.3</c:v>
                      </c:pt>
                      <c:pt idx="7">
                        <c:v>0.2</c:v>
                      </c:pt>
                      <c:pt idx="8">
                        <c:v>0.1</c:v>
                      </c:pt>
                      <c:pt idx="9">
                        <c:v>0.24</c:v>
                      </c:pt>
                      <c:pt idx="10">
                        <c:v>0.08</c:v>
                      </c:pt>
                      <c:pt idx="11">
                        <c:v>0.39</c:v>
                      </c:pt>
                      <c:pt idx="12">
                        <c:v>0.28000000000000003</c:v>
                      </c:pt>
                      <c:pt idx="13">
                        <c:v>0.36</c:v>
                      </c:pt>
                      <c:pt idx="14">
                        <c:v>0.24</c:v>
                      </c:pt>
                      <c:pt idx="15">
                        <c:v>0.21</c:v>
                      </c:pt>
                      <c:pt idx="16">
                        <c:v>0.12</c:v>
                      </c:pt>
                      <c:pt idx="17">
                        <c:v>0.05</c:v>
                      </c:pt>
                      <c:pt idx="18">
                        <c:v>0.2</c:v>
                      </c:pt>
                      <c:pt idx="19">
                        <c:v>0.25</c:v>
                      </c:pt>
                      <c:pt idx="20">
                        <c:v>0.36</c:v>
                      </c:pt>
                      <c:pt idx="21">
                        <c:v>0.2</c:v>
                      </c:pt>
                      <c:pt idx="22">
                        <c:v>0.17745302713987476</c:v>
                      </c:pt>
                      <c:pt idx="23">
                        <c:v>0.3</c:v>
                      </c:pt>
                      <c:pt idx="24">
                        <c:v>0.13</c:v>
                      </c:pt>
                      <c:pt idx="25">
                        <c:v>0.37</c:v>
                      </c:pt>
                      <c:pt idx="26">
                        <c:v>0.12</c:v>
                      </c:pt>
                      <c:pt idx="27">
                        <c:v>0.42</c:v>
                      </c:pt>
                    </c:numCache>
                  </c:numRef>
                </c:val>
                <c:extLst xmlns:c15="http://schemas.microsoft.com/office/drawing/2012/chart">
                  <c:ext xmlns:c16="http://schemas.microsoft.com/office/drawing/2014/chart" uri="{C3380CC4-5D6E-409C-BE32-E72D297353CC}">
                    <c16:uniqueId val="{00000009-C8BD-4412-B712-47FE3F6281FE}"/>
                  </c:ext>
                </c:extLst>
              </c15:ser>
            </c15:filteredBarSeries>
            <c15:filteredBarSeries>
              <c15:ser>
                <c:idx val="1"/>
                <c:order val="5"/>
                <c:tx>
                  <c:strRef>
                    <c:extLst xmlns:c15="http://schemas.microsoft.com/office/drawing/2012/chart">
                      <c:ext xmlns:c15="http://schemas.microsoft.com/office/drawing/2012/chart" uri="{02D57815-91ED-43cb-92C2-25804820EDAC}">
                        <c15:formulaRef>
                          <c15:sqref>'S0 EU Serbia'!$R$2</c15:sqref>
                        </c15:formulaRef>
                      </c:ext>
                    </c:extLst>
                    <c:strCache>
                      <c:ptCount val="1"/>
                      <c:pt idx="0">
                        <c:v>S0 2018</c:v>
                      </c:pt>
                    </c:strCache>
                  </c:strRef>
                </c:tx>
                <c:spPr>
                  <a:solidFill>
                    <a:srgbClr val="7030A0"/>
                  </a:solidFill>
                  <a:ln>
                    <a:noFill/>
                  </a:ln>
                  <a:effectLst/>
                </c:spPr>
                <c:invertIfNegative val="0"/>
                <c:cat>
                  <c:strRef>
                    <c:extLst xmlns:c15="http://schemas.microsoft.com/office/drawing/2012/chart">
                      <c:ext xmlns:c15="http://schemas.microsoft.com/office/drawing/2012/chart" uri="{02D57815-91ED-43cb-92C2-25804820EDAC}">
                        <c15:formulaRef>
                          <c15:sqref>'S0 EU Serbia'!$A$3:$A$30</c15:sqref>
                        </c15:formulaRef>
                      </c:ext>
                    </c:extLst>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extLst xmlns:c15="http://schemas.microsoft.com/office/drawing/2012/chart">
                      <c:ext xmlns:c15="http://schemas.microsoft.com/office/drawing/2012/chart" uri="{02D57815-91ED-43cb-92C2-25804820EDAC}">
                        <c15:formulaRef>
                          <c15:sqref>'S0 EU Serbia'!$R$3:$R$30</c15:sqref>
                        </c15:formulaRef>
                      </c:ext>
                    </c:extLst>
                    <c:numCache>
                      <c:formatCode>0.00</c:formatCode>
                      <c:ptCount val="28"/>
                      <c:pt idx="0">
                        <c:v>0.03</c:v>
                      </c:pt>
                      <c:pt idx="1">
                        <c:v>0.22</c:v>
                      </c:pt>
                      <c:pt idx="2">
                        <c:v>0.19</c:v>
                      </c:pt>
                      <c:pt idx="3">
                        <c:v>0.18</c:v>
                      </c:pt>
                      <c:pt idx="4">
                        <c:v>0.24</c:v>
                      </c:pt>
                      <c:pt idx="5">
                        <c:v>0.46</c:v>
                      </c:pt>
                      <c:pt idx="6">
                        <c:v>0.12</c:v>
                      </c:pt>
                      <c:pt idx="7">
                        <c:v>0.17</c:v>
                      </c:pt>
                      <c:pt idx="8">
                        <c:v>0.14000000000000001</c:v>
                      </c:pt>
                      <c:pt idx="9">
                        <c:v>0.28999999999999998</c:v>
                      </c:pt>
                      <c:pt idx="10">
                        <c:v>0</c:v>
                      </c:pt>
                      <c:pt idx="11">
                        <c:v>0.34</c:v>
                      </c:pt>
                      <c:pt idx="12">
                        <c:v>0.21</c:v>
                      </c:pt>
                      <c:pt idx="13">
                        <c:v>0.36</c:v>
                      </c:pt>
                      <c:pt idx="14">
                        <c:v>0.24</c:v>
                      </c:pt>
                      <c:pt idx="15">
                        <c:v>0.21</c:v>
                      </c:pt>
                      <c:pt idx="16">
                        <c:v>0.12</c:v>
                      </c:pt>
                      <c:pt idx="17">
                        <c:v>0.06</c:v>
                      </c:pt>
                      <c:pt idx="18">
                        <c:v>0.08</c:v>
                      </c:pt>
                      <c:pt idx="19">
                        <c:v>0.18</c:v>
                      </c:pt>
                      <c:pt idx="20">
                        <c:v>0.33</c:v>
                      </c:pt>
                      <c:pt idx="21">
                        <c:v>0.3</c:v>
                      </c:pt>
                      <c:pt idx="22">
                        <c:v>0.17745302713987476</c:v>
                      </c:pt>
                      <c:pt idx="23">
                        <c:v>0.27</c:v>
                      </c:pt>
                      <c:pt idx="24">
                        <c:v>0.13</c:v>
                      </c:pt>
                      <c:pt idx="25">
                        <c:v>0.37</c:v>
                      </c:pt>
                      <c:pt idx="26">
                        <c:v>0.2</c:v>
                      </c:pt>
                      <c:pt idx="27">
                        <c:v>0.42</c:v>
                      </c:pt>
                    </c:numCache>
                  </c:numRef>
                </c:val>
                <c:extLst xmlns:c15="http://schemas.microsoft.com/office/drawing/2012/chart">
                  <c:ext xmlns:c16="http://schemas.microsoft.com/office/drawing/2014/chart" uri="{C3380CC4-5D6E-409C-BE32-E72D297353CC}">
                    <c16:uniqueId val="{0000000A-C8BD-4412-B712-47FE3F6281FE}"/>
                  </c:ext>
                </c:extLst>
              </c15:ser>
            </c15:filteredBarSeries>
          </c:ext>
        </c:extLst>
      </c:barChart>
      <c:barChart>
        <c:barDir val="col"/>
        <c:grouping val="clustered"/>
        <c:varyColors val="0"/>
        <c:ser>
          <c:idx val="3"/>
          <c:order val="1"/>
          <c:tx>
            <c:strRef>
              <c:f>'S0 EU Serbia'!$F$2</c:f>
              <c:strCache>
                <c:ptCount val="1"/>
                <c:pt idx="0">
                  <c:v>S0
2014</c:v>
                </c:pt>
              </c:strCache>
            </c:strRef>
          </c:tx>
          <c:spPr>
            <a:solidFill>
              <a:schemeClr val="tx1"/>
            </a:solidFill>
            <a:ln w="6350">
              <a:solidFill>
                <a:schemeClr val="tx1"/>
              </a:solidFill>
            </a:ln>
            <a:effectLst/>
          </c:spPr>
          <c:invertIfNegative val="0"/>
          <c:cat>
            <c:strRef>
              <c:f>'S0 EU Serbia'!$A$3:$A$31</c:f>
              <c:strCache>
                <c:ptCount val="28"/>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pt idx="27">
                  <c:v>Уједињено Краљевство</c:v>
                </c:pt>
              </c:strCache>
            </c:strRef>
          </c:cat>
          <c:val>
            <c:numRef>
              <c:f>'S0 EU Serbia'!$F$3:$F$31</c:f>
            </c:numRef>
          </c:val>
          <c:extLst>
            <c:ext xmlns:c16="http://schemas.microsoft.com/office/drawing/2014/chart" uri="{C3380CC4-5D6E-409C-BE32-E72D297353CC}">
              <c16:uniqueId val="{00000002-C8BD-4412-B712-47FE3F6281FE}"/>
            </c:ext>
          </c:extLst>
        </c:ser>
        <c:dLbls>
          <c:showLegendKey val="0"/>
          <c:showVal val="0"/>
          <c:showCatName val="0"/>
          <c:showSerName val="0"/>
          <c:showPercent val="0"/>
          <c:showBubbleSize val="0"/>
        </c:dLbls>
        <c:gapWidth val="150"/>
        <c:axId val="-486950096"/>
        <c:axId val="-486949552"/>
      </c:barChart>
      <c:lineChart>
        <c:grouping val="standard"/>
        <c:varyColors val="0"/>
        <c:ser>
          <c:idx val="2"/>
          <c:order val="0"/>
          <c:tx>
            <c:strRef>
              <c:f>'S0 EU Serbia'!$E$1</c:f>
              <c:strCache>
                <c:ptCount val="1"/>
                <c:pt idx="0">
                  <c:v>S0 праг</c:v>
                </c:pt>
              </c:strCache>
            </c:strRef>
          </c:tx>
          <c:spPr>
            <a:ln w="22225" cap="rnd">
              <a:solidFill>
                <a:schemeClr val="tx1"/>
              </a:solidFill>
              <a:prstDash val="dash"/>
              <a:round/>
            </a:ln>
            <a:effectLst/>
          </c:spPr>
          <c:marker>
            <c:symbol val="none"/>
          </c:marker>
          <c:dLbls>
            <c:dLbl>
              <c:idx val="15"/>
              <c:layout>
                <c:manualLayout>
                  <c:x val="-2.5343339842620423E-3"/>
                  <c:y val="-9.6564531104921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8BD-4412-B712-47FE3F6281FE}"/>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65000"/>
                        <a:lumOff val="3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'S0 EU Serbia'!$A$3:$A$29</c:f>
              <c:strCache>
                <c:ptCount val="27"/>
                <c:pt idx="0">
                  <c:v>Аустрија</c:v>
                </c:pt>
                <c:pt idx="1">
                  <c:v>Белгија</c:v>
                </c:pt>
                <c:pt idx="2">
                  <c:v>Бугарска</c:v>
                </c:pt>
                <c:pt idx="3">
                  <c:v>Чешка</c:v>
                </c:pt>
                <c:pt idx="4">
                  <c:v>Хрватска</c:v>
                </c:pt>
                <c:pt idx="5">
                  <c:v>Кипар</c:v>
                </c:pt>
                <c:pt idx="6">
                  <c:v>Данска</c:v>
                </c:pt>
                <c:pt idx="7">
                  <c:v>Естонија</c:v>
                </c:pt>
                <c:pt idx="8">
                  <c:v>Финска</c:v>
                </c:pt>
                <c:pt idx="9">
                  <c:v>Француска</c:v>
                </c:pt>
                <c:pt idx="10">
                  <c:v>Немачка</c:v>
                </c:pt>
                <c:pt idx="11">
                  <c:v>Мађарска</c:v>
                </c:pt>
                <c:pt idx="12">
                  <c:v>Ирска</c:v>
                </c:pt>
                <c:pt idx="13">
                  <c:v>Италија</c:v>
                </c:pt>
                <c:pt idx="14">
                  <c:v>Летонија</c:v>
                </c:pt>
                <c:pt idx="15">
                  <c:v>Литванија</c:v>
                </c:pt>
                <c:pt idx="16">
                  <c:v>Луксембург</c:v>
                </c:pt>
                <c:pt idx="17">
                  <c:v>Малта</c:v>
                </c:pt>
                <c:pt idx="18">
                  <c:v>Холандија</c:v>
                </c:pt>
                <c:pt idx="19">
                  <c:v>Пољска</c:v>
                </c:pt>
                <c:pt idx="20">
                  <c:v>Португал</c:v>
                </c:pt>
                <c:pt idx="21">
                  <c:v>Румунија</c:v>
                </c:pt>
                <c:pt idx="22">
                  <c:v>Србија</c:v>
                </c:pt>
                <c:pt idx="23">
                  <c:v>Словачка</c:v>
                </c:pt>
                <c:pt idx="24">
                  <c:v>Словенија</c:v>
                </c:pt>
                <c:pt idx="25">
                  <c:v>Шпанија</c:v>
                </c:pt>
                <c:pt idx="26">
                  <c:v>Шведска</c:v>
                </c:pt>
              </c:strCache>
            </c:strRef>
          </c:cat>
          <c:val>
            <c:numRef>
              <c:f>'S0 EU Serbia'!$E$3:$E$29</c:f>
              <c:numCache>
                <c:formatCode>0.00</c:formatCode>
                <c:ptCount val="27"/>
                <c:pt idx="0">
                  <c:v>0.46</c:v>
                </c:pt>
                <c:pt idx="1">
                  <c:v>0.46</c:v>
                </c:pt>
                <c:pt idx="2">
                  <c:v>0.46</c:v>
                </c:pt>
                <c:pt idx="3">
                  <c:v>0.46</c:v>
                </c:pt>
                <c:pt idx="4">
                  <c:v>0.46</c:v>
                </c:pt>
                <c:pt idx="5">
                  <c:v>0.46</c:v>
                </c:pt>
                <c:pt idx="6">
                  <c:v>0.46</c:v>
                </c:pt>
                <c:pt idx="7">
                  <c:v>0.46</c:v>
                </c:pt>
                <c:pt idx="8">
                  <c:v>0.46</c:v>
                </c:pt>
                <c:pt idx="9">
                  <c:v>0.46</c:v>
                </c:pt>
                <c:pt idx="10">
                  <c:v>0.46</c:v>
                </c:pt>
                <c:pt idx="11">
                  <c:v>0.46</c:v>
                </c:pt>
                <c:pt idx="12">
                  <c:v>0.46</c:v>
                </c:pt>
                <c:pt idx="13">
                  <c:v>0.46</c:v>
                </c:pt>
                <c:pt idx="14">
                  <c:v>0.46</c:v>
                </c:pt>
                <c:pt idx="15">
                  <c:v>0.46</c:v>
                </c:pt>
                <c:pt idx="16">
                  <c:v>0.46</c:v>
                </c:pt>
                <c:pt idx="17">
                  <c:v>0.46</c:v>
                </c:pt>
                <c:pt idx="18">
                  <c:v>0.46</c:v>
                </c:pt>
                <c:pt idx="19">
                  <c:v>0.46</c:v>
                </c:pt>
                <c:pt idx="20">
                  <c:v>0.46</c:v>
                </c:pt>
                <c:pt idx="21">
                  <c:v>0.46</c:v>
                </c:pt>
                <c:pt idx="22">
                  <c:v>0.46</c:v>
                </c:pt>
                <c:pt idx="23">
                  <c:v>0.46</c:v>
                </c:pt>
                <c:pt idx="24">
                  <c:v>0.46</c:v>
                </c:pt>
                <c:pt idx="25">
                  <c:v>0.46</c:v>
                </c:pt>
                <c:pt idx="26">
                  <c:v>0.46</c:v>
                </c:pt>
              </c:numCache>
            </c:numRef>
          </c:val>
          <c:smooth val="0"/>
          <c:extLst>
            <c:ext xmlns:c16="http://schemas.microsoft.com/office/drawing/2014/chart" uri="{C3380CC4-5D6E-409C-BE32-E72D297353CC}">
              <c16:uniqueId val="{00000004-C8BD-4412-B712-47FE3F6281FE}"/>
            </c:ext>
          </c:extLst>
        </c:ser>
        <c:dLbls>
          <c:showLegendKey val="0"/>
          <c:showVal val="0"/>
          <c:showCatName val="0"/>
          <c:showSerName val="0"/>
          <c:showPercent val="0"/>
          <c:showBubbleSize val="0"/>
        </c:dLbls>
        <c:marker val="1"/>
        <c:smooth val="0"/>
        <c:axId val="-486950096"/>
        <c:axId val="-486949552"/>
      </c:lineChart>
      <c:catAx>
        <c:axId val="-486950096"/>
        <c:scaling>
          <c:orientation val="minMax"/>
        </c:scaling>
        <c:delete val="0"/>
        <c:axPos val="b"/>
        <c:numFmt formatCode="General" sourceLinked="1"/>
        <c:majorTickMark val="none"/>
        <c:minorTickMark val="none"/>
        <c:tickLblPos val="nextTo"/>
        <c:spPr>
          <a:noFill/>
          <a:ln w="9525"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sr-Latn-RS"/>
          </a:p>
        </c:txPr>
        <c:crossAx val="-486949552"/>
        <c:crosses val="autoZero"/>
        <c:auto val="1"/>
        <c:lblAlgn val="ctr"/>
        <c:lblOffset val="100"/>
        <c:noMultiLvlLbl val="0"/>
      </c:catAx>
      <c:valAx>
        <c:axId val="-486949552"/>
        <c:scaling>
          <c:orientation val="minMax"/>
          <c:max val="0.9"/>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rgbClr val="44546A"/>
                </a:solidFill>
                <a:latin typeface="+mn-lt"/>
                <a:ea typeface="+mn-ea"/>
                <a:cs typeface="+mn-cs"/>
              </a:defRPr>
            </a:pPr>
            <a:endParaRPr lang="sr-Latn-RS"/>
          </a:p>
        </c:txPr>
        <c:crossAx val="-486950096"/>
        <c:crosses val="autoZero"/>
        <c:crossBetween val="between"/>
      </c:valAx>
      <c:spPr>
        <a:noFill/>
        <a:ln>
          <a:noFill/>
        </a:ln>
        <a:effectLst/>
      </c:spPr>
    </c:plotArea>
    <c:legend>
      <c:legendPos val="b"/>
      <c:layout>
        <c:manualLayout>
          <c:xMode val="edge"/>
          <c:yMode val="edge"/>
          <c:x val="0.30784559886332458"/>
          <c:y val="0.87985511811023609"/>
          <c:w val="0.42591030255383444"/>
          <c:h val="5.6819955245152098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r>
              <a:rPr lang="sr-Cyrl-RS" sz="900" b="1">
                <a:solidFill>
                  <a:srgbClr val="002060"/>
                </a:solidFill>
              </a:rPr>
              <a:t>Фискални</a:t>
            </a:r>
            <a:r>
              <a:rPr lang="sr-Cyrl-RS" sz="900" b="1" baseline="0">
                <a:solidFill>
                  <a:srgbClr val="002060"/>
                </a:solidFill>
              </a:rPr>
              <a:t> подиндекс и подиндекс финансијске конкурентности за земље ЕУ и Србију у 2020. години. </a:t>
            </a:r>
            <a:endParaRPr lang="en-US" sz="900" b="1">
              <a:solidFill>
                <a:srgbClr val="002060"/>
              </a:solidFill>
            </a:endParaRPr>
          </a:p>
        </c:rich>
      </c:tx>
      <c:layout>
        <c:manualLayout>
          <c:xMode val="edge"/>
          <c:yMode val="edge"/>
          <c:x val="0.14815033537474481"/>
          <c:y val="2.2438670576014064E-2"/>
        </c:manualLayout>
      </c:layout>
      <c:overlay val="0"/>
      <c:spPr>
        <a:noFill/>
        <a:ln>
          <a:noFill/>
        </a:ln>
        <a:effectLst/>
      </c:spPr>
      <c:txPr>
        <a:bodyPr rot="0" spcFirstLastPara="1" vertOverflow="ellipsis" vert="horz" wrap="square" anchor="ctr" anchorCtr="1"/>
        <a:lstStyle/>
        <a:p>
          <a:pPr>
            <a:defRPr sz="900" b="1" i="0" u="none" strike="noStrike" kern="1200" spc="0" baseline="0">
              <a:solidFill>
                <a:srgbClr val="002060"/>
              </a:solidFill>
              <a:latin typeface="+mn-lt"/>
              <a:ea typeface="+mn-ea"/>
              <a:cs typeface="+mn-cs"/>
            </a:defRPr>
          </a:pPr>
          <a:endParaRPr lang="sr-Latn-RS"/>
        </a:p>
      </c:txPr>
    </c:title>
    <c:autoTitleDeleted val="0"/>
    <c:plotArea>
      <c:layout>
        <c:manualLayout>
          <c:layoutTarget val="inner"/>
          <c:xMode val="edge"/>
          <c:yMode val="edge"/>
          <c:x val="0.14501872265966753"/>
          <c:y val="0.1623257343401551"/>
          <c:w val="0.80682169728783881"/>
          <c:h val="0.68488559658972015"/>
        </c:manualLayout>
      </c:layout>
      <c:scatterChart>
        <c:scatterStyle val="lineMarker"/>
        <c:varyColors val="0"/>
        <c:ser>
          <c:idx val="0"/>
          <c:order val="0"/>
          <c:spPr>
            <a:ln w="28575" cap="rnd">
              <a:noFill/>
              <a:round/>
            </a:ln>
            <a:effectLst/>
          </c:spPr>
          <c:marker>
            <c:symbol val="circle"/>
            <c:size val="5"/>
            <c:spPr>
              <a:solidFill>
                <a:srgbClr val="5297AC"/>
              </a:solidFill>
              <a:ln w="9525">
                <a:noFill/>
              </a:ln>
              <a:effectLst/>
            </c:spPr>
          </c:marker>
          <c:dLbls>
            <c:dLbl>
              <c:idx val="0"/>
              <c:layout>
                <c:manualLayout>
                  <c:x val="-2.4500741755106699E-2"/>
                  <c:y val="9.6793975519414068E-3"/>
                </c:manualLayout>
              </c:layout>
              <c:tx>
                <c:rich>
                  <a:bodyPr/>
                  <a:lstStyle/>
                  <a:p>
                    <a:fld id="{AA05F6A2-E727-4E27-B442-35245F90E9C6}"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68F7-4BD3-BF85-F87FA386BCEE}"/>
                </c:ext>
              </c:extLst>
            </c:dLbl>
            <c:dLbl>
              <c:idx val="1"/>
              <c:layout>
                <c:manualLayout>
                  <c:x val="-1.0725941865962558E-2"/>
                  <c:y val="2.1851006941889274E-3"/>
                </c:manualLayout>
              </c:layout>
              <c:tx>
                <c:rich>
                  <a:bodyPr/>
                  <a:lstStyle/>
                  <a:p>
                    <a:fld id="{AB5F38DB-CACD-49B2-A466-1964468AB9A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68F7-4BD3-BF85-F87FA386BCEE}"/>
                </c:ext>
              </c:extLst>
            </c:dLbl>
            <c:dLbl>
              <c:idx val="2"/>
              <c:layout>
                <c:manualLayout>
                  <c:x val="-0.15526711334996168"/>
                  <c:y val="-6.9639659528540239E-3"/>
                </c:manualLayout>
              </c:layout>
              <c:tx>
                <c:rich>
                  <a:bodyPr/>
                  <a:lstStyle/>
                  <a:p>
                    <a:fld id="{D70259F0-EF7F-4A6B-8877-6CE0A5B6E3D6}"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68F7-4BD3-BF85-F87FA386BCEE}"/>
                </c:ext>
              </c:extLst>
            </c:dLbl>
            <c:dLbl>
              <c:idx val="3"/>
              <c:layout>
                <c:manualLayout>
                  <c:x val="1.2360737516506013E-2"/>
                  <c:y val="6.3210439816518263E-2"/>
                </c:manualLayout>
              </c:layout>
              <c:tx>
                <c:rich>
                  <a:bodyPr/>
                  <a:lstStyle/>
                  <a:p>
                    <a:fld id="{E553C418-EBA4-4719-851C-0EE24FB361B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68F7-4BD3-BF85-F87FA386BCEE}"/>
                </c:ext>
              </c:extLst>
            </c:dLbl>
            <c:dLbl>
              <c:idx val="4"/>
              <c:layout>
                <c:manualLayout>
                  <c:x val="-7.1607244746580589E-2"/>
                  <c:y val="2.6745406824146983E-2"/>
                </c:manualLayout>
              </c:layout>
              <c:tx>
                <c:rich>
                  <a:bodyPr/>
                  <a:lstStyle/>
                  <a:p>
                    <a:fld id="{B7B5B75D-6C10-4F8C-9EF8-77C283D55DF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68F7-4BD3-BF85-F87FA386BCEE}"/>
                </c:ext>
              </c:extLst>
            </c:dLbl>
            <c:dLbl>
              <c:idx val="5"/>
              <c:layout>
                <c:manualLayout>
                  <c:x val="-8.4263380120963901E-3"/>
                  <c:y val="8.7264208796329797E-3"/>
                </c:manualLayout>
              </c:layout>
              <c:tx>
                <c:rich>
                  <a:bodyPr/>
                  <a:lstStyle/>
                  <a:p>
                    <a:fld id="{D5613A74-FE00-4FE9-BEF9-1BB9C635D05C}"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68F7-4BD3-BF85-F87FA386BCEE}"/>
                </c:ext>
              </c:extLst>
            </c:dLbl>
            <c:dLbl>
              <c:idx val="6"/>
              <c:layout>
                <c:manualLayout>
                  <c:x val="-5.5137999054466091E-2"/>
                  <c:y val="2.5790467780312507E-2"/>
                </c:manualLayout>
              </c:layout>
              <c:tx>
                <c:rich>
                  <a:bodyPr/>
                  <a:lstStyle/>
                  <a:p>
                    <a:fld id="{3D993124-EA77-4F3A-88B1-7FDCCD7A6280}"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68F7-4BD3-BF85-F87FA386BCEE}"/>
                </c:ext>
              </c:extLst>
            </c:dLbl>
            <c:dLbl>
              <c:idx val="7"/>
              <c:layout>
                <c:manualLayout>
                  <c:x val="-4.1267015536101542E-2"/>
                  <c:y val="1.9249392891309204E-2"/>
                </c:manualLayout>
              </c:layout>
              <c:tx>
                <c:rich>
                  <a:bodyPr/>
                  <a:lstStyle/>
                  <a:p>
                    <a:fld id="{B0E9CECE-5608-4657-AB73-D49FE5A749F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68F7-4BD3-BF85-F87FA386BCEE}"/>
                </c:ext>
              </c:extLst>
            </c:dLbl>
            <c:dLbl>
              <c:idx val="8"/>
              <c:layout>
                <c:manualLayout>
                  <c:x val="-9.5811610505208589E-2"/>
                  <c:y val="2.6949984055731409E-2"/>
                </c:manualLayout>
              </c:layout>
              <c:tx>
                <c:rich>
                  <a:bodyPr/>
                  <a:lstStyle/>
                  <a:p>
                    <a:fld id="{C6E75308-C8EC-4AE5-996C-B48BF72827B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68F7-4BD3-BF85-F87FA386BCEE}"/>
                </c:ext>
              </c:extLst>
            </c:dLbl>
            <c:dLbl>
              <c:idx val="9"/>
              <c:layout>
                <c:manualLayout>
                  <c:x val="-7.4410263934399506E-2"/>
                  <c:y val="2.8987661589030343E-2"/>
                </c:manualLayout>
              </c:layout>
              <c:tx>
                <c:rich>
                  <a:bodyPr/>
                  <a:lstStyle/>
                  <a:p>
                    <a:fld id="{C0A82AF9-BC43-4540-9E43-11264D927F5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68F7-4BD3-BF85-F87FA386BCEE}"/>
                </c:ext>
              </c:extLst>
            </c:dLbl>
            <c:dLbl>
              <c:idx val="10"/>
              <c:layout>
                <c:manualLayout>
                  <c:x val="-0.13059258896985707"/>
                  <c:y val="-1.925822356317667E-3"/>
                </c:manualLayout>
              </c:layout>
              <c:tx>
                <c:rich>
                  <a:bodyPr/>
                  <a:lstStyle/>
                  <a:p>
                    <a:fld id="{42D2345F-97DB-45AB-8A38-780F6D153BB8}"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A-68F7-4BD3-BF85-F87FA386BCEE}"/>
                </c:ext>
              </c:extLst>
            </c:dLbl>
            <c:dLbl>
              <c:idx val="11"/>
              <c:layout>
                <c:manualLayout>
                  <c:x val="-8.8400906408438069E-3"/>
                  <c:y val="-5.9170407437389222E-3"/>
                </c:manualLayout>
              </c:layout>
              <c:tx>
                <c:rich>
                  <a:bodyPr/>
                  <a:lstStyle/>
                  <a:p>
                    <a:fld id="{F5DDC38E-FECA-47E8-922A-62FE6CF03715}"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68F7-4BD3-BF85-F87FA386BCEE}"/>
                </c:ext>
              </c:extLst>
            </c:dLbl>
            <c:dLbl>
              <c:idx val="12"/>
              <c:layout>
                <c:manualLayout>
                  <c:x val="-8.5145335093982893E-2"/>
                  <c:y val="3.9042853288198787E-2"/>
                </c:manualLayout>
              </c:layout>
              <c:tx>
                <c:rich>
                  <a:bodyPr/>
                  <a:lstStyle/>
                  <a:p>
                    <a:fld id="{8A42B7FD-A8DE-4EFE-8C0E-34FA9F45BC07}"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C-68F7-4BD3-BF85-F87FA386BCEE}"/>
                </c:ext>
              </c:extLst>
            </c:dLbl>
            <c:dLbl>
              <c:idx val="13"/>
              <c:layout>
                <c:manualLayout>
                  <c:x val="-8.1957255343082111E-2"/>
                  <c:y val="2.4992273162116302E-2"/>
                </c:manualLayout>
              </c:layout>
              <c:tx>
                <c:rich>
                  <a:bodyPr/>
                  <a:lstStyle/>
                  <a:p>
                    <a:fld id="{519172EA-E4D0-46A5-8042-EE1CD295262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D-68F7-4BD3-BF85-F87FA386BCEE}"/>
                </c:ext>
              </c:extLst>
            </c:dLbl>
            <c:dLbl>
              <c:idx val="14"/>
              <c:layout>
                <c:manualLayout>
                  <c:x val="-3.2858284018845468E-2"/>
                  <c:y val="2.2553290651752642E-2"/>
                </c:manualLayout>
              </c:layout>
              <c:tx>
                <c:rich>
                  <a:bodyPr/>
                  <a:lstStyle/>
                  <a:p>
                    <a:fld id="{3A18CAC2-5FE4-4613-9917-594CC8B455C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E-68F7-4BD3-BF85-F87FA386BCEE}"/>
                </c:ext>
              </c:extLst>
            </c:dLbl>
            <c:dLbl>
              <c:idx val="15"/>
              <c:layout>
                <c:manualLayout>
                  <c:x val="-0.13619830129929414"/>
                  <c:y val="2.0480290430985731E-2"/>
                </c:manualLayout>
              </c:layout>
              <c:tx>
                <c:rich>
                  <a:bodyPr/>
                  <a:lstStyle/>
                  <a:p>
                    <a:fld id="{C175AC58-74D0-4C38-8AA3-AA42A0906C9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F-68F7-4BD3-BF85-F87FA386BCEE}"/>
                </c:ext>
              </c:extLst>
            </c:dLbl>
            <c:dLbl>
              <c:idx val="16"/>
              <c:layout>
                <c:manualLayout>
                  <c:x val="-3.9638518471275343E-2"/>
                  <c:y val="3.5186845340179025E-2"/>
                </c:manualLayout>
              </c:layout>
              <c:tx>
                <c:rich>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fld id="{061D8D72-7DB1-442D-B7DA-AD36C6FD35B6}" type="CELLRANGE">
                      <a:rPr lang="sr-Cyrl-CS">
                        <a:solidFill>
                          <a:srgbClr val="44546A"/>
                        </a:solidFill>
                      </a:rPr>
                      <a:pPr>
                        <a:defRPr sz="700">
                          <a:solidFill>
                            <a:srgbClr val="44546A"/>
                          </a:solidFill>
                        </a:defRPr>
                      </a:pPr>
                      <a:t>[CELLRANGE]</a:t>
                    </a:fld>
                    <a:endParaRPr lang="sr-Latn-RS"/>
                  </a:p>
                </c:rich>
              </c:tx>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layout>
                    <c:manualLayout>
                      <c:w val="0.16661067366579174"/>
                      <c:h val="5.0214577391949004E-2"/>
                    </c:manualLayout>
                  </c15:layout>
                  <c15:dlblFieldTable/>
                  <c15:showDataLabelsRange val="1"/>
                </c:ext>
                <c:ext xmlns:c16="http://schemas.microsoft.com/office/drawing/2014/chart" uri="{C3380CC4-5D6E-409C-BE32-E72D297353CC}">
                  <c16:uniqueId val="{00000010-68F7-4BD3-BF85-F87FA386BCEE}"/>
                </c:ext>
              </c:extLst>
            </c:dLbl>
            <c:dLbl>
              <c:idx val="17"/>
              <c:layout>
                <c:manualLayout>
                  <c:x val="-6.2088325915782269E-2"/>
                  <c:y val="2.6622022714450414E-2"/>
                </c:manualLayout>
              </c:layout>
              <c:tx>
                <c:rich>
                  <a:bodyPr/>
                  <a:lstStyle/>
                  <a:p>
                    <a:fld id="{13B72A1A-1431-41B5-B265-6BD5A2EA518F}"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1-68F7-4BD3-BF85-F87FA386BCEE}"/>
                </c:ext>
              </c:extLst>
            </c:dLbl>
            <c:dLbl>
              <c:idx val="18"/>
              <c:layout>
                <c:manualLayout>
                  <c:x val="-7.1952853719372031E-2"/>
                  <c:y val="2.1387396668874334E-2"/>
                </c:manualLayout>
              </c:layout>
              <c:tx>
                <c:rich>
                  <a:bodyPr/>
                  <a:lstStyle/>
                  <a:p>
                    <a:fld id="{7BD14D68-0FAB-4FB9-B02D-0DDAB48CADD5}"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2-68F7-4BD3-BF85-F87FA386BCEE}"/>
                </c:ext>
              </c:extLst>
            </c:dLbl>
            <c:dLbl>
              <c:idx val="19"/>
              <c:layout>
                <c:manualLayout>
                  <c:x val="-8.0354086174010859E-3"/>
                  <c:y val="2.3720165820393375E-3"/>
                </c:manualLayout>
              </c:layout>
              <c:tx>
                <c:rich>
                  <a:bodyPr/>
                  <a:lstStyle/>
                  <a:p>
                    <a:fld id="{D0177A79-A336-4D58-A984-001A618ACA19}"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3-68F7-4BD3-BF85-F87FA386BCEE}"/>
                </c:ext>
              </c:extLst>
            </c:dLbl>
            <c:dLbl>
              <c:idx val="20"/>
              <c:layout>
                <c:manualLayout>
                  <c:x val="-6.9417518462366115E-2"/>
                  <c:y val="1.7178600338509088E-2"/>
                </c:manualLayout>
              </c:layout>
              <c:tx>
                <c:rich>
                  <a:bodyPr/>
                  <a:lstStyle/>
                  <a:p>
                    <a:fld id="{2679D572-8385-42CF-9660-0DF4FC60500A}"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4-68F7-4BD3-BF85-F87FA386BCEE}"/>
                </c:ext>
              </c:extLst>
            </c:dLbl>
            <c:dLbl>
              <c:idx val="21"/>
              <c:layout>
                <c:manualLayout>
                  <c:x val="-0.11997196002673578"/>
                  <c:y val="-1.6788088404837132E-2"/>
                </c:manualLayout>
              </c:layout>
              <c:tx>
                <c:rich>
                  <a:bodyPr/>
                  <a:lstStyle/>
                  <a:p>
                    <a:fld id="{BE1908F3-4339-4F62-BA6F-3882E7A412D1}" type="CELLRANGE">
                      <a:rPr lang="sr-Cyrl-CS"/>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5-68F7-4BD3-BF85-F87FA386BCEE}"/>
                </c:ext>
              </c:extLst>
            </c:dLbl>
            <c:dLbl>
              <c:idx val="22"/>
              <c:layout>
                <c:manualLayout>
                  <c:x val="-1.2131200991180603E-2"/>
                  <c:y val="-3.6767483503814358E-3"/>
                </c:manualLayout>
              </c:layout>
              <c:tx>
                <c:rich>
                  <a:bodyPr/>
                  <a:lstStyle/>
                  <a:p>
                    <a:fld id="{F209EA8F-B7D8-406B-BBBE-82F798988597}"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6-68F7-4BD3-BF85-F87FA386BCEE}"/>
                </c:ext>
              </c:extLst>
            </c:dLbl>
            <c:dLbl>
              <c:idx val="23"/>
              <c:layout>
                <c:manualLayout>
                  <c:x val="-0.10497481293099233"/>
                  <c:y val="2.7313022788039345E-2"/>
                </c:manualLayout>
              </c:layout>
              <c:tx>
                <c:rich>
                  <a:bodyPr/>
                  <a:lstStyle/>
                  <a:p>
                    <a:fld id="{ED7361C1-3C14-4AC2-8313-AFAC34841E80}" type="CELLRANGE">
                      <a:rPr lang="sr-Cyrl-CS">
                        <a:solidFill>
                          <a:schemeClr val="tx1">
                            <a:lumMod val="50000"/>
                            <a:lumOff val="50000"/>
                          </a:schemeClr>
                        </a:solidFill>
                      </a:rPr>
                      <a:pPr/>
                      <a:t>[CELLRANGE]</a:t>
                    </a:fld>
                    <a:endParaRPr lang="sr-Latn-R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17-68F7-4BD3-BF85-F87FA386BCEE}"/>
                </c:ext>
              </c:extLst>
            </c:dLbl>
            <c:dLbl>
              <c:idx val="24"/>
              <c:layout>
                <c:manualLayout>
                  <c:x val="-0.12908592947620678"/>
                  <c:y val="-1.7120219785610912E-2"/>
                </c:manualLayout>
              </c:layout>
              <c:tx>
                <c:rich>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r>
                      <a:rPr lang="sr-Cyrl-CS" sz="700">
                        <a:solidFill>
                          <a:srgbClr val="44546A"/>
                        </a:solidFill>
                      </a:rPr>
                      <a:t>Кипар</a:t>
                    </a:r>
                  </a:p>
                </c:rich>
              </c:tx>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rgbClr val="44546A"/>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layout>
                    <c:manualLayout>
                      <c:w val="0.19879702537182853"/>
                      <c:h val="3.9968128983877013E-2"/>
                    </c:manualLayout>
                  </c15:layout>
                  <c15:showDataLabelsRange val="0"/>
                </c:ext>
                <c:ext xmlns:c16="http://schemas.microsoft.com/office/drawing/2014/chart" uri="{C3380CC4-5D6E-409C-BE32-E72D297353CC}">
                  <c16:uniqueId val="{00000018-68F7-4BD3-BF85-F87FA386BCEE}"/>
                </c:ext>
              </c:extLst>
            </c:dLbl>
            <c:dLbl>
              <c:idx val="25"/>
              <c:layout>
                <c:manualLayout>
                  <c:x val="-7.532221515788802E-2"/>
                  <c:y val="2.963818774989575E-2"/>
                </c:manualLayout>
              </c:layout>
              <c:tx>
                <c:rich>
                  <a:bodyPr/>
                  <a:lstStyle/>
                  <a:p>
                    <a:r>
                      <a:rPr lang="sr-Cyrl-CS"/>
                      <a:t>Португал</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68F7-4BD3-BF85-F87FA386BCEE}"/>
                </c:ext>
              </c:extLst>
            </c:dLbl>
            <c:dLbl>
              <c:idx val="26"/>
              <c:layout>
                <c:manualLayout>
                  <c:x val="-0.10188976377952756"/>
                  <c:y val="2.4320160914465073E-2"/>
                </c:manualLayout>
              </c:layout>
              <c:tx>
                <c:rich>
                  <a:bodyPr/>
                  <a:lstStyle/>
                  <a:p>
                    <a:r>
                      <a:rPr lang="sr-Cyrl-CS">
                        <a:solidFill>
                          <a:srgbClr val="44546A"/>
                        </a:solidFill>
                      </a:rPr>
                      <a:t>Србија</a:t>
                    </a:r>
                    <a:r>
                      <a:rPr lang="sr-Cyrl-CS" baseline="0">
                        <a:solidFill>
                          <a:srgbClr val="44546A"/>
                        </a:solidFill>
                      </a:rPr>
                      <a:t> 2020</a:t>
                    </a:r>
                    <a:endParaRPr lang="sr-Cyrl-CS">
                      <a:solidFill>
                        <a:srgbClr val="44546A"/>
                      </a:solidFill>
                    </a:endParaRP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A-68F7-4BD3-BF85-F87FA386BCEE}"/>
                </c:ext>
              </c:extLst>
            </c:dLbl>
            <c:dLbl>
              <c:idx val="27"/>
              <c:delete val="1"/>
              <c:extLst>
                <c:ext xmlns:c15="http://schemas.microsoft.com/office/drawing/2012/chart" uri="{CE6537A1-D6FC-4f65-9D91-7224C49458BB}"/>
                <c:ext xmlns:c16="http://schemas.microsoft.com/office/drawing/2014/chart" uri="{C3380CC4-5D6E-409C-BE32-E72D297353CC}">
                  <c16:uniqueId val="{0000001B-68F7-4BD3-BF85-F87FA386BCEE}"/>
                </c:ext>
              </c:extLst>
            </c:dLbl>
            <c:dLbl>
              <c:idx val="2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68F7-4BD3-BF85-F87FA386BCEE}"/>
                </c:ext>
              </c:extLst>
            </c:dLbl>
            <c:dLbl>
              <c:idx val="29"/>
              <c:layout>
                <c:manualLayout>
                  <c:x val="0.27121180204981443"/>
                  <c:y val="-0.10981647825182873"/>
                </c:manualLayout>
              </c:layout>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layout>
                    <c:manualLayout>
                      <c:w val="6.4583536111454121E-2"/>
                      <c:h val="3.6566409796610792E-2"/>
                    </c:manualLayout>
                  </c15:layout>
                  <c15:showDataLabelsRange val="0"/>
                </c:ext>
                <c:ext xmlns:c16="http://schemas.microsoft.com/office/drawing/2014/chart" uri="{C3380CC4-5D6E-409C-BE32-E72D297353CC}">
                  <c16:uniqueId val="{0000001D-68F7-4BD3-BF85-F87FA386BCEE}"/>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44546A"/>
                    </a:solidFill>
                    <a:latin typeface="+mn-lt"/>
                    <a:ea typeface="+mn-ea"/>
                    <a:cs typeface="+mn-cs"/>
                  </a:defRPr>
                </a:pPr>
                <a:endParaRPr lang="sr-Latn-R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rgbClr val="44546A"/>
                      </a:solidFill>
                      <a:round/>
                    </a:ln>
                    <a:effectLst/>
                  </c:spPr>
                </c15:leaderLines>
              </c:ext>
            </c:extLst>
          </c:dLbls>
          <c:xVal>
            <c:numRef>
              <c:f>'2020'!$D$4:$D$30</c:f>
              <c:numCache>
                <c:formatCode>0.00</c:formatCode>
                <c:ptCount val="27"/>
                <c:pt idx="0">
                  <c:v>0.88</c:v>
                </c:pt>
                <c:pt idx="1">
                  <c:v>0.88</c:v>
                </c:pt>
                <c:pt idx="2">
                  <c:v>0.23</c:v>
                </c:pt>
                <c:pt idx="3">
                  <c:v>0.37</c:v>
                </c:pt>
                <c:pt idx="4">
                  <c:v>0.84</c:v>
                </c:pt>
                <c:pt idx="5">
                  <c:v>0.46</c:v>
                </c:pt>
                <c:pt idx="6">
                  <c:v>0.4</c:v>
                </c:pt>
                <c:pt idx="7">
                  <c:v>0.67</c:v>
                </c:pt>
                <c:pt idx="8">
                  <c:v>0.88</c:v>
                </c:pt>
                <c:pt idx="9">
                  <c:v>0.84</c:v>
                </c:pt>
                <c:pt idx="10">
                  <c:v>0.32</c:v>
                </c:pt>
                <c:pt idx="11">
                  <c:v>1</c:v>
                </c:pt>
                <c:pt idx="12">
                  <c:v>0.49</c:v>
                </c:pt>
                <c:pt idx="13">
                  <c:v>0.67</c:v>
                </c:pt>
                <c:pt idx="14">
                  <c:v>0.4</c:v>
                </c:pt>
                <c:pt idx="15">
                  <c:v>0.23</c:v>
                </c:pt>
                <c:pt idx="16">
                  <c:v>0.49</c:v>
                </c:pt>
                <c:pt idx="17">
                  <c:v>0.6</c:v>
                </c:pt>
                <c:pt idx="18">
                  <c:v>0.4</c:v>
                </c:pt>
                <c:pt idx="19">
                  <c:v>0.53</c:v>
                </c:pt>
                <c:pt idx="20">
                  <c:v>0.73</c:v>
                </c:pt>
                <c:pt idx="21">
                  <c:v>0.72</c:v>
                </c:pt>
                <c:pt idx="22">
                  <c:v>0.88</c:v>
                </c:pt>
                <c:pt idx="23">
                  <c:v>0.18</c:v>
                </c:pt>
                <c:pt idx="24">
                  <c:v>0.72</c:v>
                </c:pt>
                <c:pt idx="25">
                  <c:v>0.96</c:v>
                </c:pt>
                <c:pt idx="26">
                  <c:v>0.47904191616766456</c:v>
                </c:pt>
              </c:numCache>
            </c:numRef>
          </c:xVal>
          <c:yVal>
            <c:numRef>
              <c:f>'2020'!$E$4:$E$30</c:f>
              <c:numCache>
                <c:formatCode>0.00</c:formatCode>
                <c:ptCount val="27"/>
                <c:pt idx="0">
                  <c:v>0.15</c:v>
                </c:pt>
                <c:pt idx="1">
                  <c:v>0.27</c:v>
                </c:pt>
                <c:pt idx="2">
                  <c:v>0.42</c:v>
                </c:pt>
                <c:pt idx="3">
                  <c:v>0.37</c:v>
                </c:pt>
                <c:pt idx="4">
                  <c:v>0.49</c:v>
                </c:pt>
                <c:pt idx="5">
                  <c:v>0.38</c:v>
                </c:pt>
                <c:pt idx="6">
                  <c:v>0.28999999999999998</c:v>
                </c:pt>
                <c:pt idx="7">
                  <c:v>0.4</c:v>
                </c:pt>
                <c:pt idx="8">
                  <c:v>0.38</c:v>
                </c:pt>
                <c:pt idx="9">
                  <c:v>0.25</c:v>
                </c:pt>
                <c:pt idx="10">
                  <c:v>0.47</c:v>
                </c:pt>
                <c:pt idx="11">
                  <c:v>0.21</c:v>
                </c:pt>
                <c:pt idx="12">
                  <c:v>0.48</c:v>
                </c:pt>
                <c:pt idx="13">
                  <c:v>0.21</c:v>
                </c:pt>
                <c:pt idx="14">
                  <c:v>0.36</c:v>
                </c:pt>
                <c:pt idx="15">
                  <c:v>0.33</c:v>
                </c:pt>
                <c:pt idx="16">
                  <c:v>0.18</c:v>
                </c:pt>
                <c:pt idx="17">
                  <c:v>0.27</c:v>
                </c:pt>
                <c:pt idx="18">
                  <c:v>0.48</c:v>
                </c:pt>
                <c:pt idx="19">
                  <c:v>0.47</c:v>
                </c:pt>
                <c:pt idx="20">
                  <c:v>0.44</c:v>
                </c:pt>
                <c:pt idx="21">
                  <c:v>0.28000000000000003</c:v>
                </c:pt>
                <c:pt idx="22">
                  <c:v>0.3</c:v>
                </c:pt>
                <c:pt idx="23">
                  <c:v>0.4</c:v>
                </c:pt>
                <c:pt idx="24">
                  <c:v>0.6</c:v>
                </c:pt>
                <c:pt idx="25">
                  <c:v>0.42</c:v>
                </c:pt>
                <c:pt idx="26">
                  <c:v>0.42307692307692302</c:v>
                </c:pt>
              </c:numCache>
            </c:numRef>
          </c:yVal>
          <c:smooth val="0"/>
          <c:extLst>
            <c:ext xmlns:c15="http://schemas.microsoft.com/office/drawing/2012/chart" uri="{02D57815-91ED-43cb-92C2-25804820EDAC}">
              <c15:datalabelsRange>
                <c15:f>'2020'!$B$4:$B$31</c15:f>
                <c15:dlblRangeCache>
                  <c:ptCount val="28"/>
                  <c:pt idx="0">
                    <c:v>Аустрија</c:v>
                  </c:pt>
                  <c:pt idx="1">
                    <c:v>Белгија</c:v>
                  </c:pt>
                  <c:pt idx="2">
                    <c:v>Бугарска</c:v>
                  </c:pt>
                  <c:pt idx="3">
                    <c:v>Чешка</c:v>
                  </c:pt>
                  <c:pt idx="4">
                    <c:v>Хрватска</c:v>
                  </c:pt>
                  <c:pt idx="5">
                    <c:v>Данска</c:v>
                  </c:pt>
                  <c:pt idx="6">
                    <c:v>Естонија</c:v>
                  </c:pt>
                  <c:pt idx="7">
                    <c:v>Финска</c:v>
                  </c:pt>
                  <c:pt idx="8">
                    <c:v>Француска</c:v>
                  </c:pt>
                  <c:pt idx="9">
                    <c:v>Мађарска</c:v>
                  </c:pt>
                  <c:pt idx="10">
                    <c:v>Ирска</c:v>
                  </c:pt>
                  <c:pt idx="11">
                    <c:v>Италија</c:v>
                  </c:pt>
                  <c:pt idx="12">
                    <c:v>Летонија</c:v>
                  </c:pt>
                  <c:pt idx="13">
                    <c:v>Немачка</c:v>
                  </c:pt>
                  <c:pt idx="14">
                    <c:v>Литванија</c:v>
                  </c:pt>
                  <c:pt idx="15">
                    <c:v>Луксембург</c:v>
                  </c:pt>
                  <c:pt idx="16">
                    <c:v>Малта</c:v>
                  </c:pt>
                  <c:pt idx="17">
                    <c:v>Холандија</c:v>
                  </c:pt>
                  <c:pt idx="18">
                    <c:v>Пољска</c:v>
                  </c:pt>
                  <c:pt idx="19">
                    <c:v>Румунија</c:v>
                  </c:pt>
                  <c:pt idx="20">
                    <c:v>Словачка</c:v>
                  </c:pt>
                  <c:pt idx="21">
                    <c:v>Словенија</c:v>
                  </c:pt>
                  <c:pt idx="22">
                    <c:v>Шпанија</c:v>
                  </c:pt>
                  <c:pt idx="23">
                    <c:v>Шведска</c:v>
                  </c:pt>
                  <c:pt idx="24">
                    <c:v>Кипар</c:v>
                  </c:pt>
                  <c:pt idx="25">
                    <c:v>Португал</c:v>
                  </c:pt>
                  <c:pt idx="26">
                    <c:v>Србија 2020</c:v>
                  </c:pt>
                  <c:pt idx="27">
                    <c:v>Србија 2019,2018,2017</c:v>
                  </c:pt>
                </c15:dlblRangeCache>
              </c15:datalabelsRange>
            </c:ext>
            <c:ext xmlns:c16="http://schemas.microsoft.com/office/drawing/2014/chart" uri="{C3380CC4-5D6E-409C-BE32-E72D297353CC}">
              <c16:uniqueId val="{0000001E-68F7-4BD3-BF85-F87FA386BCEE}"/>
            </c:ext>
          </c:extLst>
        </c:ser>
        <c:dLbls>
          <c:showLegendKey val="0"/>
          <c:showVal val="0"/>
          <c:showCatName val="0"/>
          <c:showSerName val="0"/>
          <c:showPercent val="0"/>
          <c:showBubbleSize val="0"/>
        </c:dLbls>
        <c:axId val="-262788736"/>
        <c:axId val="-262793088"/>
      </c:scatterChart>
      <c:valAx>
        <c:axId val="-262788736"/>
        <c:scaling>
          <c:orientation val="minMax"/>
        </c:scaling>
        <c:delete val="0"/>
        <c:axPos val="b"/>
        <c:title>
          <c:tx>
            <c:rich>
              <a:bodyPr rot="0" spcFirstLastPara="1" vertOverflow="ellipsis" vert="horz" wrap="square" anchor="ctr" anchorCtr="1"/>
              <a:lstStyle/>
              <a:p>
                <a:pPr>
                  <a:defRPr sz="800" b="0" i="0" u="none" strike="noStrike" kern="1200" baseline="0">
                    <a:solidFill>
                      <a:srgbClr val="44546A"/>
                    </a:solidFill>
                    <a:latin typeface="+mj-lt"/>
                    <a:ea typeface="+mn-ea"/>
                    <a:cs typeface="+mn-cs"/>
                  </a:defRPr>
                </a:pPr>
                <a:r>
                  <a:rPr lang="sr-Cyrl-RS" sz="800">
                    <a:solidFill>
                      <a:srgbClr val="44546A"/>
                    </a:solidFill>
                    <a:latin typeface="+mj-lt"/>
                  </a:rPr>
                  <a:t>Фискални подиндекс</a:t>
                </a:r>
                <a:endParaRPr lang="en-US" sz="800">
                  <a:solidFill>
                    <a:srgbClr val="44546A"/>
                  </a:solidFill>
                  <a:latin typeface="+mj-lt"/>
                </a:endParaRPr>
              </a:p>
            </c:rich>
          </c:tx>
          <c:layout>
            <c:manualLayout>
              <c:xMode val="edge"/>
              <c:yMode val="edge"/>
              <c:x val="0.37949571303587054"/>
              <c:y val="0.89777865466133366"/>
            </c:manualLayout>
          </c:layout>
          <c:overlay val="0"/>
          <c:spPr>
            <a:noFill/>
            <a:ln>
              <a:noFill/>
            </a:ln>
            <a:effectLst/>
          </c:spPr>
          <c:txPr>
            <a:bodyPr rot="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sr-Latn-RS"/>
            </a:p>
          </c:txPr>
        </c:title>
        <c:numFmt formatCode="0.0" sourceLinked="0"/>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sr-Latn-RS"/>
          </a:p>
        </c:txPr>
        <c:crossAx val="-262793088"/>
        <c:crosses val="autoZero"/>
        <c:crossBetween val="midCat"/>
      </c:valAx>
      <c:valAx>
        <c:axId val="-262793088"/>
        <c:scaling>
          <c:orientation val="minMax"/>
        </c:scaling>
        <c:delete val="0"/>
        <c:axPos val="l"/>
        <c:title>
          <c:tx>
            <c:rich>
              <a:bodyPr rot="-5400000" spcFirstLastPara="1" vertOverflow="ellipsis" vert="horz" wrap="square" anchor="ctr" anchorCtr="1"/>
              <a:lstStyle/>
              <a:p>
                <a:pPr>
                  <a:defRPr sz="800" b="0" i="0" u="none" strike="noStrike" kern="1200" baseline="0">
                    <a:solidFill>
                      <a:srgbClr val="44546A"/>
                    </a:solidFill>
                    <a:latin typeface="+mj-lt"/>
                    <a:ea typeface="+mn-ea"/>
                    <a:cs typeface="+mn-cs"/>
                  </a:defRPr>
                </a:pPr>
                <a:r>
                  <a:rPr lang="sr-Cyrl-RS" sz="800">
                    <a:solidFill>
                      <a:srgbClr val="44546A"/>
                    </a:solidFill>
                    <a:latin typeface="+mj-lt"/>
                  </a:rPr>
                  <a:t>Подиндекс макро-финансијске конкурентности</a:t>
                </a:r>
                <a:endParaRPr lang="en-US" sz="800">
                  <a:solidFill>
                    <a:srgbClr val="44546A"/>
                  </a:solidFill>
                  <a:latin typeface="+mj-lt"/>
                </a:endParaRPr>
              </a:p>
            </c:rich>
          </c:tx>
          <c:layout>
            <c:manualLayout>
              <c:xMode val="edge"/>
              <c:yMode val="edge"/>
              <c:x val="1.0966563962113431E-2"/>
              <c:y val="0.2048664360880123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sr-Latn-RS"/>
            </a:p>
          </c:txPr>
        </c:title>
        <c:numFmt formatCode="0.0" sourceLinked="0"/>
        <c:majorTickMark val="none"/>
        <c:minorTickMark val="none"/>
        <c:tickLblPos val="nextTo"/>
        <c:spPr>
          <a:noFill/>
          <a:ln w="6350" cap="flat" cmpd="sng" algn="ctr">
            <a:solidFill>
              <a:srgbClr val="44546A"/>
            </a:solidFill>
            <a:round/>
          </a:ln>
          <a:effectLst/>
        </c:spPr>
        <c:txPr>
          <a:bodyPr rot="-6000000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sr-Latn-RS"/>
          </a:p>
        </c:txPr>
        <c:crossAx val="-262788736"/>
        <c:crosses val="autoZero"/>
        <c:crossBetween val="midCat"/>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3">
    <c:autoUpdate val="0"/>
  </c:externalData>
  <c:userShapes r:id="rId4"/>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autoTitleDeleted val="1"/>
    <c:plotArea>
      <c:layout>
        <c:manualLayout>
          <c:layoutTarget val="inner"/>
          <c:xMode val="edge"/>
          <c:yMode val="edge"/>
          <c:x val="6.7459992081995337E-2"/>
          <c:y val="7.2473272219271717E-2"/>
          <c:w val="0.86085801063022016"/>
          <c:h val="0.63060409237701598"/>
        </c:manualLayout>
      </c:layout>
      <c:barChart>
        <c:barDir val="col"/>
        <c:grouping val="clustered"/>
        <c:varyColors val="0"/>
        <c:ser>
          <c:idx val="0"/>
          <c:order val="0"/>
          <c:tx>
            <c:strRef>
              <c:f>'мемо 2011-2016'!$D$50</c:f>
              <c:strCache>
                <c:ptCount val="1"/>
                <c:pt idx="0">
                  <c:v>дуг</c:v>
                </c:pt>
              </c:strCache>
            </c:strRef>
          </c:tx>
          <c:spPr>
            <a:solidFill>
              <a:schemeClr val="accent1"/>
            </a:solidFill>
          </c:spPr>
          <c:invertIfNegative val="0"/>
          <c:dLbls>
            <c:numFmt formatCode="#,##0.0" sourceLinked="0"/>
            <c:spPr>
              <a:noFill/>
              <a:ln>
                <a:noFill/>
              </a:ln>
              <a:effectLst/>
            </c:spPr>
            <c:txPr>
              <a:bodyPr/>
              <a:lstStyle/>
              <a:p>
                <a:pPr>
                  <a:defRPr>
                    <a:solidFill>
                      <a:schemeClr val="bg1"/>
                    </a:solidFill>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'мемо 2011-2016'!$J$48:$S$48</c:f>
              <c:numCache>
                <c:formatCode>General</c:formatCode>
                <c:ptCount val="10"/>
                <c:pt idx="0">
                  <c:v>2015</c:v>
                </c:pt>
                <c:pt idx="1">
                  <c:v>2016</c:v>
                </c:pt>
                <c:pt idx="2">
                  <c:v>2017</c:v>
                </c:pt>
                <c:pt idx="3">
                  <c:v>2018</c:v>
                </c:pt>
                <c:pt idx="4">
                  <c:v>2019</c:v>
                </c:pt>
                <c:pt idx="5">
                  <c:v>2020</c:v>
                </c:pt>
                <c:pt idx="6">
                  <c:v>2021</c:v>
                </c:pt>
                <c:pt idx="7">
                  <c:v>2022</c:v>
                </c:pt>
                <c:pt idx="8">
                  <c:v>2023</c:v>
                </c:pt>
                <c:pt idx="9">
                  <c:v>2024</c:v>
                </c:pt>
              </c:numCache>
            </c:numRef>
          </c:cat>
          <c:val>
            <c:numRef>
              <c:f>'мемо 2011-2016'!$J$50:$S$50</c:f>
              <c:numCache>
                <c:formatCode>#,##0.0</c:formatCode>
                <c:ptCount val="10"/>
                <c:pt idx="0">
                  <c:v>71.199826125969352</c:v>
                </c:pt>
                <c:pt idx="1">
                  <c:v>68.698445741619125</c:v>
                </c:pt>
                <c:pt idx="2">
                  <c:v>58.615511734368184</c:v>
                </c:pt>
                <c:pt idx="3" formatCode="0.0">
                  <c:v>54.353090578805471</c:v>
                </c:pt>
                <c:pt idx="4" formatCode="General">
                  <c:v>52.9</c:v>
                </c:pt>
                <c:pt idx="5" formatCode="General">
                  <c:v>58.2</c:v>
                </c:pt>
                <c:pt idx="6" formatCode="General">
                  <c:v>60</c:v>
                </c:pt>
                <c:pt idx="7" formatCode="General">
                  <c:v>59.3</c:v>
                </c:pt>
                <c:pt idx="8" formatCode="General">
                  <c:v>57.6</c:v>
                </c:pt>
                <c:pt idx="9" formatCode="General">
                  <c:v>55.5</c:v>
                </c:pt>
              </c:numCache>
            </c:numRef>
          </c:val>
          <c:extLst>
            <c:ext xmlns:c16="http://schemas.microsoft.com/office/drawing/2014/chart" uri="{C3380CC4-5D6E-409C-BE32-E72D297353CC}">
              <c16:uniqueId val="{00000000-37A2-489B-8134-EB789C4B3826}"/>
            </c:ext>
          </c:extLst>
        </c:ser>
        <c:dLbls>
          <c:showLegendKey val="0"/>
          <c:showVal val="0"/>
          <c:showCatName val="0"/>
          <c:showSerName val="0"/>
          <c:showPercent val="0"/>
          <c:showBubbleSize val="0"/>
        </c:dLbls>
        <c:gapWidth val="55"/>
        <c:overlap val="24"/>
        <c:axId val="489725552"/>
        <c:axId val="489725944"/>
      </c:barChart>
      <c:lineChart>
        <c:grouping val="standard"/>
        <c:varyColors val="0"/>
        <c:ser>
          <c:idx val="2"/>
          <c:order val="1"/>
          <c:tx>
            <c:strRef>
              <c:f>'мемо 2011-2016'!$D$49</c:f>
              <c:strCache>
                <c:ptCount val="1"/>
                <c:pt idx="0">
                  <c:v>резултат (десна скала)</c:v>
                </c:pt>
              </c:strCache>
            </c:strRef>
          </c:tx>
          <c:spPr>
            <a:ln>
              <a:solidFill>
                <a:srgbClr val="FF0000"/>
              </a:solidFill>
            </a:ln>
          </c:spPr>
          <c:marker>
            <c:symbol val="none"/>
          </c:marker>
          <c:dLbls>
            <c:dLbl>
              <c:idx val="0"/>
              <c:layout>
                <c:manualLayout>
                  <c:x val="-3.1965160779483567E-2"/>
                  <c:y val="1.67574361122748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A2-489B-8134-EB789C4B3826}"/>
                </c:ext>
              </c:extLst>
            </c:dLbl>
            <c:dLbl>
              <c:idx val="1"/>
              <c:layout>
                <c:manualLayout>
                  <c:x val="-2.1348700127567854E-2"/>
                  <c:y val="-9.2231872775433866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A2-489B-8134-EB789C4B3826}"/>
                </c:ext>
              </c:extLst>
            </c:dLbl>
            <c:dLbl>
              <c:idx val="2"/>
              <c:layout>
                <c:manualLayout>
                  <c:x val="-3.2717899089429466E-2"/>
                  <c:y val="2.83853814460875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A2-489B-8134-EB789C4B3826}"/>
                </c:ext>
              </c:extLst>
            </c:dLbl>
            <c:dLbl>
              <c:idx val="3"/>
              <c:layout>
                <c:manualLayout>
                  <c:x val="-4.1996744820305326E-2"/>
                  <c:y val="-4.5056391411484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A2-489B-8134-EB789C4B3826}"/>
                </c:ext>
              </c:extLst>
            </c:dLbl>
            <c:dLbl>
              <c:idx val="4"/>
              <c:layout>
                <c:manualLayout>
                  <c:x val="-1.8387366383671395E-2"/>
                  <c:y val="3.98404744861437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A2-489B-8134-EB789C4B3826}"/>
                </c:ext>
              </c:extLst>
            </c:dLbl>
            <c:dLbl>
              <c:idx val="5"/>
              <c:layout>
                <c:manualLayout>
                  <c:x val="-4.0903708265517091E-2"/>
                  <c:y val="-4.18935902806870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A2-489B-8134-EB789C4B3826}"/>
                </c:ext>
              </c:extLst>
            </c:dLbl>
            <c:dLbl>
              <c:idx val="6"/>
              <c:layout>
                <c:manualLayout>
                  <c:x val="-2.9511635067962873E-2"/>
                  <c:y val="9.960118621535944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A2-489B-8134-EB789C4B3826}"/>
                </c:ext>
              </c:extLst>
            </c:dLbl>
            <c:dLbl>
              <c:idx val="7"/>
              <c:layout>
                <c:manualLayout>
                  <c:x val="-3.5924163110896051E-2"/>
                  <c:y val="3.162801130797028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A2-489B-8134-EB789C4B3826}"/>
                </c:ext>
              </c:extLst>
            </c:dLbl>
            <c:dLbl>
              <c:idx val="8"/>
              <c:layout>
                <c:manualLayout>
                  <c:x val="-3.128491620111732E-2"/>
                  <c:y val="1.67574361122748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A2-489B-8134-EB789C4B3826}"/>
                </c:ext>
              </c:extLst>
            </c:dLbl>
            <c:dLbl>
              <c:idx val="9"/>
              <c:layout>
                <c:manualLayout>
                  <c:x val="-3.128491620111732E-2"/>
                  <c:y val="1.67574361122748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7A2-489B-8134-EB789C4B3826}"/>
                </c:ext>
              </c:extLst>
            </c:dLbl>
            <c:numFmt formatCode="#,##0.0" sourceLinked="0"/>
            <c:spPr>
              <a:noFill/>
              <a:ln>
                <a:noFill/>
              </a:ln>
              <a:effectLst/>
            </c:spPr>
            <c:txPr>
              <a:bodyPr/>
              <a:lstStyle/>
              <a:p>
                <a:pPr>
                  <a:defRPr b="1">
                    <a:solidFill>
                      <a:srgbClr val="002060"/>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'мемо 2011-2016'!$J$49:$S$49</c:f>
              <c:numCache>
                <c:formatCode>#,##0.0</c:formatCode>
                <c:ptCount val="10"/>
                <c:pt idx="0">
                  <c:v>-3.4574923786243579</c:v>
                </c:pt>
                <c:pt idx="1">
                  <c:v>-1.1977763417297731</c:v>
                </c:pt>
                <c:pt idx="2">
                  <c:v>1.099509271415023</c:v>
                </c:pt>
                <c:pt idx="3" formatCode="0.0">
                  <c:v>0.63691314414627054</c:v>
                </c:pt>
                <c:pt idx="4">
                  <c:v>-0.2</c:v>
                </c:pt>
                <c:pt idx="5">
                  <c:v>-8.1</c:v>
                </c:pt>
                <c:pt idx="6">
                  <c:v>-6.9</c:v>
                </c:pt>
                <c:pt idx="7">
                  <c:v>-3</c:v>
                </c:pt>
                <c:pt idx="8" formatCode="General">
                  <c:v>-1.5</c:v>
                </c:pt>
                <c:pt idx="9" formatCode="General">
                  <c:v>-1</c:v>
                </c:pt>
              </c:numCache>
            </c:numRef>
          </c:val>
          <c:smooth val="1"/>
          <c:extLst>
            <c:ext xmlns:c16="http://schemas.microsoft.com/office/drawing/2014/chart" uri="{C3380CC4-5D6E-409C-BE32-E72D297353CC}">
              <c16:uniqueId val="{00000009-37A2-489B-8134-EB789C4B3826}"/>
            </c:ext>
          </c:extLst>
        </c:ser>
        <c:ser>
          <c:idx val="1"/>
          <c:order val="2"/>
          <c:tx>
            <c:strRef>
              <c:f>'мемо 2011-2016'!$D$51</c:f>
              <c:strCache>
                <c:ptCount val="1"/>
                <c:pt idx="0">
                  <c:v>баланс</c:v>
                </c:pt>
              </c:strCache>
            </c:strRef>
          </c:tx>
          <c:spPr>
            <a:ln w="22225">
              <a:solidFill>
                <a:schemeClr val="tx1"/>
              </a:solidFill>
            </a:ln>
          </c:spPr>
          <c:marker>
            <c:symbol val="none"/>
          </c:marker>
          <c:val>
            <c:numRef>
              <c:f>'мемо 2011-2016'!$J$51:$S$51</c:f>
              <c:numCache>
                <c:formatCode>#,##0.0</c:formatCode>
                <c:ptCount val="10"/>
                <c:pt idx="0">
                  <c:v>0</c:v>
                </c:pt>
                <c:pt idx="1">
                  <c:v>0</c:v>
                </c:pt>
                <c:pt idx="2">
                  <c:v>0</c:v>
                </c:pt>
                <c:pt idx="3">
                  <c:v>0</c:v>
                </c:pt>
                <c:pt idx="4">
                  <c:v>0</c:v>
                </c:pt>
                <c:pt idx="5">
                  <c:v>0</c:v>
                </c:pt>
                <c:pt idx="6">
                  <c:v>0</c:v>
                </c:pt>
                <c:pt idx="7">
                  <c:v>0</c:v>
                </c:pt>
                <c:pt idx="8" formatCode="General">
                  <c:v>0</c:v>
                </c:pt>
                <c:pt idx="9" formatCode="General">
                  <c:v>0</c:v>
                </c:pt>
              </c:numCache>
            </c:numRef>
          </c:val>
          <c:smooth val="0"/>
          <c:extLst>
            <c:ext xmlns:c16="http://schemas.microsoft.com/office/drawing/2014/chart" uri="{C3380CC4-5D6E-409C-BE32-E72D297353CC}">
              <c16:uniqueId val="{0000000A-37A2-489B-8134-EB789C4B3826}"/>
            </c:ext>
          </c:extLst>
        </c:ser>
        <c:dLbls>
          <c:showLegendKey val="0"/>
          <c:showVal val="0"/>
          <c:showCatName val="0"/>
          <c:showSerName val="0"/>
          <c:showPercent val="0"/>
          <c:showBubbleSize val="0"/>
        </c:dLbls>
        <c:marker val="1"/>
        <c:smooth val="0"/>
        <c:axId val="489726728"/>
        <c:axId val="489726336"/>
      </c:lineChart>
      <c:catAx>
        <c:axId val="489725552"/>
        <c:scaling>
          <c:orientation val="minMax"/>
        </c:scaling>
        <c:delete val="0"/>
        <c:axPos val="b"/>
        <c:numFmt formatCode="General" sourceLinked="1"/>
        <c:majorTickMark val="out"/>
        <c:minorTickMark val="none"/>
        <c:tickLblPos val="nextTo"/>
        <c:spPr>
          <a:ln>
            <a:noFill/>
          </a:ln>
        </c:spPr>
        <c:crossAx val="489725944"/>
        <c:crossesAt val="0"/>
        <c:auto val="1"/>
        <c:lblAlgn val="ctr"/>
        <c:lblOffset val="100"/>
        <c:noMultiLvlLbl val="0"/>
      </c:catAx>
      <c:valAx>
        <c:axId val="489725944"/>
        <c:scaling>
          <c:orientation val="minMax"/>
          <c:max val="80"/>
          <c:min val="40"/>
        </c:scaling>
        <c:delete val="0"/>
        <c:axPos val="l"/>
        <c:majorGridlines>
          <c:spPr>
            <a:ln>
              <a:noFill/>
            </a:ln>
          </c:spPr>
        </c:majorGridlines>
        <c:numFmt formatCode="#,##0" sourceLinked="0"/>
        <c:majorTickMark val="out"/>
        <c:minorTickMark val="none"/>
        <c:tickLblPos val="nextTo"/>
        <c:spPr>
          <a:ln>
            <a:noFill/>
          </a:ln>
        </c:spPr>
        <c:crossAx val="489725552"/>
        <c:crosses val="autoZero"/>
        <c:crossBetween val="between"/>
        <c:majorUnit val="5"/>
      </c:valAx>
      <c:valAx>
        <c:axId val="489726336"/>
        <c:scaling>
          <c:orientation val="minMax"/>
        </c:scaling>
        <c:delete val="0"/>
        <c:axPos val="r"/>
        <c:numFmt formatCode="#,##0" sourceLinked="0"/>
        <c:majorTickMark val="out"/>
        <c:minorTickMark val="none"/>
        <c:tickLblPos val="nextTo"/>
        <c:spPr>
          <a:ln>
            <a:noFill/>
          </a:ln>
        </c:spPr>
        <c:txPr>
          <a:bodyPr rot="60000" anchor="b" anchorCtr="0"/>
          <a:lstStyle/>
          <a:p>
            <a:pPr>
              <a:defRPr/>
            </a:pPr>
            <a:endParaRPr lang="sr-Latn-RS"/>
          </a:p>
        </c:txPr>
        <c:crossAx val="489726728"/>
        <c:crosses val="max"/>
        <c:crossBetween val="between"/>
      </c:valAx>
      <c:catAx>
        <c:axId val="489726728"/>
        <c:scaling>
          <c:orientation val="minMax"/>
        </c:scaling>
        <c:delete val="1"/>
        <c:axPos val="b"/>
        <c:majorTickMark val="out"/>
        <c:minorTickMark val="none"/>
        <c:tickLblPos val="nextTo"/>
        <c:crossAx val="489726336"/>
        <c:crosses val="autoZero"/>
        <c:auto val="1"/>
        <c:lblAlgn val="ctr"/>
        <c:lblOffset val="100"/>
        <c:noMultiLvlLbl val="0"/>
      </c:catAx>
      <c:spPr>
        <a:noFill/>
        <a:ln>
          <a:noFill/>
        </a:ln>
      </c:spPr>
    </c:plotArea>
    <c:legend>
      <c:legendPos val="b"/>
      <c:layout>
        <c:manualLayout>
          <c:xMode val="edge"/>
          <c:yMode val="edge"/>
          <c:x val="4.9999912022170412E-2"/>
          <c:y val="0.85703004133280991"/>
          <c:w val="0.89999982404434087"/>
          <c:h val="9.2697650330365602E-2"/>
        </c:manualLayout>
      </c:layout>
      <c:overlay val="0"/>
    </c:legend>
    <c:plotVisOnly val="1"/>
    <c:dispBlanksAs val="gap"/>
    <c:showDLblsOverMax val="0"/>
  </c:chart>
  <c:spPr>
    <a:noFill/>
    <a:ln>
      <a:noFill/>
    </a:ln>
  </c:spPr>
  <c:txPr>
    <a:bodyPr/>
    <a:lstStyle/>
    <a:p>
      <a:pPr>
        <a:defRPr sz="700" baseline="0">
          <a:solidFill>
            <a:schemeClr val="tx2"/>
          </a:solidFill>
          <a:latin typeface="+mn-lt"/>
        </a:defRPr>
      </a:pPr>
      <a:endParaRPr lang="sr-Latn-RS"/>
    </a:p>
  </c:txPr>
  <c:externalData r:id="rId1">
    <c:autoUpdate val="0"/>
  </c:externalData>
  <c:userShapes r:id="rId2"/>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18766404199474"/>
          <c:y val="3.905712020189514E-2"/>
          <c:w val="0.79868292505103533"/>
          <c:h val="0.60517467725608831"/>
        </c:manualLayout>
      </c:layout>
      <c:barChart>
        <c:barDir val="col"/>
        <c:grouping val="clustered"/>
        <c:varyColors val="0"/>
        <c:ser>
          <c:idx val="0"/>
          <c:order val="0"/>
          <c:tx>
            <c:strRef>
              <c:f>'отплата по гаранцијама'!$A$9</c:f>
              <c:strCache>
                <c:ptCount val="1"/>
                <c:pt idx="0">
                  <c:v>укупно отплата по основу активираних гаранција (главница и камата)</c:v>
                </c:pt>
              </c:strCache>
            </c:strRef>
          </c:tx>
          <c:spPr>
            <a:solidFill>
              <a:srgbClr val="002060"/>
            </a:solidFill>
            <a:ln>
              <a:noFill/>
            </a:ln>
            <a:effectLst/>
          </c:spPr>
          <c:invertIfNegative val="0"/>
          <c:dLbls>
            <c:numFmt formatCode="#,##0" sourceLinked="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('отплата по гаранцијама'!$B$6:$K$6,'отплата по гаранцијама'!$L$6,'отплата по гаранцијама'!$M$6)</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план 2021</c:v>
                </c:pt>
              </c:strCache>
            </c:strRef>
          </c:cat>
          <c:val>
            <c:numRef>
              <c:f>('отплата по гаранцијама'!$B$9:$K$9,'отплата по гаранцијама'!$L$9,'отплата по гаранцијама'!$M$9)</c:f>
              <c:numCache>
                <c:formatCode>#,##0.0</c:formatCode>
                <c:ptCount val="12"/>
                <c:pt idx="0">
                  <c:v>7.1223607356</c:v>
                </c:pt>
                <c:pt idx="1">
                  <c:v>8.5279430158300009</c:v>
                </c:pt>
                <c:pt idx="2">
                  <c:v>21.801771739400003</c:v>
                </c:pt>
                <c:pt idx="3">
                  <c:v>29.24781463219</c:v>
                </c:pt>
                <c:pt idx="4">
                  <c:v>50.532726522689998</c:v>
                </c:pt>
                <c:pt idx="5">
                  <c:v>47.198649079570004</c:v>
                </c:pt>
                <c:pt idx="6">
                  <c:v>55.260000000000005</c:v>
                </c:pt>
                <c:pt idx="7">
                  <c:v>36.670999999999999</c:v>
                </c:pt>
                <c:pt idx="8">
                  <c:v>26.008000000000003</c:v>
                </c:pt>
                <c:pt idx="9">
                  <c:v>17.100000000000001</c:v>
                </c:pt>
                <c:pt idx="10">
                  <c:v>13.23</c:v>
                </c:pt>
                <c:pt idx="11">
                  <c:v>18</c:v>
                </c:pt>
              </c:numCache>
            </c:numRef>
          </c:val>
          <c:extLst>
            <c:ext xmlns:c16="http://schemas.microsoft.com/office/drawing/2014/chart" uri="{C3380CC4-5D6E-409C-BE32-E72D297353CC}">
              <c16:uniqueId val="{00000000-980A-47B8-B70B-688E07AF057C}"/>
            </c:ext>
          </c:extLst>
        </c:ser>
        <c:ser>
          <c:idx val="1"/>
          <c:order val="1"/>
          <c:tx>
            <c:strRef>
              <c:f>'отплата по гаранцијама'!$A$12</c:f>
              <c:strCache>
                <c:ptCount val="1"/>
                <c:pt idx="0">
                  <c:v>отплата гаранција (главница) укључена у расходе (утиче на дефицит)</c:v>
                </c:pt>
              </c:strCache>
            </c:strRef>
          </c:tx>
          <c:spPr>
            <a:solidFill>
              <a:srgbClr val="FF0000"/>
            </a:solidFill>
            <a:ln>
              <a:noFill/>
            </a:ln>
            <a:effectLst/>
          </c:spPr>
          <c:invertIfNegative val="0"/>
          <c:dLbls>
            <c:dLbl>
              <c:idx val="4"/>
              <c:layout>
                <c:manualLayout>
                  <c:x val="4.6457607433217189E-3"/>
                  <c:y val="-1.338240214118434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7-475A-87D2-CAE123571684}"/>
                </c:ext>
              </c:extLst>
            </c:dLbl>
            <c:dLbl>
              <c:idx val="5"/>
              <c:layout>
                <c:manualLayout>
                  <c:x val="1.3937282229965157E-2"/>
                  <c:y val="-2.00736032117765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7-475A-87D2-CAE123571684}"/>
                </c:ext>
              </c:extLst>
            </c:dLbl>
            <c:numFmt formatCode="#,##0" sourceLinked="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('отплата по гаранцијама'!$B$6:$K$6,'отплата по гаранцијама'!$L$6,'отплата по гаранцијама'!$M$6)</c:f>
              <c:strCache>
                <c:ptCount val="12"/>
                <c:pt idx="0">
                  <c:v>2010</c:v>
                </c:pt>
                <c:pt idx="1">
                  <c:v>2011</c:v>
                </c:pt>
                <c:pt idx="2">
                  <c:v>2012</c:v>
                </c:pt>
                <c:pt idx="3">
                  <c:v>2013</c:v>
                </c:pt>
                <c:pt idx="4">
                  <c:v>2014</c:v>
                </c:pt>
                <c:pt idx="5">
                  <c:v>2015</c:v>
                </c:pt>
                <c:pt idx="6">
                  <c:v>2016</c:v>
                </c:pt>
                <c:pt idx="7">
                  <c:v>2017</c:v>
                </c:pt>
                <c:pt idx="8">
                  <c:v>2018</c:v>
                </c:pt>
                <c:pt idx="9">
                  <c:v>2019</c:v>
                </c:pt>
                <c:pt idx="10">
                  <c:v>2020</c:v>
                </c:pt>
                <c:pt idx="11">
                  <c:v>план 2021</c:v>
                </c:pt>
              </c:strCache>
            </c:strRef>
          </c:cat>
          <c:val>
            <c:numRef>
              <c:f>('отплата по гаранцијама'!$B$12:$K$12,'отплата по гаранцијама'!$L$12,'отплата по гаранцијама'!$M$12)</c:f>
              <c:numCache>
                <c:formatCode>#,##0.0</c:formatCode>
                <c:ptCount val="12"/>
                <c:pt idx="0">
                  <c:v>2.674881351645765</c:v>
                </c:pt>
                <c:pt idx="1">
                  <c:v>3.2720462825288967</c:v>
                </c:pt>
                <c:pt idx="2">
                  <c:v>3.7383145665062099</c:v>
                </c:pt>
                <c:pt idx="3">
                  <c:v>7.8968196386440637</c:v>
                </c:pt>
                <c:pt idx="4">
                  <c:v>29.650835693314061</c:v>
                </c:pt>
                <c:pt idx="5">
                  <c:v>30.099999999999998</c:v>
                </c:pt>
                <c:pt idx="6">
                  <c:v>39.116</c:v>
                </c:pt>
                <c:pt idx="7">
                  <c:v>28.8</c:v>
                </c:pt>
                <c:pt idx="8">
                  <c:v>19.727</c:v>
                </c:pt>
                <c:pt idx="9">
                  <c:v>10.788</c:v>
                </c:pt>
                <c:pt idx="10">
                  <c:v>7.5</c:v>
                </c:pt>
                <c:pt idx="11" formatCode="General">
                  <c:v>11.7</c:v>
                </c:pt>
              </c:numCache>
            </c:numRef>
          </c:val>
          <c:extLst>
            <c:ext xmlns:c16="http://schemas.microsoft.com/office/drawing/2014/chart" uri="{C3380CC4-5D6E-409C-BE32-E72D297353CC}">
              <c16:uniqueId val="{00000001-980A-47B8-B70B-688E07AF057C}"/>
            </c:ext>
          </c:extLst>
        </c:ser>
        <c:dLbls>
          <c:showLegendKey val="0"/>
          <c:showVal val="0"/>
          <c:showCatName val="0"/>
          <c:showSerName val="0"/>
          <c:showPercent val="0"/>
          <c:showBubbleSize val="0"/>
        </c:dLbls>
        <c:gapWidth val="150"/>
        <c:axId val="317812640"/>
        <c:axId val="320971984"/>
      </c:barChart>
      <c:catAx>
        <c:axId val="317812640"/>
        <c:scaling>
          <c:orientation val="minMax"/>
        </c:scaling>
        <c:delete val="0"/>
        <c:axPos val="b"/>
        <c:numFmt formatCode="General" sourceLinked="1"/>
        <c:majorTickMark val="none"/>
        <c:minorTickMark val="none"/>
        <c:tickLblPos val="nextTo"/>
        <c:spPr>
          <a:noFill/>
          <a:ln w="9525" cap="flat" cmpd="sng" algn="ctr">
            <a:solidFill>
              <a:srgbClr val="44546A"/>
            </a:solidFill>
            <a:round/>
          </a:ln>
          <a:effectLst/>
        </c:spPr>
        <c:txPr>
          <a:bodyPr rot="-60000000" spcFirstLastPara="1" vertOverflow="ellipsis" vert="horz" wrap="square" anchor="ctr" anchorCtr="1"/>
          <a:lstStyle/>
          <a:p>
            <a:pPr>
              <a:defRPr sz="750" b="0" i="0" u="none" strike="noStrike" kern="1200" cap="none" spc="0" normalizeH="0" baseline="0">
                <a:solidFill>
                  <a:schemeClr val="tx2"/>
                </a:solidFill>
                <a:latin typeface="+mn-lt"/>
                <a:ea typeface="+mn-ea"/>
                <a:cs typeface="+mn-cs"/>
              </a:defRPr>
            </a:pPr>
            <a:endParaRPr lang="sr-Latn-RS"/>
          </a:p>
        </c:txPr>
        <c:crossAx val="320971984"/>
        <c:crosses val="autoZero"/>
        <c:auto val="1"/>
        <c:lblAlgn val="ctr"/>
        <c:lblOffset val="100"/>
        <c:noMultiLvlLbl val="0"/>
      </c:catAx>
      <c:valAx>
        <c:axId val="320971984"/>
        <c:scaling>
          <c:orientation val="minMax"/>
        </c:scaling>
        <c:delete val="0"/>
        <c:axPos val="l"/>
        <c:title>
          <c:tx>
            <c:rich>
              <a:bodyPr rot="-5400000" spcFirstLastPara="1" vertOverflow="ellipsis" vert="horz" wrap="square" anchor="ctr" anchorCtr="1"/>
              <a:lstStyle/>
              <a:p>
                <a:pPr>
                  <a:defRPr sz="600" b="0" i="0" u="none" strike="noStrike" kern="1200" cap="all" baseline="0">
                    <a:solidFill>
                      <a:schemeClr val="tx2"/>
                    </a:solidFill>
                    <a:latin typeface="+mn-lt"/>
                    <a:ea typeface="+mn-ea"/>
                    <a:cs typeface="+mn-cs"/>
                  </a:defRPr>
                </a:pPr>
                <a:r>
                  <a:rPr lang="sr-Cyrl-CS" sz="600"/>
                  <a:t>млрд динара</a:t>
                </a:r>
              </a:p>
            </c:rich>
          </c:tx>
          <c:layout>
            <c:manualLayout>
              <c:xMode val="edge"/>
              <c:yMode val="edge"/>
              <c:x val="1.3888888888888888E-2"/>
              <c:y val="0.11433892777454341"/>
            </c:manualLayout>
          </c:layout>
          <c:overlay val="0"/>
          <c:spPr>
            <a:noFill/>
            <a:ln>
              <a:noFill/>
            </a:ln>
            <a:effectLst/>
          </c:spPr>
          <c:txPr>
            <a:bodyPr rot="-5400000" spcFirstLastPara="1" vertOverflow="ellipsis" vert="horz" wrap="square" anchor="ctr" anchorCtr="1"/>
            <a:lstStyle/>
            <a:p>
              <a:pPr>
                <a:defRPr sz="600" b="0" i="0" u="none" strike="noStrike" kern="1200" cap="all" baseline="0">
                  <a:solidFill>
                    <a:schemeClr val="tx2"/>
                  </a:solidFill>
                  <a:latin typeface="+mn-lt"/>
                  <a:ea typeface="+mn-ea"/>
                  <a:cs typeface="+mn-cs"/>
                </a:defRPr>
              </a:pPr>
              <a:endParaRPr lang="sr-Latn-R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317812640"/>
        <c:crosses val="autoZero"/>
        <c:crossBetween val="between"/>
      </c:valAx>
      <c:spPr>
        <a:noFill/>
        <a:ln>
          <a:noFill/>
        </a:ln>
        <a:effectLst/>
      </c:spPr>
    </c:plotArea>
    <c:legend>
      <c:legendPos val="r"/>
      <c:layout>
        <c:manualLayout>
          <c:xMode val="edge"/>
          <c:yMode val="edge"/>
          <c:x val="3.6066272965879262E-2"/>
          <c:y val="0.84333402329030083"/>
          <c:w val="0.96034740449110523"/>
          <c:h val="0.15468230317087209"/>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5694913857576771E-2"/>
          <c:y val="4.8887934307773148E-2"/>
          <c:w val="0.89742630688838176"/>
          <c:h val="0.81038906901343211"/>
        </c:manualLayout>
      </c:layout>
      <c:areaChart>
        <c:grouping val="stacked"/>
        <c:varyColors val="0"/>
        <c:ser>
          <c:idx val="2"/>
          <c:order val="2"/>
          <c:tx>
            <c:strRef>
              <c:f>'Grafikoni, CAB, Karakter'!$G$10</c:f>
              <c:strCache>
                <c:ptCount val="1"/>
                <c:pt idx="0">
                  <c:v>Производни јаз </c:v>
                </c:pt>
              </c:strCache>
            </c:strRef>
          </c:tx>
          <c:spPr>
            <a:solidFill>
              <a:srgbClr val="29489A"/>
            </a:solidFill>
            <a:ln w="9525" cap="rnd" cmpd="sng" algn="ctr">
              <a:solidFill>
                <a:srgbClr val="29489A"/>
              </a:solidFill>
              <a:prstDash val="solid"/>
              <a:round/>
            </a:ln>
            <a:effectLst/>
          </c:spPr>
          <c:cat>
            <c:numRef>
              <c:f>'Grafikoni, CAB, Karakter'!$F$11:$F$23</c:f>
              <c:numCache>
                <c:formatCode>General</c:formatCode>
                <c:ptCount val="13"/>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numCache>
            </c:numRef>
          </c:cat>
          <c:val>
            <c:numRef>
              <c:f>('Grafikoni, CAB, Karakter'!$G$11:$G$29,'Grafikoni, CAB, Karakter'!$G$30)</c:f>
              <c:numCache>
                <c:formatCode>#,##0.0</c:formatCode>
                <c:ptCount val="20"/>
                <c:pt idx="0">
                  <c:v>3.4939700056136114E-2</c:v>
                </c:pt>
                <c:pt idx="1">
                  <c:v>-2.6824954370268537</c:v>
                </c:pt>
                <c:pt idx="2">
                  <c:v>0.74794874389118038</c:v>
                </c:pt>
                <c:pt idx="3">
                  <c:v>4.0659329244271261</c:v>
                </c:pt>
                <c:pt idx="4">
                  <c:v>-0.34576724508067241</c:v>
                </c:pt>
                <c:pt idx="5">
                  <c:v>-0.69948415389706842</c:v>
                </c:pt>
                <c:pt idx="6">
                  <c:v>0.54759153932226823</c:v>
                </c:pt>
                <c:pt idx="7">
                  <c:v>-0.82264296076216359</c:v>
                </c:pt>
                <c:pt idx="8">
                  <c:v>1.1943880292478013</c:v>
                </c:pt>
                <c:pt idx="9">
                  <c:v>-1.3832263893171661</c:v>
                </c:pt>
                <c:pt idx="10">
                  <c:v>-1.1832937105872541</c:v>
                </c:pt>
                <c:pt idx="11">
                  <c:v>-1.8668449832127957E-2</c:v>
                </c:pt>
                <c:pt idx="12">
                  <c:v>-0.52116328493696684</c:v>
                </c:pt>
                <c:pt idx="13">
                  <c:v>0.94664926072611566</c:v>
                </c:pt>
                <c:pt idx="14">
                  <c:v>1.9580760806889579</c:v>
                </c:pt>
                <c:pt idx="15">
                  <c:v>-2.1895566960575152</c:v>
                </c:pt>
                <c:pt idx="16">
                  <c:v>1.9906781367307232E-2</c:v>
                </c:pt>
                <c:pt idx="17">
                  <c:v>0.21604764126741388</c:v>
                </c:pt>
                <c:pt idx="18">
                  <c:v>0.18389450984885922</c:v>
                </c:pt>
                <c:pt idx="19">
                  <c:v>0.15566779970690414</c:v>
                </c:pt>
              </c:numCache>
            </c:numRef>
          </c:val>
          <c:extLst>
            <c:ext xmlns:c16="http://schemas.microsoft.com/office/drawing/2014/chart" uri="{C3380CC4-5D6E-409C-BE32-E72D297353CC}">
              <c16:uniqueId val="{00000000-EAD3-4BD9-8C0E-0A1CD792EC9D}"/>
            </c:ext>
          </c:extLst>
        </c:ser>
        <c:dLbls>
          <c:showLegendKey val="0"/>
          <c:showVal val="0"/>
          <c:showCatName val="0"/>
          <c:showSerName val="0"/>
          <c:showPercent val="0"/>
          <c:showBubbleSize val="0"/>
        </c:dLbls>
        <c:axId val="342946768"/>
        <c:axId val="410610880"/>
      </c:areaChart>
      <c:lineChart>
        <c:grouping val="standard"/>
        <c:varyColors val="0"/>
        <c:ser>
          <c:idx val="0"/>
          <c:order val="0"/>
          <c:tx>
            <c:strRef>
              <c:f>'Grafikoni, CAB, Karakter'!$H$10</c:f>
              <c:strCache>
                <c:ptCount val="1"/>
                <c:pt idx="0">
                  <c:v>Фискални 
биланс</c:v>
                </c:pt>
              </c:strCache>
            </c:strRef>
          </c:tx>
          <c:spPr>
            <a:ln w="15875" cap="rnd" cmpd="sng" algn="ctr">
              <a:solidFill>
                <a:srgbClr val="A5A5A5">
                  <a:shade val="53000"/>
                  <a:shade val="95000"/>
                  <a:satMod val="105000"/>
                </a:srgbClr>
              </a:solidFill>
              <a:prstDash val="sysDash"/>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Karakter'!$H$11:$H$29,'Grafikoni, CAB, Karakter'!$H$30)</c:f>
              <c:numCache>
                <c:formatCode>#,##0.0</c:formatCode>
                <c:ptCount val="20"/>
                <c:pt idx="0">
                  <c:v>1.1229513642911615</c:v>
                </c:pt>
                <c:pt idx="1">
                  <c:v>-1.4151456839897949</c:v>
                </c:pt>
                <c:pt idx="2">
                  <c:v>-1.7846058996685674</c:v>
                </c:pt>
                <c:pt idx="3">
                  <c:v>-2.4768975856092812</c:v>
                </c:pt>
                <c:pt idx="4">
                  <c:v>-4.1655024905891214</c:v>
                </c:pt>
                <c:pt idx="5">
                  <c:v>-4.3381740101726747</c:v>
                </c:pt>
                <c:pt idx="6">
                  <c:v>-4.5257988775356361</c:v>
                </c:pt>
                <c:pt idx="7">
                  <c:v>-6.4352841344073424</c:v>
                </c:pt>
                <c:pt idx="8">
                  <c:v>-5.1464767188637195</c:v>
                </c:pt>
                <c:pt idx="9">
                  <c:v>-6.2041437165115507</c:v>
                </c:pt>
                <c:pt idx="10">
                  <c:v>-3.4561672728767112</c:v>
                </c:pt>
                <c:pt idx="11">
                  <c:v>-1.1926941660681765</c:v>
                </c:pt>
                <c:pt idx="12">
                  <c:v>1.0986349345465762</c:v>
                </c:pt>
                <c:pt idx="13">
                  <c:v>0.63523655395945411</c:v>
                </c:pt>
                <c:pt idx="14">
                  <c:v>-0.20513275318303217</c:v>
                </c:pt>
                <c:pt idx="15">
                  <c:v>-8.1</c:v>
                </c:pt>
                <c:pt idx="16">
                  <c:v>-6.9</c:v>
                </c:pt>
                <c:pt idx="17">
                  <c:v>-3</c:v>
                </c:pt>
                <c:pt idx="18">
                  <c:v>-1.5</c:v>
                </c:pt>
                <c:pt idx="19">
                  <c:v>-1</c:v>
                </c:pt>
              </c:numCache>
            </c:numRef>
          </c:val>
          <c:smooth val="0"/>
          <c:extLst>
            <c:ext xmlns:c16="http://schemas.microsoft.com/office/drawing/2014/chart" uri="{C3380CC4-5D6E-409C-BE32-E72D297353CC}">
              <c16:uniqueId val="{00000001-EAD3-4BD9-8C0E-0A1CD792EC9D}"/>
            </c:ext>
          </c:extLst>
        </c:ser>
        <c:ser>
          <c:idx val="1"/>
          <c:order val="1"/>
          <c:tx>
            <c:strRef>
              <c:f>'Grafikoni, CAB, Karakter'!$K$10</c:f>
              <c:strCache>
                <c:ptCount val="1"/>
                <c:pt idx="0">
                  <c:v>Циклично 
прилагођени  фискални биланс</c:v>
                </c:pt>
              </c:strCache>
            </c:strRef>
          </c:tx>
          <c:spPr>
            <a:ln w="15875" cap="rnd" cmpd="sng" algn="ctr">
              <a:solidFill>
                <a:schemeClr val="tx1"/>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Karakter'!$K$11:$K$29,'Grafikoni, CAB, Karakter'!$K$30)</c:f>
              <c:numCache>
                <c:formatCode>#,##0.0</c:formatCode>
                <c:ptCount val="20"/>
                <c:pt idx="0">
                  <c:v>1.110553570451444</c:v>
                </c:pt>
                <c:pt idx="1">
                  <c:v>-0.46330507428766532</c:v>
                </c:pt>
                <c:pt idx="2">
                  <c:v>-2.0500035508945427</c:v>
                </c:pt>
                <c:pt idx="3">
                  <c:v>-3.9196288649899946</c:v>
                </c:pt>
                <c:pt idx="4">
                  <c:v>-4.0428125128803849</c:v>
                </c:pt>
                <c:pt idx="5">
                  <c:v>-4.0899732437026666</c:v>
                </c:pt>
                <c:pt idx="6">
                  <c:v>-4.7201029786579589</c:v>
                </c:pt>
                <c:pt idx="7">
                  <c:v>-6.1433824347694523</c:v>
                </c:pt>
                <c:pt idx="8">
                  <c:v>-5.5702862114309086</c:v>
                </c:pt>
                <c:pt idx="9">
                  <c:v>-5.7133279516120608</c:v>
                </c:pt>
                <c:pt idx="10">
                  <c:v>-3.0362944218755512</c:v>
                </c:pt>
                <c:pt idx="11">
                  <c:v>-1.1860699651748094</c:v>
                </c:pt>
                <c:pt idx="12">
                  <c:v>1.2835613922178633</c:v>
                </c:pt>
                <c:pt idx="13">
                  <c:v>0.29933320177992312</c:v>
                </c:pt>
                <c:pt idx="14">
                  <c:v>-0.8999247385710305</c:v>
                </c:pt>
                <c:pt idx="15">
                  <c:v>-7.3230708198845287</c:v>
                </c:pt>
                <c:pt idx="16">
                  <c:v>-6.907063603036308</c:v>
                </c:pt>
                <c:pt idx="17">
                  <c:v>-3.0766610506583403</c:v>
                </c:pt>
                <c:pt idx="18">
                  <c:v>-1.5652520261392937</c:v>
                </c:pt>
                <c:pt idx="19">
                  <c:v>-1.055236229422345</c:v>
                </c:pt>
              </c:numCache>
            </c:numRef>
          </c:val>
          <c:smooth val="1"/>
          <c:extLst>
            <c:ext xmlns:c16="http://schemas.microsoft.com/office/drawing/2014/chart" uri="{C3380CC4-5D6E-409C-BE32-E72D297353CC}">
              <c16:uniqueId val="{00000002-EAD3-4BD9-8C0E-0A1CD792EC9D}"/>
            </c:ext>
          </c:extLst>
        </c:ser>
        <c:ser>
          <c:idx val="4"/>
          <c:order val="3"/>
          <c:tx>
            <c:strRef>
              <c:f>'Grafikoni, CAB, Karakter'!$N$10</c:f>
              <c:strCache>
                <c:ptCount val="1"/>
                <c:pt idx="0">
                  <c:v>Структурни примарни фискални биланс</c:v>
                </c:pt>
              </c:strCache>
            </c:strRef>
          </c:tx>
          <c:spPr>
            <a:ln w="19050" cap="rnd" cmpd="sng" algn="ctr">
              <a:solidFill>
                <a:srgbClr val="FF0000"/>
              </a:solidFill>
              <a:prstDash val="dash"/>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Karakter'!$N$11:$N$29,'Grafikoni, CAB, Karakter'!$N$30)</c:f>
              <c:numCache>
                <c:formatCode>#,##0.0</c:formatCode>
                <c:ptCount val="20"/>
                <c:pt idx="0">
                  <c:v>2.2311622484545253</c:v>
                </c:pt>
                <c:pt idx="1">
                  <c:v>1.4767129569283817</c:v>
                </c:pt>
                <c:pt idx="2">
                  <c:v>-1.167720709765641</c:v>
                </c:pt>
                <c:pt idx="3">
                  <c:v>-3.4387159346188474</c:v>
                </c:pt>
                <c:pt idx="4">
                  <c:v>-3.507331495730428</c:v>
                </c:pt>
                <c:pt idx="5">
                  <c:v>-3.2503518013895012</c:v>
                </c:pt>
                <c:pt idx="6">
                  <c:v>-3.7765913974967811</c:v>
                </c:pt>
                <c:pt idx="7">
                  <c:v>-4.3887066611212902</c:v>
                </c:pt>
                <c:pt idx="8">
                  <c:v>-3.1072316491279226</c:v>
                </c:pt>
                <c:pt idx="9">
                  <c:v>-2.1789772469100592</c:v>
                </c:pt>
                <c:pt idx="10">
                  <c:v>0.78355470180056108</c:v>
                </c:pt>
                <c:pt idx="11">
                  <c:v>1.7884828182081518</c:v>
                </c:pt>
                <c:pt idx="12">
                  <c:v>3.6747604431981604</c:v>
                </c:pt>
                <c:pt idx="13">
                  <c:v>2.2638064830852533</c:v>
                </c:pt>
                <c:pt idx="14">
                  <c:v>0.91545962737087017</c:v>
                </c:pt>
                <c:pt idx="15">
                  <c:v>1.5570810256337682</c:v>
                </c:pt>
                <c:pt idx="16">
                  <c:v>-1.1590362793469646</c:v>
                </c:pt>
                <c:pt idx="17">
                  <c:v>-1.8442834567981112</c:v>
                </c:pt>
                <c:pt idx="18">
                  <c:v>3.4747973860706272E-2</c:v>
                </c:pt>
                <c:pt idx="19">
                  <c:v>0.54476377057765513</c:v>
                </c:pt>
              </c:numCache>
            </c:numRef>
          </c:val>
          <c:smooth val="0"/>
          <c:extLst>
            <c:ext xmlns:c16="http://schemas.microsoft.com/office/drawing/2014/chart" uri="{C3380CC4-5D6E-409C-BE32-E72D297353CC}">
              <c16:uniqueId val="{00000003-EAD3-4BD9-8C0E-0A1CD792EC9D}"/>
            </c:ext>
          </c:extLst>
        </c:ser>
        <c:ser>
          <c:idx val="3"/>
          <c:order val="4"/>
          <c:tx>
            <c:strRef>
              <c:f>'Grafikoni, CAB, Karakter'!$M$10</c:f>
              <c:strCache>
                <c:ptCount val="1"/>
                <c:pt idx="0">
                  <c:v>Структурни  фискални биланс</c:v>
                </c:pt>
              </c:strCache>
            </c:strRef>
          </c:tx>
          <c:spPr>
            <a:ln w="15875" cap="rnd" cmpd="sng" algn="ctr">
              <a:solidFill>
                <a:schemeClr val="accent6"/>
              </a:solidFill>
              <a:prstDash val="solid"/>
              <a:round/>
            </a:ln>
            <a:effectLst/>
          </c:spPr>
          <c:marker>
            <c:symbol val="none"/>
          </c:marker>
          <c:cat>
            <c:numRef>
              <c:f>('Grafikoni, CAB, Karakter'!$F$11:$F$29,'Grafikoni, CAB, Karakter'!$F$30)</c:f>
              <c:numCache>
                <c:formatCode>General</c:formatCode>
                <c:ptCount val="20"/>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pt idx="14">
                  <c:v>2019</c:v>
                </c:pt>
                <c:pt idx="15">
                  <c:v>2020</c:v>
                </c:pt>
                <c:pt idx="16">
                  <c:v>2021</c:v>
                </c:pt>
                <c:pt idx="17">
                  <c:v>2022</c:v>
                </c:pt>
                <c:pt idx="18">
                  <c:v>2023</c:v>
                </c:pt>
                <c:pt idx="19">
                  <c:v>2024</c:v>
                </c:pt>
              </c:numCache>
            </c:numRef>
          </c:cat>
          <c:val>
            <c:numRef>
              <c:f>('Grafikoni, CAB, Karakter'!$M$11:$M$29,'Grafikoni, CAB, Karakter'!$M$30)</c:f>
              <c:numCache>
                <c:formatCode>#,##0.0</c:formatCode>
                <c:ptCount val="20"/>
                <c:pt idx="0">
                  <c:v>1.327138191254007</c:v>
                </c:pt>
                <c:pt idx="1">
                  <c:v>0.21068698434359157</c:v>
                </c:pt>
                <c:pt idx="2">
                  <c:v>-1.7131691876075861</c:v>
                </c:pt>
                <c:pt idx="3">
                  <c:v>-3.9780793488516957</c:v>
                </c:pt>
                <c:pt idx="4">
                  <c:v>-4.1148931921293892</c:v>
                </c:pt>
                <c:pt idx="5">
                  <c:v>-4.2068754113241935</c:v>
                </c:pt>
                <c:pt idx="6">
                  <c:v>-4.9304971948545155</c:v>
                </c:pt>
                <c:pt idx="7">
                  <c:v>-6.0961390582317883</c:v>
                </c:pt>
                <c:pt idx="8">
                  <c:v>-5.3009471970340831</c:v>
                </c:pt>
                <c:pt idx="9">
                  <c:v>-4.843250364486229</c:v>
                </c:pt>
                <c:pt idx="10">
                  <c:v>-2.2019994090408495</c:v>
                </c:pt>
                <c:pt idx="11">
                  <c:v>-1.1087764211445752</c:v>
                </c:pt>
                <c:pt idx="12">
                  <c:v>1.1386243091955495</c:v>
                </c:pt>
                <c:pt idx="13">
                  <c:v>0.15148971197337693</c:v>
                </c:pt>
                <c:pt idx="14">
                  <c:v>-1.0826582693931659</c:v>
                </c:pt>
                <c:pt idx="15">
                  <c:v>-0.44291897436623184</c:v>
                </c:pt>
                <c:pt idx="16">
                  <c:v>-3.059036279346965</c:v>
                </c:pt>
                <c:pt idx="17">
                  <c:v>-3.6442834567981111</c:v>
                </c:pt>
                <c:pt idx="18">
                  <c:v>-1.5652520261392937</c:v>
                </c:pt>
                <c:pt idx="19">
                  <c:v>-1.055236229422345</c:v>
                </c:pt>
              </c:numCache>
            </c:numRef>
          </c:val>
          <c:smooth val="0"/>
          <c:extLst>
            <c:ext xmlns:c16="http://schemas.microsoft.com/office/drawing/2014/chart" uri="{C3380CC4-5D6E-409C-BE32-E72D297353CC}">
              <c16:uniqueId val="{00000004-EAD3-4BD9-8C0E-0A1CD792EC9D}"/>
            </c:ext>
          </c:extLst>
        </c:ser>
        <c:dLbls>
          <c:showLegendKey val="0"/>
          <c:showVal val="0"/>
          <c:showCatName val="0"/>
          <c:showSerName val="0"/>
          <c:showPercent val="0"/>
          <c:showBubbleSize val="0"/>
        </c:dLbls>
        <c:marker val="1"/>
        <c:smooth val="0"/>
        <c:axId val="342946768"/>
        <c:axId val="410610880"/>
      </c:lineChart>
      <c:catAx>
        <c:axId val="342946768"/>
        <c:scaling>
          <c:orientation val="minMax"/>
        </c:scaling>
        <c:delete val="0"/>
        <c:axPos val="b"/>
        <c:majorGridlines>
          <c:spPr>
            <a:ln w="9525" cap="flat" cmpd="sng" algn="ctr">
              <a:noFill/>
              <a:prstDash val="sysDot"/>
              <a:round/>
            </a:ln>
            <a:effectLst/>
          </c:spPr>
        </c:majorGridlines>
        <c:numFmt formatCode="General" sourceLinked="1"/>
        <c:majorTickMark val="out"/>
        <c:minorTickMark val="none"/>
        <c:tickLblPos val="low"/>
        <c:spPr>
          <a:noFill/>
          <a:ln w="9525" cap="flat" cmpd="sng" algn="ctr">
            <a:solidFill>
              <a:schemeClr val="dk1">
                <a:tint val="75000"/>
                <a:shade val="95000"/>
                <a:satMod val="105000"/>
              </a:schemeClr>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crossAx val="410610880"/>
        <c:crosses val="autoZero"/>
        <c:auto val="1"/>
        <c:lblAlgn val="ctr"/>
        <c:lblOffset val="100"/>
        <c:noMultiLvlLbl val="0"/>
      </c:catAx>
      <c:valAx>
        <c:axId val="410610880"/>
        <c:scaling>
          <c:orientation val="minMax"/>
          <c:max val="5"/>
          <c:min val="-9"/>
        </c:scaling>
        <c:delete val="0"/>
        <c:axPos val="l"/>
        <c:majorGridlines>
          <c:spPr>
            <a:ln w="9525" cap="flat" cmpd="sng" algn="ctr">
              <a:noFill/>
              <a:prstDash val="sysDot"/>
              <a:round/>
            </a:ln>
            <a:effectLst/>
          </c:spPr>
        </c:majorGridlines>
        <c:numFmt formatCode="#,##0" sourceLinked="0"/>
        <c:majorTickMark val="out"/>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800" b="0" i="0" u="none" strike="noStrike" kern="1200" baseline="0">
                <a:solidFill>
                  <a:srgbClr val="44546A"/>
                </a:solidFill>
                <a:latin typeface="+mj-lt"/>
                <a:ea typeface="+mn-ea"/>
                <a:cs typeface="+mn-cs"/>
              </a:defRPr>
            </a:pPr>
            <a:endParaRPr lang="sr-Latn-RS"/>
          </a:p>
        </c:txPr>
        <c:crossAx val="342946768"/>
        <c:crosses val="autoZero"/>
        <c:crossBetween val="between"/>
      </c:valAx>
      <c:spPr>
        <a:noFill/>
        <a:ln>
          <a:noFill/>
        </a:ln>
        <a:effectLst/>
      </c:spPr>
    </c:plotArea>
    <c:legend>
      <c:legendPos val="r"/>
      <c:layout>
        <c:manualLayout>
          <c:xMode val="edge"/>
          <c:yMode val="edge"/>
          <c:x val="6.9076675109371405E-2"/>
          <c:y val="0.57113390984423895"/>
          <c:w val="0.85392912116701525"/>
          <c:h val="0.33397603410927346"/>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sr-Latn-RS"/>
        </a:p>
      </c:txPr>
    </c:legend>
    <c:plotVisOnly val="1"/>
    <c:dispBlanksAs val="gap"/>
    <c:showDLblsOverMax val="0"/>
  </c:chart>
  <c:spPr>
    <a:solidFill>
      <a:schemeClr val="lt1"/>
    </a:solidFill>
    <a:ln w="9525" cap="flat" cmpd="sng" algn="ctr">
      <a:noFill/>
      <a:prstDash val="solid"/>
      <a:round/>
    </a:ln>
    <a:effectLst/>
  </c:spPr>
  <c:txPr>
    <a:bodyPr/>
    <a:lstStyle/>
    <a:p>
      <a:pPr>
        <a:defRPr/>
      </a:pPr>
      <a:endParaRPr lang="sr-Latn-RS"/>
    </a:p>
  </c:txPr>
  <c:externalData r:id="rId4">
    <c:autoUpdate val="0"/>
  </c:externalData>
  <c:userShapes r:id="rId5"/>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283535027920167"/>
          <c:y val="5.7086964129483823E-2"/>
          <c:w val="0.86034455424615552"/>
          <c:h val="0.82967423338395085"/>
        </c:manualLayout>
      </c:layout>
      <c:barChart>
        <c:barDir val="col"/>
        <c:grouping val="clustered"/>
        <c:varyColors val="0"/>
        <c:ser>
          <c:idx val="0"/>
          <c:order val="0"/>
          <c:tx>
            <c:strRef>
              <c:f>'Grafikoni, CAB, Karakter'!$O$10</c:f>
              <c:strCache>
                <c:ptCount val="1"/>
                <c:pt idx="0">
                  <c:v>Карактер фискалне политике - фискални импулс</c:v>
                </c:pt>
              </c:strCache>
            </c:strRef>
          </c:tx>
          <c:spPr>
            <a:solidFill>
              <a:srgbClr val="29489A"/>
            </a:solidFill>
            <a:ln w="9525" cap="flat" cmpd="sng" algn="ctr">
              <a:solidFill>
                <a:schemeClr val="accent3">
                  <a:shade val="50000"/>
                  <a:shade val="95000"/>
                  <a:satMod val="105000"/>
                </a:schemeClr>
              </a:solidFill>
              <a:prstDash val="solid"/>
              <a:round/>
            </a:ln>
            <a:effectLst/>
          </c:spPr>
          <c:invertIfNegative val="0"/>
          <c:cat>
            <c:numRef>
              <c:f>('Grafikoni, CAB, Karakter'!$F$12:$F$29,'Grafikoni, CAB, Karakter'!$F$30)</c:f>
              <c:numCache>
                <c:formatCode>General</c:formatCode>
                <c:ptCount val="19"/>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numCache>
            </c:numRef>
          </c:cat>
          <c:val>
            <c:numRef>
              <c:f>('Grafikoni, CAB, Karakter'!$O$12:$O$29,'Grafikoni, CAB, Karakter'!$O$30)</c:f>
              <c:numCache>
                <c:formatCode>#,##0.0</c:formatCode>
                <c:ptCount val="19"/>
                <c:pt idx="0">
                  <c:v>1.2118567293548377</c:v>
                </c:pt>
                <c:pt idx="1">
                  <c:v>2.3072759713497222</c:v>
                </c:pt>
                <c:pt idx="2">
                  <c:v>1.8757103777045487</c:v>
                </c:pt>
                <c:pt idx="3">
                  <c:v>5.4985365724277369E-2</c:v>
                </c:pt>
                <c:pt idx="4">
                  <c:v>-0.30180118271344902</c:v>
                </c:pt>
                <c:pt idx="5">
                  <c:v>0.43274754753224975</c:v>
                </c:pt>
                <c:pt idx="6">
                  <c:v>0.86975285635872979</c:v>
                </c:pt>
                <c:pt idx="7">
                  <c:v>-1.0593793741342061</c:v>
                </c:pt>
                <c:pt idx="8">
                  <c:v>-0.32751582948885671</c:v>
                </c:pt>
                <c:pt idx="9">
                  <c:v>-2.9983145230017509</c:v>
                </c:pt>
                <c:pt idx="10">
                  <c:v>-1.7619295852120582</c:v>
                </c:pt>
                <c:pt idx="11">
                  <c:v>-2.1085082520425562</c:v>
                </c:pt>
                <c:pt idx="12">
                  <c:v>1.4080475533286743</c:v>
                </c:pt>
                <c:pt idx="13">
                  <c:v>1.3134568146987942</c:v>
                </c:pt>
                <c:pt idx="14">
                  <c:v>6.4212639780775342</c:v>
                </c:pt>
                <c:pt idx="15">
                  <c:v>-0.31600721684822108</c:v>
                </c:pt>
                <c:pt idx="16">
                  <c:v>-3.7304025523779671</c:v>
                </c:pt>
                <c:pt idx="17">
                  <c:v>-1.3114090245190466</c:v>
                </c:pt>
                <c:pt idx="18">
                  <c:v>-0.51001579671694885</c:v>
                </c:pt>
              </c:numCache>
            </c:numRef>
          </c:val>
          <c:extLst>
            <c:ext xmlns:c16="http://schemas.microsoft.com/office/drawing/2014/chart" uri="{C3380CC4-5D6E-409C-BE32-E72D297353CC}">
              <c16:uniqueId val="{00000000-DB3F-40A5-AFAF-0702CA9D6E64}"/>
            </c:ext>
          </c:extLst>
        </c:ser>
        <c:dLbls>
          <c:showLegendKey val="0"/>
          <c:showVal val="0"/>
          <c:showCatName val="0"/>
          <c:showSerName val="0"/>
          <c:showPercent val="0"/>
          <c:showBubbleSize val="0"/>
        </c:dLbls>
        <c:gapWidth val="41"/>
        <c:overlap val="-12"/>
        <c:axId val="467546320"/>
        <c:axId val="467537360"/>
      </c:barChart>
      <c:lineChart>
        <c:grouping val="standard"/>
        <c:varyColors val="0"/>
        <c:ser>
          <c:idx val="1"/>
          <c:order val="1"/>
          <c:tx>
            <c:strRef>
              <c:f>'Grafikoni, CAB, Karakter'!$G$10</c:f>
              <c:strCache>
                <c:ptCount val="1"/>
                <c:pt idx="0">
                  <c:v>Производни јаз </c:v>
                </c:pt>
              </c:strCache>
            </c:strRef>
          </c:tx>
          <c:spPr>
            <a:ln w="15875" cap="rnd" cmpd="sng" algn="ctr">
              <a:solidFill>
                <a:srgbClr val="FF0000"/>
              </a:solidFill>
              <a:prstDash val="solid"/>
              <a:round/>
            </a:ln>
            <a:effectLst/>
          </c:spPr>
          <c:marker>
            <c:symbol val="none"/>
          </c:marker>
          <c:cat>
            <c:numRef>
              <c:f>('Grafikoni, CAB, Karakter'!$F$12:$F$29,'Grafikoni, CAB, Karakter'!$F$30)</c:f>
              <c:numCache>
                <c:formatCode>General</c:formatCode>
                <c:ptCount val="19"/>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pt idx="16">
                  <c:v>2022</c:v>
                </c:pt>
                <c:pt idx="17">
                  <c:v>2023</c:v>
                </c:pt>
                <c:pt idx="18">
                  <c:v>2024</c:v>
                </c:pt>
              </c:numCache>
            </c:numRef>
          </c:cat>
          <c:val>
            <c:numRef>
              <c:f>('Grafikoni, CAB, Karakter'!$G$12:$G$29,'Grafikoni, CAB, Karakter'!$G$30)</c:f>
              <c:numCache>
                <c:formatCode>#,##0.0</c:formatCode>
                <c:ptCount val="19"/>
                <c:pt idx="0">
                  <c:v>-2.6824954370268537</c:v>
                </c:pt>
                <c:pt idx="1">
                  <c:v>0.74794874389118038</c:v>
                </c:pt>
                <c:pt idx="2">
                  <c:v>4.0659329244271261</c:v>
                </c:pt>
                <c:pt idx="3">
                  <c:v>-0.34576724508067241</c:v>
                </c:pt>
                <c:pt idx="4">
                  <c:v>-0.69948415389706842</c:v>
                </c:pt>
                <c:pt idx="5">
                  <c:v>0.54759153932226823</c:v>
                </c:pt>
                <c:pt idx="6">
                  <c:v>-0.82264296076216359</c:v>
                </c:pt>
                <c:pt idx="7">
                  <c:v>1.1943880292478013</c:v>
                </c:pt>
                <c:pt idx="8">
                  <c:v>-1.3832263893171661</c:v>
                </c:pt>
                <c:pt idx="9">
                  <c:v>-1.1832937105872541</c:v>
                </c:pt>
                <c:pt idx="10">
                  <c:v>-1.8668449832127957E-2</c:v>
                </c:pt>
                <c:pt idx="11">
                  <c:v>-0.52116328493696684</c:v>
                </c:pt>
                <c:pt idx="12">
                  <c:v>0.94664926072611566</c:v>
                </c:pt>
                <c:pt idx="13">
                  <c:v>1.9580760806889579</c:v>
                </c:pt>
                <c:pt idx="14">
                  <c:v>-2.1895566960575152</c:v>
                </c:pt>
                <c:pt idx="15">
                  <c:v>1.9906781367307232E-2</c:v>
                </c:pt>
                <c:pt idx="16">
                  <c:v>0.21604764126741388</c:v>
                </c:pt>
                <c:pt idx="17">
                  <c:v>0.18389450984885922</c:v>
                </c:pt>
                <c:pt idx="18">
                  <c:v>0.15566779970690414</c:v>
                </c:pt>
              </c:numCache>
            </c:numRef>
          </c:val>
          <c:smooth val="1"/>
          <c:extLst>
            <c:ext xmlns:c16="http://schemas.microsoft.com/office/drawing/2014/chart" uri="{C3380CC4-5D6E-409C-BE32-E72D297353CC}">
              <c16:uniqueId val="{00000001-DB3F-40A5-AFAF-0702CA9D6E64}"/>
            </c:ext>
          </c:extLst>
        </c:ser>
        <c:dLbls>
          <c:showLegendKey val="0"/>
          <c:showVal val="0"/>
          <c:showCatName val="0"/>
          <c:showSerName val="0"/>
          <c:showPercent val="0"/>
          <c:showBubbleSize val="0"/>
        </c:dLbls>
        <c:marker val="1"/>
        <c:smooth val="0"/>
        <c:axId val="467546320"/>
        <c:axId val="467537360"/>
      </c:lineChart>
      <c:catAx>
        <c:axId val="467546320"/>
        <c:scaling>
          <c:orientation val="minMax"/>
        </c:scaling>
        <c:delete val="0"/>
        <c:axPos val="b"/>
        <c:majorGridlines>
          <c:spPr>
            <a:ln w="9525" cap="flat" cmpd="sng" algn="ctr">
              <a:noFill/>
              <a:prstDash val="solid"/>
              <a:round/>
            </a:ln>
            <a:effectLst/>
          </c:spPr>
        </c:majorGridlines>
        <c:numFmt formatCode="General" sourceLinked="1"/>
        <c:majorTickMark val="out"/>
        <c:minorTickMark val="none"/>
        <c:tickLblPos val="low"/>
        <c:spPr>
          <a:noFill/>
          <a:ln w="6350" cap="flat" cmpd="sng" algn="ctr">
            <a:solidFill>
              <a:srgbClr val="898989"/>
            </a:solidFill>
            <a:prstDash val="solid"/>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crossAx val="467537360"/>
        <c:crosses val="autoZero"/>
        <c:auto val="1"/>
        <c:lblAlgn val="ctr"/>
        <c:lblOffset val="100"/>
        <c:noMultiLvlLbl val="0"/>
      </c:catAx>
      <c:valAx>
        <c:axId val="467537360"/>
        <c:scaling>
          <c:orientation val="minMax"/>
          <c:min val="-9"/>
        </c:scaling>
        <c:delete val="0"/>
        <c:axPos val="l"/>
        <c:majorGridlines>
          <c:spPr>
            <a:ln w="9525" cap="flat" cmpd="sng" algn="ctr">
              <a:noFill/>
              <a:prstDash val="solid"/>
              <a:round/>
            </a:ln>
            <a:effectLst/>
          </c:spPr>
        </c:majorGridlines>
        <c:title>
          <c:tx>
            <c:rich>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r>
                  <a:rPr lang="sr-Cyrl-CS" sz="750">
                    <a:solidFill>
                      <a:srgbClr val="44546A"/>
                    </a:solidFill>
                    <a:latin typeface="+mn-lt"/>
                  </a:rPr>
                  <a:t>% БДП</a:t>
                </a:r>
                <a:endParaRPr lang="en-US" sz="750">
                  <a:solidFill>
                    <a:srgbClr val="44546A"/>
                  </a:solidFill>
                  <a:latin typeface="+mn-lt"/>
                </a:endParaRPr>
              </a:p>
            </c:rich>
          </c:tx>
          <c:layout>
            <c:manualLayout>
              <c:xMode val="edge"/>
              <c:yMode val="edge"/>
              <c:x val="3.0939421162958663E-3"/>
              <c:y val="0.42920466776185351"/>
            </c:manualLayout>
          </c:layout>
          <c:overlay val="0"/>
          <c:spPr>
            <a:noFill/>
            <a:ln>
              <a:noFill/>
            </a:ln>
            <a:effectLst/>
          </c:spPr>
          <c:txPr>
            <a:bodyPr rot="-5400000" spcFirstLastPara="1" vertOverflow="ellipsis" vert="horz" wrap="square" anchor="ctr" anchorCtr="1"/>
            <a:lstStyle/>
            <a:p>
              <a:pPr>
                <a:defRPr sz="750" b="1" i="0" u="none" strike="noStrike" kern="1200" baseline="0">
                  <a:solidFill>
                    <a:srgbClr val="44546A"/>
                  </a:solidFill>
                  <a:latin typeface="+mn-lt"/>
                  <a:ea typeface="+mn-ea"/>
                  <a:cs typeface="+mn-cs"/>
                </a:defRPr>
              </a:pPr>
              <a:endParaRPr lang="sr-Latn-RS"/>
            </a:p>
          </c:txPr>
        </c:title>
        <c:numFmt formatCode="0" sourceLinked="0"/>
        <c:majorTickMark val="out"/>
        <c:minorTickMark val="none"/>
        <c:tickLblPos val="nextTo"/>
        <c:spPr>
          <a:noFill/>
          <a:ln w="317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Cambria" pitchFamily="18" charset="0"/>
                <a:ea typeface="+mn-ea"/>
                <a:cs typeface="+mn-cs"/>
              </a:defRPr>
            </a:pPr>
            <a:endParaRPr lang="sr-Latn-RS"/>
          </a:p>
        </c:txPr>
        <c:crossAx val="467546320"/>
        <c:crosses val="autoZero"/>
        <c:crossBetween val="between"/>
      </c:valAx>
      <c:spPr>
        <a:noFill/>
        <a:ln>
          <a:noFill/>
        </a:ln>
        <a:effectLst/>
      </c:spPr>
    </c:plotArea>
    <c:legend>
      <c:legendPos val="r"/>
      <c:layout>
        <c:manualLayout>
          <c:xMode val="edge"/>
          <c:yMode val="edge"/>
          <c:x val="0.10575935617028157"/>
          <c:y val="0.77253235825732847"/>
          <c:w val="0.795961068391148"/>
          <c:h val="0.10674173643861799"/>
        </c:manualLayout>
      </c:layout>
      <c:overlay val="0"/>
      <c:spPr>
        <a:noFill/>
        <a:ln>
          <a:noFill/>
        </a:ln>
        <a:effectLst/>
      </c:spPr>
      <c:txPr>
        <a:bodyPr rot="0" spcFirstLastPara="1" vertOverflow="ellipsis" vert="horz" wrap="square" anchor="ctr" anchorCtr="1"/>
        <a:lstStyle/>
        <a:p>
          <a:pPr>
            <a:defRPr sz="600" b="1" i="0" u="none" strike="noStrike" kern="1200" baseline="0">
              <a:solidFill>
                <a:srgbClr val="44546A"/>
              </a:solidFill>
              <a:latin typeface="+mn-lt"/>
              <a:ea typeface="+mn-ea"/>
              <a:cs typeface="+mn-cs"/>
            </a:defRPr>
          </a:pPr>
          <a:endParaRPr lang="sr-Latn-RS"/>
        </a:p>
      </c:txPr>
    </c:legend>
    <c:plotVisOnly val="1"/>
    <c:dispBlanksAs val="gap"/>
    <c:showDLblsOverMax val="0"/>
  </c:chart>
  <c:spPr>
    <a:solidFill>
      <a:schemeClr val="lt1"/>
    </a:solidFill>
    <a:ln w="9525" cap="flat" cmpd="sng" algn="ctr">
      <a:noFill/>
      <a:prstDash val="solid"/>
      <a:round/>
    </a:ln>
    <a:effectLst/>
  </c:spPr>
  <c:txPr>
    <a:bodyPr/>
    <a:lstStyle/>
    <a:p>
      <a:pPr>
        <a:defRPr sz="900" baseline="0">
          <a:latin typeface="Cambria" pitchFamily="18" charset="0"/>
        </a:defRPr>
      </a:pPr>
      <a:endParaRPr lang="sr-Latn-RS"/>
    </a:p>
  </c:txPr>
  <c:externalData r:id="rId4">
    <c:autoUpdate val="0"/>
  </c:externalData>
  <c:userShapes r:id="rId5"/>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0616161716296222E-2"/>
          <c:y val="4.9007480657224968E-2"/>
          <c:w val="0.93476377952755907"/>
          <c:h val="0.9174795514193721"/>
        </c:manualLayout>
      </c:layout>
      <c:scatterChart>
        <c:scatterStyle val="smoothMarker"/>
        <c:varyColors val="0"/>
        <c:ser>
          <c:idx val="1"/>
          <c:order val="0"/>
          <c:spPr>
            <a:ln w="19050" cap="rnd">
              <a:solidFill>
                <a:srgbClr val="FF0000"/>
              </a:solidFill>
              <a:round/>
            </a:ln>
            <a:effectLst>
              <a:outerShdw blurRad="40000" dist="23000" dir="5400000" rotWithShape="0">
                <a:srgbClr val="000000">
                  <a:alpha val="35000"/>
                </a:srgbClr>
              </a:outerShdw>
            </a:effectLst>
          </c:spPr>
          <c:marker>
            <c:symbol val="circle"/>
            <c:size val="6"/>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w="9525" cap="rnd">
                <a:solidFill>
                  <a:schemeClr val="accent4"/>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dLbls>
            <c:dLbl>
              <c:idx val="0"/>
              <c:layout>
                <c:manualLayout>
                  <c:x val="-6.9381423218486976E-2"/>
                  <c:y val="-4.1527671341031656E-2"/>
                </c:manualLayout>
              </c:layout>
              <c:tx>
                <c:rich>
                  <a:bodyPr/>
                  <a:lstStyle/>
                  <a:p>
                    <a:r>
                      <a:rPr lang="en-US"/>
                      <a:t>2006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5BE-411C-BF65-9105F67AC182}"/>
                </c:ext>
              </c:extLst>
            </c:dLbl>
            <c:dLbl>
              <c:idx val="1"/>
              <c:layout>
                <c:manualLayout>
                  <c:x val="-2.4016646498707127E-2"/>
                  <c:y val="-3.3977185642662298E-2"/>
                </c:manualLayout>
              </c:layout>
              <c:tx>
                <c:rich>
                  <a:bodyPr/>
                  <a:lstStyle/>
                  <a:p>
                    <a:r>
                      <a:rPr lang="en-US"/>
                      <a:t>2007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5BE-411C-BF65-9105F67AC182}"/>
                </c:ext>
              </c:extLst>
            </c:dLbl>
            <c:dLbl>
              <c:idx val="2"/>
              <c:layout>
                <c:manualLayout>
                  <c:x val="-5.0701809275048172E-2"/>
                  <c:y val="-6.3495592658862496E-2"/>
                </c:manualLayout>
              </c:layout>
              <c:tx>
                <c:rich>
                  <a:bodyPr/>
                  <a:lstStyle/>
                  <a:p>
                    <a:r>
                      <a:rPr lang="en-US"/>
                      <a:t>2008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D5BE-411C-BF65-9105F67AC182}"/>
                </c:ext>
              </c:extLst>
            </c:dLbl>
            <c:dLbl>
              <c:idx val="3"/>
              <c:layout>
                <c:manualLayout>
                  <c:x val="-0.12008323249353517"/>
                  <c:y val="-6.0403885586955142E-2"/>
                </c:manualLayout>
              </c:layout>
              <c:tx>
                <c:rich>
                  <a:bodyPr/>
                  <a:lstStyle/>
                  <a:p>
                    <a:r>
                      <a:rPr lang="en-US"/>
                      <a:t>2009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D5BE-411C-BF65-9105F67AC182}"/>
                </c:ext>
              </c:extLst>
            </c:dLbl>
            <c:dLbl>
              <c:idx val="4"/>
              <c:layout>
                <c:manualLayout>
                  <c:x val="-0.11474619993826693"/>
                  <c:y val="4.8635741754395737E-2"/>
                </c:manualLayout>
              </c:layout>
              <c:tx>
                <c:rich>
                  <a:bodyPr/>
                  <a:lstStyle/>
                  <a:p>
                    <a:r>
                      <a:rPr lang="en-US"/>
                      <a:t>2010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D5BE-411C-BF65-9105F67AC182}"/>
                </c:ext>
              </c:extLst>
            </c:dLbl>
            <c:dLbl>
              <c:idx val="5"/>
              <c:layout>
                <c:manualLayout>
                  <c:x val="8.0055488329023438E-3"/>
                  <c:y val="-3.0523469547407887E-2"/>
                </c:manualLayout>
              </c:layout>
              <c:tx>
                <c:rich>
                  <a:bodyPr/>
                  <a:lstStyle/>
                  <a:p>
                    <a:r>
                      <a:rPr lang="en-US"/>
                      <a:t>2011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D5BE-411C-BF65-9105F67AC182}"/>
                </c:ext>
              </c:extLst>
            </c:dLbl>
            <c:dLbl>
              <c:idx val="6"/>
              <c:layout>
                <c:manualLayout>
                  <c:x val="-6.6712906940852856E-2"/>
                  <c:y val="-4.9078157039401084E-2"/>
                </c:manualLayout>
              </c:layout>
              <c:tx>
                <c:rich>
                  <a:bodyPr/>
                  <a:lstStyle/>
                  <a:p>
                    <a:r>
                      <a:rPr lang="en-US"/>
                      <a:t>2012</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D5BE-411C-BF65-9105F67AC182}"/>
                </c:ext>
              </c:extLst>
            </c:dLbl>
            <c:dLbl>
              <c:idx val="7"/>
              <c:layout>
                <c:manualLayout>
                  <c:x val="5.3370325552682292E-3"/>
                  <c:y val="2.6145244036002206E-2"/>
                </c:manualLayout>
              </c:layout>
              <c:tx>
                <c:rich>
                  <a:bodyPr/>
                  <a:lstStyle/>
                  <a:p>
                    <a:r>
                      <a:rPr lang="en-US"/>
                      <a:t>2013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D5BE-411C-BF65-9105F67AC182}"/>
                </c:ext>
              </c:extLst>
            </c:dLbl>
            <c:dLbl>
              <c:idx val="8"/>
              <c:layout>
                <c:manualLayout>
                  <c:x val="-0.10140361855009634"/>
                  <c:y val="7.1367693301288504E-2"/>
                </c:manualLayout>
              </c:layout>
              <c:tx>
                <c:rich>
                  <a:bodyPr/>
                  <a:lstStyle/>
                  <a:p>
                    <a:r>
                      <a:rPr lang="en-US"/>
                      <a:t>2014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D5BE-411C-BF65-9105F67AC182}"/>
                </c:ext>
              </c:extLst>
            </c:dLbl>
            <c:dLbl>
              <c:idx val="9"/>
              <c:tx>
                <c:rich>
                  <a:bodyPr/>
                  <a:lstStyle/>
                  <a:p>
                    <a:r>
                      <a:rPr lang="en-US"/>
                      <a:t>2015</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D5BE-411C-BF65-9105F67AC182}"/>
                </c:ext>
              </c:extLst>
            </c:dLbl>
            <c:dLbl>
              <c:idx val="10"/>
              <c:layout>
                <c:manualLayout>
                  <c:x val="-1.0674065110536458E-2"/>
                  <c:y val="4.4820418347432216E-2"/>
                </c:manualLayout>
              </c:layout>
              <c:tx>
                <c:rich>
                  <a:bodyPr/>
                  <a:lstStyle/>
                  <a:p>
                    <a:r>
                      <a:rPr lang="en-US"/>
                      <a:t>2016</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D5BE-411C-BF65-9105F67AC182}"/>
                </c:ext>
              </c:extLst>
            </c:dLbl>
            <c:dLbl>
              <c:idx val="11"/>
              <c:layout>
                <c:manualLayout>
                  <c:x val="-5.3370325552682292E-2"/>
                  <c:y val="-4.9078157039401049E-2"/>
                </c:manualLayout>
              </c:layout>
              <c:tx>
                <c:rich>
                  <a:bodyPr/>
                  <a:lstStyle/>
                  <a:p>
                    <a:r>
                      <a:rPr lang="en-US"/>
                      <a:t>2017</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D5BE-411C-BF65-9105F67AC182}"/>
                </c:ext>
              </c:extLst>
            </c:dLbl>
            <c:dLbl>
              <c:idx val="12"/>
              <c:layout>
                <c:manualLayout>
                  <c:x val="-8.5392520884291667E-2"/>
                  <c:y val="-2.2410209173716247E-2"/>
                </c:manualLayout>
              </c:layout>
              <c:tx>
                <c:rich>
                  <a:bodyPr/>
                  <a:lstStyle/>
                  <a:p>
                    <a:r>
                      <a:rPr lang="en-US"/>
                      <a:t>2018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D5BE-411C-BF65-9105F67AC182}"/>
                </c:ext>
              </c:extLst>
            </c:dLbl>
            <c:dLbl>
              <c:idx val="13"/>
              <c:layout>
                <c:manualLayout>
                  <c:x val="-4.2696260442145785E-2"/>
                  <c:y val="-7.0965662383434602E-2"/>
                </c:manualLayout>
              </c:layout>
              <c:tx>
                <c:rich>
                  <a:bodyPr/>
                  <a:lstStyle/>
                  <a:p>
                    <a:r>
                      <a:rPr lang="en-US"/>
                      <a:t>2019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D5BE-411C-BF65-9105F67AC182}"/>
                </c:ext>
              </c:extLst>
            </c:dLbl>
            <c:dLbl>
              <c:idx val="14"/>
              <c:tx>
                <c:rich>
                  <a:bodyPr/>
                  <a:lstStyle/>
                  <a:p>
                    <a:r>
                      <a:rPr lang="en-US"/>
                      <a:t>2020</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D5BE-411C-BF65-9105F67AC182}"/>
                </c:ext>
              </c:extLst>
            </c:dLbl>
            <c:dLbl>
              <c:idx val="15"/>
              <c:tx>
                <c:rich>
                  <a:bodyPr/>
                  <a:lstStyle/>
                  <a:p>
                    <a:r>
                      <a:rPr lang="en-US"/>
                      <a:t>2021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D5BE-411C-BF65-9105F67AC182}"/>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rgbClr val="44546A"/>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'Grafikoni, CAB, Karakter'!$Z$12:$Z$27</c:f>
              <c:numCache>
                <c:formatCode>#,##0.0</c:formatCode>
                <c:ptCount val="16"/>
                <c:pt idx="0">
                  <c:v>-2.6824954370268537</c:v>
                </c:pt>
                <c:pt idx="1">
                  <c:v>0.74794874389118038</c:v>
                </c:pt>
                <c:pt idx="2">
                  <c:v>4.0659329244271261</c:v>
                </c:pt>
                <c:pt idx="3">
                  <c:v>-0.34576724508067241</c:v>
                </c:pt>
                <c:pt idx="4">
                  <c:v>-0.69948415389706842</c:v>
                </c:pt>
                <c:pt idx="5">
                  <c:v>0.54759153932226823</c:v>
                </c:pt>
                <c:pt idx="6">
                  <c:v>-0.82264296076216359</c:v>
                </c:pt>
                <c:pt idx="7">
                  <c:v>1.1943880292478013</c:v>
                </c:pt>
                <c:pt idx="8">
                  <c:v>-1.3832263893171661</c:v>
                </c:pt>
                <c:pt idx="9">
                  <c:v>-1.1832937105872541</c:v>
                </c:pt>
                <c:pt idx="10">
                  <c:v>-1.8668449832127957E-2</c:v>
                </c:pt>
                <c:pt idx="11">
                  <c:v>-0.52116328493696684</c:v>
                </c:pt>
                <c:pt idx="12">
                  <c:v>0.94664926072611566</c:v>
                </c:pt>
                <c:pt idx="13">
                  <c:v>1.9580760806889579</c:v>
                </c:pt>
                <c:pt idx="14">
                  <c:v>-2.1895566960575152</c:v>
                </c:pt>
                <c:pt idx="15">
                  <c:v>1.9906781367307232E-2</c:v>
                </c:pt>
              </c:numCache>
            </c:numRef>
          </c:xVal>
          <c:yVal>
            <c:numRef>
              <c:f>'Grafikoni, CAB, Karakter'!$AA$12:$AA$27</c:f>
              <c:numCache>
                <c:formatCode>#,##0.0</c:formatCode>
                <c:ptCount val="16"/>
                <c:pt idx="0">
                  <c:v>1.2118567293548377</c:v>
                </c:pt>
                <c:pt idx="1">
                  <c:v>2.3072759713497222</c:v>
                </c:pt>
                <c:pt idx="2">
                  <c:v>1.8757103777045487</c:v>
                </c:pt>
                <c:pt idx="3">
                  <c:v>5.4985365724277369E-2</c:v>
                </c:pt>
                <c:pt idx="4">
                  <c:v>-0.30180118271344902</c:v>
                </c:pt>
                <c:pt idx="5">
                  <c:v>0.43274754753224975</c:v>
                </c:pt>
                <c:pt idx="6">
                  <c:v>0.86975285635872979</c:v>
                </c:pt>
                <c:pt idx="7">
                  <c:v>-1.0593793741342061</c:v>
                </c:pt>
                <c:pt idx="8">
                  <c:v>-0.32751582948885671</c:v>
                </c:pt>
                <c:pt idx="9">
                  <c:v>-2.9983145230017509</c:v>
                </c:pt>
                <c:pt idx="10">
                  <c:v>-1.7619295852120582</c:v>
                </c:pt>
                <c:pt idx="11">
                  <c:v>-2.1085082520425562</c:v>
                </c:pt>
                <c:pt idx="12">
                  <c:v>1.4080475533286743</c:v>
                </c:pt>
                <c:pt idx="13">
                  <c:v>1.3134568146987942</c:v>
                </c:pt>
                <c:pt idx="14">
                  <c:v>6.4212639780775342</c:v>
                </c:pt>
                <c:pt idx="15">
                  <c:v>-0.31600721684822108</c:v>
                </c:pt>
              </c:numCache>
            </c:numRef>
          </c:yVal>
          <c:smooth val="1"/>
          <c:extLst>
            <c:ext xmlns:c16="http://schemas.microsoft.com/office/drawing/2014/chart" uri="{C3380CC4-5D6E-409C-BE32-E72D297353CC}">
              <c16:uniqueId val="{00000010-D5BE-411C-BF65-9105F67AC182}"/>
            </c:ext>
          </c:extLst>
        </c:ser>
        <c:ser>
          <c:idx val="0"/>
          <c:order val="1"/>
          <c:spPr>
            <a:ln w="22225" cap="rnd">
              <a:solidFill>
                <a:srgbClr val="D9D9D9"/>
              </a:solidFill>
              <a:round/>
            </a:ln>
            <a:effectLst>
              <a:outerShdw blurRad="40000" dist="23000" dir="5400000" rotWithShape="0">
                <a:srgbClr val="000000">
                  <a:alpha val="35000"/>
                </a:srgbClr>
              </a:outerShdw>
            </a:effectLst>
          </c:spPr>
          <c:marker>
            <c:symbol val="circle"/>
            <c:size val="6"/>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12700" cap="rnd">
                <a:solidFill>
                  <a:schemeClr val="accent2"/>
                </a:solidFill>
                <a:round/>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marker>
          <c:xVal>
            <c:numRef>
              <c:f>'Grafikoni, CAB, Karakter'!$W$12:$W$22</c:f>
              <c:numCache>
                <c:formatCode>0.000</c:formatCode>
                <c:ptCount val="11"/>
                <c:pt idx="0">
                  <c:v>-0.67399205863125689</c:v>
                </c:pt>
                <c:pt idx="1">
                  <c:v>-0.33683436328695648</c:v>
                </c:pt>
                <c:pt idx="2">
                  <c:v>5.8450483861701069E-2</c:v>
                </c:pt>
                <c:pt idx="3">
                  <c:v>7.208067924900452E-2</c:v>
                </c:pt>
                <c:pt idx="4">
                  <c:v>0.11690216762152664</c:v>
                </c:pt>
                <c:pt idx="5">
                  <c:v>0.21039421619655649</c:v>
                </c:pt>
                <c:pt idx="6">
                  <c:v>-4.724337653766366E-2</c:v>
                </c:pt>
                <c:pt idx="7">
                  <c:v>-0.26933901439682545</c:v>
                </c:pt>
                <c:pt idx="8">
                  <c:v>-0.87007758712583194</c:v>
                </c:pt>
                <c:pt idx="9">
                  <c:v>-0.83429501283470175</c:v>
                </c:pt>
                <c:pt idx="10">
                  <c:v>-7.7293544030234224E-2</c:v>
                </c:pt>
              </c:numCache>
            </c:numRef>
          </c:xVal>
          <c:yVal>
            <c:numRef>
              <c:f>'Grafikoni, CAB, Karakter'!$X$12:$X$22</c:f>
              <c:numCache>
                <c:formatCode>General</c:formatCode>
                <c:ptCount val="11"/>
                <c:pt idx="10" formatCode="#,##0.0">
                  <c:v>0.67355802654918395</c:v>
                </c:pt>
              </c:numCache>
            </c:numRef>
          </c:yVal>
          <c:smooth val="1"/>
          <c:extLst>
            <c:ext xmlns:c16="http://schemas.microsoft.com/office/drawing/2014/chart" uri="{C3380CC4-5D6E-409C-BE32-E72D297353CC}">
              <c16:uniqueId val="{00000011-D5BE-411C-BF65-9105F67AC182}"/>
            </c:ext>
          </c:extLst>
        </c:ser>
        <c:dLbls>
          <c:showLegendKey val="0"/>
          <c:showVal val="0"/>
          <c:showCatName val="0"/>
          <c:showSerName val="0"/>
          <c:showPercent val="0"/>
          <c:showBubbleSize val="0"/>
        </c:dLbls>
        <c:axId val="220401872"/>
        <c:axId val="343751600"/>
      </c:scatterChart>
      <c:valAx>
        <c:axId val="220401872"/>
        <c:scaling>
          <c:orientation val="minMax"/>
          <c:min val="-4"/>
        </c:scaling>
        <c:delete val="0"/>
        <c:axPos val="b"/>
        <c:majorGridlines>
          <c:spPr>
            <a:ln w="12700" cap="flat" cmpd="sng" algn="ctr">
              <a:noFill/>
              <a:round/>
            </a:ln>
            <a:effectLst/>
          </c:spPr>
        </c:majorGridlines>
        <c:title>
          <c:tx>
            <c:rich>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r>
                  <a:rPr lang="sr-Cyrl-CS" sz="700" b="1">
                    <a:solidFill>
                      <a:srgbClr val="44546A"/>
                    </a:solidFill>
                    <a:latin typeface="+mn-lt"/>
                  </a:rPr>
                  <a:t>Производни јаз</a:t>
                </a:r>
              </a:p>
            </c:rich>
          </c:tx>
          <c:layout>
            <c:manualLayout>
              <c:xMode val="edge"/>
              <c:yMode val="edge"/>
              <c:x val="0.72281832834446247"/>
              <c:y val="0.57677610442579563"/>
            </c:manualLayout>
          </c:layout>
          <c:overlay val="0"/>
          <c:spPr>
            <a:noFill/>
            <a:ln>
              <a:noFill/>
            </a:ln>
            <a:effectLst/>
          </c:spPr>
          <c:txPr>
            <a:bodyPr rot="0" spcFirstLastPara="1" vertOverflow="ellipsis" vert="horz" wrap="square" anchor="ctr" anchorCtr="1"/>
            <a:lstStyle/>
            <a:p>
              <a:pPr>
                <a:defRPr sz="700" b="0" i="0" u="none" strike="noStrike" kern="1200" baseline="0">
                  <a:solidFill>
                    <a:srgbClr val="44546A"/>
                  </a:solidFill>
                  <a:latin typeface="+mn-lt"/>
                  <a:ea typeface="+mn-ea"/>
                  <a:cs typeface="+mn-cs"/>
                </a:defRPr>
              </a:pPr>
              <a:endParaRPr lang="sr-Latn-RS"/>
            </a:p>
          </c:txPr>
        </c:title>
        <c:numFmt formatCode="#,##0" sourceLinked="0"/>
        <c:majorTickMark val="none"/>
        <c:minorTickMark val="none"/>
        <c:tickLblPos val="nextTo"/>
        <c:spPr>
          <a:noFill/>
          <a:ln w="9525" cap="flat" cmpd="sng" algn="ctr">
            <a:solidFill>
              <a:srgbClr val="44546A"/>
            </a:solidFill>
            <a:round/>
          </a:ln>
          <a:effectLst/>
        </c:spPr>
        <c:txPr>
          <a:bodyPr rot="-60000000" spcFirstLastPara="1" vertOverflow="ellipsis" vert="horz" wrap="square" anchor="ctr" anchorCtr="1"/>
          <a:lstStyle/>
          <a:p>
            <a:pPr>
              <a:defRPr sz="800" b="0" i="0" u="none" strike="noStrike" kern="1200" baseline="0">
                <a:solidFill>
                  <a:srgbClr val="44546A"/>
                </a:solidFill>
                <a:latin typeface="Cambria" panose="02040503050406030204" pitchFamily="18" charset="0"/>
                <a:ea typeface="+mn-ea"/>
                <a:cs typeface="+mn-cs"/>
              </a:defRPr>
            </a:pPr>
            <a:endParaRPr lang="sr-Latn-RS"/>
          </a:p>
        </c:txPr>
        <c:crossAx val="343751600"/>
        <c:crosses val="autoZero"/>
        <c:crossBetween val="midCat"/>
      </c:valAx>
      <c:valAx>
        <c:axId val="343751600"/>
        <c:scaling>
          <c:orientation val="minMax"/>
          <c:max val="7.5"/>
          <c:min val="-4"/>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r>
                  <a:rPr lang="sr-Cyrl-CS" sz="700" b="1">
                    <a:solidFill>
                      <a:srgbClr val="44546A"/>
                    </a:solidFill>
                    <a:latin typeface="+mn-lt"/>
                  </a:rPr>
                  <a:t>Фискални импулс</a:t>
                </a:r>
                <a:endParaRPr lang="en-GB" sz="700" b="1">
                  <a:solidFill>
                    <a:srgbClr val="44546A"/>
                  </a:solidFill>
                  <a:latin typeface="+mn-lt"/>
                </a:endParaRPr>
              </a:p>
            </c:rich>
          </c:tx>
          <c:layout>
            <c:manualLayout>
              <c:xMode val="edge"/>
              <c:yMode val="edge"/>
              <c:x val="2.4161628879145417E-3"/>
              <c:y val="0.44769774803866563"/>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rgbClr val="44546A"/>
                  </a:solidFill>
                  <a:latin typeface="+mn-lt"/>
                  <a:ea typeface="+mn-ea"/>
                  <a:cs typeface="+mn-cs"/>
                </a:defRPr>
              </a:pPr>
              <a:endParaRPr lang="sr-Latn-RS"/>
            </a:p>
          </c:txPr>
        </c:title>
        <c:numFmt formatCode="#,##0" sourceLinked="0"/>
        <c:majorTickMark val="none"/>
        <c:minorTickMark val="none"/>
        <c:tickLblPos val="nextTo"/>
        <c:spPr>
          <a:noFill/>
          <a:ln w="9525">
            <a:solidFill>
              <a:srgbClr val="44546A"/>
            </a:solidFill>
          </a:ln>
          <a:effectLst/>
        </c:spPr>
        <c:txPr>
          <a:bodyPr rot="-60000000" spcFirstLastPara="1" vertOverflow="ellipsis" vert="horz" wrap="square" anchor="ctr" anchorCtr="1"/>
          <a:lstStyle/>
          <a:p>
            <a:pPr>
              <a:defRPr sz="800" b="0" i="0" u="none" strike="noStrike" kern="1200" baseline="0">
                <a:solidFill>
                  <a:srgbClr val="44546A"/>
                </a:solidFill>
                <a:latin typeface="Cambria" panose="02040503050406030204" pitchFamily="18" charset="0"/>
                <a:ea typeface="+mn-ea"/>
                <a:cs typeface="+mn-cs"/>
              </a:defRPr>
            </a:pPr>
            <a:endParaRPr lang="sr-Latn-RS"/>
          </a:p>
        </c:txPr>
        <c:crossAx val="220401872"/>
        <c:crosses val="autoZero"/>
        <c:crossBetween val="midCat"/>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baseline="0">
          <a:latin typeface="Cambria" panose="02040503050406030204" pitchFamily="18" charset="0"/>
        </a:defRPr>
      </a:pPr>
      <a:endParaRPr lang="sr-Latn-RS"/>
    </a:p>
  </c:txPr>
  <c:externalData r:id="rId4">
    <c:autoUpdate val="0"/>
  </c:externalData>
  <c:userShapes r:id="rId5"/>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39609399504315"/>
          <c:y val="4.2508416483893662E-2"/>
          <c:w val="0.83904808353019888"/>
          <c:h val="0.77717806849867599"/>
        </c:manualLayout>
      </c:layout>
      <c:barChart>
        <c:barDir val="col"/>
        <c:grouping val="clustered"/>
        <c:varyColors val="0"/>
        <c:ser>
          <c:idx val="0"/>
          <c:order val="0"/>
          <c:spPr>
            <a:solidFill>
              <a:schemeClr val="accent1"/>
            </a:solidFill>
            <a:ln w="25400">
              <a:solidFill>
                <a:schemeClr val="accent1"/>
              </a:solidFill>
            </a:ln>
            <a:effectLst/>
          </c:spPr>
          <c:invertIfNegative val="0"/>
          <c:dLbls>
            <c:dLbl>
              <c:idx val="4"/>
              <c:layout>
                <c:manualLayout>
                  <c:x val="0"/>
                  <c:y val="1.670378619153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D1-4970-90DC-D6789B67552B}"/>
                </c:ext>
              </c:extLst>
            </c:dLbl>
            <c:dLbl>
              <c:idx val="11"/>
              <c:layout>
                <c:manualLayout>
                  <c:x val="0"/>
                  <c:y val="2.22717149220489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D1-4970-90DC-D6789B67552B}"/>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'Сценарио 1'!$C$79:$C$92</c:f>
              <c:strCache>
                <c:ptCount val="14"/>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c:v>
                </c:pt>
              </c:strCache>
            </c:strRef>
          </c:cat>
          <c:val>
            <c:numRef>
              <c:f>'Сценарио 1'!$D$79:$D$92</c:f>
              <c:numCache>
                <c:formatCode>0.0</c:formatCode>
                <c:ptCount val="14"/>
                <c:pt idx="0">
                  <c:v>28.7</c:v>
                </c:pt>
                <c:pt idx="1">
                  <c:v>32.799999999999997</c:v>
                </c:pt>
                <c:pt idx="2">
                  <c:v>41.4</c:v>
                </c:pt>
                <c:pt idx="3">
                  <c:v>44.687440191903903</c:v>
                </c:pt>
                <c:pt idx="4">
                  <c:v>54.625189225896399</c:v>
                </c:pt>
                <c:pt idx="5">
                  <c:v>57.483723765998228</c:v>
                </c:pt>
                <c:pt idx="6">
                  <c:v>67.495119111541086</c:v>
                </c:pt>
                <c:pt idx="7">
                  <c:v>71.199826125969352</c:v>
                </c:pt>
                <c:pt idx="8">
                  <c:v>68.698445741619125</c:v>
                </c:pt>
                <c:pt idx="9">
                  <c:v>58.615511734368184</c:v>
                </c:pt>
                <c:pt idx="10">
                  <c:v>54.353090578805471</c:v>
                </c:pt>
                <c:pt idx="11">
                  <c:v>52.862693481608204</c:v>
                </c:pt>
                <c:pt idx="12" formatCode="General">
                  <c:v>58.2</c:v>
                </c:pt>
                <c:pt idx="13" formatCode="General">
                  <c:v>60</c:v>
                </c:pt>
              </c:numCache>
            </c:numRef>
          </c:val>
          <c:extLst>
            <c:ext xmlns:c16="http://schemas.microsoft.com/office/drawing/2014/chart" uri="{C3380CC4-5D6E-409C-BE32-E72D297353CC}">
              <c16:uniqueId val="{00000002-16D1-4970-90DC-D6789B67552B}"/>
            </c:ext>
          </c:extLst>
        </c:ser>
        <c:dLbls>
          <c:showLegendKey val="0"/>
          <c:showVal val="0"/>
          <c:showCatName val="0"/>
          <c:showSerName val="0"/>
          <c:showPercent val="0"/>
          <c:showBubbleSize val="0"/>
        </c:dLbls>
        <c:gapWidth val="70"/>
        <c:axId val="582077168"/>
        <c:axId val="582077584"/>
      </c:barChart>
      <c:catAx>
        <c:axId val="582077168"/>
        <c:scaling>
          <c:orientation val="minMax"/>
        </c:scaling>
        <c:delete val="0"/>
        <c:axPos val="b"/>
        <c:numFmt formatCode="General" sourceLinked="1"/>
        <c:majorTickMark val="none"/>
        <c:minorTickMark val="none"/>
        <c:tickLblPos val="nextTo"/>
        <c:spPr>
          <a:noFill/>
          <a:ln w="9525" cap="flat" cmpd="sng" algn="ctr">
            <a:solidFill>
              <a:srgbClr val="44546A"/>
            </a:solidFill>
            <a:round/>
          </a:ln>
          <a:effectLst/>
        </c:spPr>
        <c:txPr>
          <a:bodyPr rot="-3000000" spcFirstLastPara="1" vertOverflow="ellipsis" wrap="square" anchor="ctr" anchorCtr="1"/>
          <a:lstStyle/>
          <a:p>
            <a:pPr>
              <a:defRPr sz="750" b="0" i="0" u="none" strike="noStrike" kern="1200" baseline="0">
                <a:solidFill>
                  <a:schemeClr val="tx2"/>
                </a:solidFill>
                <a:latin typeface="+mn-lt"/>
                <a:ea typeface="+mn-ea"/>
                <a:cs typeface="+mn-cs"/>
              </a:defRPr>
            </a:pPr>
            <a:endParaRPr lang="sr-Latn-RS"/>
          </a:p>
        </c:txPr>
        <c:crossAx val="582077584"/>
        <c:crosses val="autoZero"/>
        <c:auto val="1"/>
        <c:lblAlgn val="ctr"/>
        <c:lblOffset val="100"/>
        <c:noMultiLvlLbl val="0"/>
      </c:catAx>
      <c:valAx>
        <c:axId val="582077584"/>
        <c:scaling>
          <c:orientation val="minMax"/>
          <c:min val="20"/>
        </c:scaling>
        <c:delete val="0"/>
        <c:axPos val="l"/>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RS"/>
                  <a:t>% БДП</a:t>
                </a:r>
              </a:p>
            </c:rich>
          </c:tx>
          <c:layout>
            <c:manualLayout>
              <c:xMode val="edge"/>
              <c:yMode val="edge"/>
              <c:x val="3.2322807450127894E-3"/>
              <c:y val="0.4002244708275608"/>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582077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473034218363E-2"/>
          <c:y val="0.11357052086185128"/>
          <c:w val="0.91418918918918923"/>
          <c:h val="0.73303303303303291"/>
        </c:manualLayout>
      </c:layout>
      <c:barChart>
        <c:barDir val="col"/>
        <c:grouping val="clustered"/>
        <c:varyColors val="0"/>
        <c:ser>
          <c:idx val="0"/>
          <c:order val="0"/>
          <c:tx>
            <c:strRef>
              <c:f>'Osn. makroekon. agregati'!$B$5</c:f>
              <c:strCache>
                <c:ptCount val="1"/>
                <c:pt idx="0">
                  <c:v>Реални раст БДП,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FA0C-4FD6-9E2D-F5427DC77607}"/>
              </c:ext>
            </c:extLst>
          </c:dPt>
          <c:dPt>
            <c:idx val="1"/>
            <c:invertIfNegative val="0"/>
            <c:bubble3D val="0"/>
            <c:spPr>
              <a:solidFill>
                <a:srgbClr val="ED1C24"/>
              </a:solidFill>
              <a:ln>
                <a:noFill/>
              </a:ln>
              <a:effectLst/>
            </c:spPr>
            <c:extLst>
              <c:ext xmlns:c16="http://schemas.microsoft.com/office/drawing/2014/chart" uri="{C3380CC4-5D6E-409C-BE32-E72D297353CC}">
                <c16:uniqueId val="{00000003-FA0C-4FD6-9E2D-F5427DC77607}"/>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0C-4FD6-9E2D-F5427DC77607}"/>
                </c:ext>
              </c:extLst>
            </c:dLbl>
            <c:dLbl>
              <c:idx val="1"/>
              <c:layout>
                <c:manualLayout>
                  <c:x val="-8.7398890260461573E-17"/>
                  <c:y val="0"/>
                </c:manualLayout>
              </c:layout>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A0C-4FD6-9E2D-F5427DC77607}"/>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agregati'!$E$5,'Osn. makroekon. agregati'!$F$5)</c:f>
              <c:numCache>
                <c:formatCode>0.0</c:formatCode>
                <c:ptCount val="2"/>
                <c:pt idx="0">
                  <c:v>4</c:v>
                </c:pt>
                <c:pt idx="1">
                  <c:v>4</c:v>
                </c:pt>
              </c:numCache>
            </c:numRef>
          </c:val>
          <c:extLst>
            <c:ext xmlns:c16="http://schemas.microsoft.com/office/drawing/2014/chart" uri="{C3380CC4-5D6E-409C-BE32-E72D297353CC}">
              <c16:uniqueId val="{00000004-FA0C-4FD6-9E2D-F5427DC77607}"/>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GB" b="1"/>
                  <a:t>2022</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8"/>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25492556580326"/>
          <c:y val="5.7281580831104247E-2"/>
          <c:w val="0.85532225810019202"/>
          <c:h val="0.63086783709452587"/>
        </c:manualLayout>
      </c:layout>
      <c:lineChart>
        <c:grouping val="standard"/>
        <c:varyColors val="0"/>
        <c:ser>
          <c:idx val="0"/>
          <c:order val="0"/>
          <c:tx>
            <c:strRef>
              <c:f>'Quaterly, Yearly'!$CI$5</c:f>
              <c:strCache>
                <c:ptCount val="1"/>
                <c:pt idx="0">
                  <c:v>Примарни резултат који стабилизује учешће дуга у БДП</c:v>
                </c:pt>
              </c:strCache>
            </c:strRef>
          </c:tx>
          <c:spPr>
            <a:ln w="22225" cap="rnd">
              <a:solidFill>
                <a:srgbClr val="002060"/>
              </a:solidFill>
              <a:prstDash val="sysDot"/>
              <a:round/>
            </a:ln>
            <a:effectLst/>
          </c:spPr>
          <c:marker>
            <c:symbol val="none"/>
          </c:marker>
          <c:cat>
            <c:strRef>
              <c:f>('Quaterly, Yearly'!$CW$7:$DE$8,'Quaterly, Yearly'!$DF$7:$DF$8)</c:f>
              <c:strCache>
                <c:ptCount val="10"/>
                <c:pt idx="0">
                  <c:v>2015</c:v>
                </c:pt>
                <c:pt idx="1">
                  <c:v>2016</c:v>
                </c:pt>
                <c:pt idx="2">
                  <c:v>2017</c:v>
                </c:pt>
                <c:pt idx="3">
                  <c:v>2018</c:v>
                </c:pt>
                <c:pt idx="4">
                  <c:v>2019</c:v>
                </c:pt>
                <c:pt idx="5">
                  <c:v>2020</c:v>
                </c:pt>
                <c:pt idx="6">
                  <c:v>2021</c:v>
                </c:pt>
                <c:pt idx="7">
                  <c:v>2022</c:v>
                </c:pt>
                <c:pt idx="8">
                  <c:v>2023</c:v>
                </c:pt>
                <c:pt idx="9">
                  <c:v>2024</c:v>
                </c:pt>
              </c:strCache>
            </c:strRef>
          </c:cat>
          <c:val>
            <c:numRef>
              <c:f>'Quaterly, Yearly'!$CW$5:$DF$5</c:f>
              <c:numCache>
                <c:formatCode>#,##0.00</c:formatCode>
                <c:ptCount val="10"/>
                <c:pt idx="0">
                  <c:v>0.37612175868662545</c:v>
                </c:pt>
                <c:pt idx="1">
                  <c:v>-0.43060820661954891</c:v>
                </c:pt>
                <c:pt idx="2">
                  <c:v>-0.46873639226908759</c:v>
                </c:pt>
                <c:pt idx="3">
                  <c:v>-1.3911928859585729</c:v>
                </c:pt>
                <c:pt idx="4">
                  <c:v>-1.4699991815538451</c:v>
                </c:pt>
                <c:pt idx="5">
                  <c:v>1.3761109400628784</c:v>
                </c:pt>
                <c:pt idx="6">
                  <c:v>-2.8745457424246865</c:v>
                </c:pt>
                <c:pt idx="7">
                  <c:v>-2.0877972483285752</c:v>
                </c:pt>
                <c:pt idx="8">
                  <c:v>-2.2860184881215622</c:v>
                </c:pt>
                <c:pt idx="9">
                  <c:v>-1.8951158749403647</c:v>
                </c:pt>
              </c:numCache>
            </c:numRef>
          </c:val>
          <c:smooth val="0"/>
          <c:extLst>
            <c:ext xmlns:c16="http://schemas.microsoft.com/office/drawing/2014/chart" uri="{C3380CC4-5D6E-409C-BE32-E72D297353CC}">
              <c16:uniqueId val="{00000000-6BE1-45FE-AAC7-BE30A1329691}"/>
            </c:ext>
          </c:extLst>
        </c:ser>
        <c:ser>
          <c:idx val="1"/>
          <c:order val="1"/>
          <c:tx>
            <c:v>Остварени (пројектовани) примарни фискални резултат</c:v>
          </c:tx>
          <c:spPr>
            <a:ln w="22225" cap="rnd">
              <a:solidFill>
                <a:srgbClr val="FF0000"/>
              </a:solidFill>
              <a:round/>
            </a:ln>
            <a:effectLst/>
          </c:spPr>
          <c:marker>
            <c:symbol val="none"/>
          </c:marker>
          <c:cat>
            <c:strRef>
              <c:f>('Quaterly, Yearly'!$CW$7:$DE$8,'Quaterly, Yearly'!$DF$7:$DF$8)</c:f>
              <c:strCache>
                <c:ptCount val="10"/>
                <c:pt idx="0">
                  <c:v>2015</c:v>
                </c:pt>
                <c:pt idx="1">
                  <c:v>2016</c:v>
                </c:pt>
                <c:pt idx="2">
                  <c:v>2017</c:v>
                </c:pt>
                <c:pt idx="3">
                  <c:v>2018</c:v>
                </c:pt>
                <c:pt idx="4">
                  <c:v>2019</c:v>
                </c:pt>
                <c:pt idx="5">
                  <c:v>2020</c:v>
                </c:pt>
                <c:pt idx="6">
                  <c:v>2021</c:v>
                </c:pt>
                <c:pt idx="7">
                  <c:v>2022</c:v>
                </c:pt>
                <c:pt idx="8">
                  <c:v>2023</c:v>
                </c:pt>
                <c:pt idx="9">
                  <c:v>2024</c:v>
                </c:pt>
              </c:strCache>
            </c:strRef>
          </c:cat>
          <c:val>
            <c:numRef>
              <c:f>'Quaterly, Yearly'!$CW$61:$DF$61</c:f>
              <c:numCache>
                <c:formatCode>#,##0.0</c:formatCode>
                <c:ptCount val="10"/>
                <c:pt idx="0">
                  <c:v>-0.47061316203530046</c:v>
                </c:pt>
                <c:pt idx="1">
                  <c:v>1.7045650732845505</c:v>
                </c:pt>
                <c:pt idx="2">
                  <c:v>3.634771068549187</c:v>
                </c:pt>
                <c:pt idx="3">
                  <c:v>2.7475533250713307</c:v>
                </c:pt>
                <c:pt idx="4">
                  <c:v>1.792985143581004</c:v>
                </c:pt>
                <c:pt idx="5" formatCode="#,##0.00">
                  <c:v>-6.0883647372354028</c:v>
                </c:pt>
                <c:pt idx="6">
                  <c:v>-5</c:v>
                </c:pt>
                <c:pt idx="7" formatCode="General">
                  <c:v>-1.2</c:v>
                </c:pt>
                <c:pt idx="8" formatCode="General">
                  <c:v>0.1</c:v>
                </c:pt>
                <c:pt idx="9" formatCode="General">
                  <c:v>0.6</c:v>
                </c:pt>
              </c:numCache>
            </c:numRef>
          </c:val>
          <c:smooth val="0"/>
          <c:extLst>
            <c:ext xmlns:c16="http://schemas.microsoft.com/office/drawing/2014/chart" uri="{C3380CC4-5D6E-409C-BE32-E72D297353CC}">
              <c16:uniqueId val="{00000001-6BE1-45FE-AAC7-BE30A1329691}"/>
            </c:ext>
          </c:extLst>
        </c:ser>
        <c:dLbls>
          <c:showLegendKey val="0"/>
          <c:showVal val="0"/>
          <c:showCatName val="0"/>
          <c:showSerName val="0"/>
          <c:showPercent val="0"/>
          <c:showBubbleSize val="0"/>
        </c:dLbls>
        <c:smooth val="0"/>
        <c:axId val="519226144"/>
        <c:axId val="519226704"/>
      </c:lineChart>
      <c:catAx>
        <c:axId val="519226144"/>
        <c:scaling>
          <c:orientation val="minMax"/>
        </c:scaling>
        <c:delete val="0"/>
        <c:axPos val="b"/>
        <c:numFmt formatCode="General" sourceLinked="1"/>
        <c:majorTickMark val="out"/>
        <c:minorTickMark val="none"/>
        <c:tickLblPos val="low"/>
        <c:spPr>
          <a:noFill/>
          <a:ln w="9525" cap="flat" cmpd="sng" algn="ctr">
            <a:noFill/>
            <a:round/>
          </a:ln>
          <a:effectLst/>
        </c:spPr>
        <c:txPr>
          <a:bodyPr rot="-2460000" spcFirstLastPara="1" vertOverflow="ellipsis" wrap="square" anchor="ctr" anchorCtr="1"/>
          <a:lstStyle/>
          <a:p>
            <a:pPr>
              <a:defRPr sz="750" b="0" i="0" u="none" strike="noStrike" kern="1200" baseline="0">
                <a:solidFill>
                  <a:schemeClr val="tx2"/>
                </a:solidFill>
                <a:latin typeface="+mn-lt"/>
                <a:ea typeface="+mn-ea"/>
                <a:cs typeface="+mn-cs"/>
              </a:defRPr>
            </a:pPr>
            <a:endParaRPr lang="sr-Latn-RS"/>
          </a:p>
        </c:txPr>
        <c:crossAx val="519226704"/>
        <c:crosses val="autoZero"/>
        <c:auto val="1"/>
        <c:lblAlgn val="ctr"/>
        <c:lblOffset val="100"/>
        <c:noMultiLvlLbl val="0"/>
      </c:catAx>
      <c:valAx>
        <c:axId val="519226704"/>
        <c:scaling>
          <c:orientation val="minMax"/>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RS"/>
                  <a:t>% БДП</a:t>
                </a:r>
                <a:endParaRPr lang="en-US"/>
              </a:p>
            </c:rich>
          </c:tx>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5192261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noFill/>
    <a:ln w="9525" cap="flat" cmpd="sng" algn="ctr">
      <a:noFill/>
      <a:round/>
    </a:ln>
    <a:effectLst/>
  </c:spPr>
  <c:txPr>
    <a:bodyPr/>
    <a:lstStyle/>
    <a:p>
      <a:pPr>
        <a:defRPr sz="750">
          <a:solidFill>
            <a:schemeClr val="tx2"/>
          </a:solidFill>
        </a:defRPr>
      </a:pPr>
      <a:endParaRPr lang="sr-Latn-RS"/>
    </a:p>
  </c:txPr>
  <c:externalData r:id="rId4">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228419364246136"/>
          <c:y val="2.9912556166267597E-2"/>
          <c:w val="0.85022710702828808"/>
          <c:h val="0.84196987224938102"/>
        </c:manualLayout>
      </c:layout>
      <c:lineChart>
        <c:grouping val="standard"/>
        <c:varyColors val="0"/>
        <c:ser>
          <c:idx val="3"/>
          <c:order val="0"/>
          <c:tx>
            <c:strRef>
              <c:f>'manje prilg + manji rast'!$B$33</c:f>
              <c:strCache>
                <c:ptCount val="1"/>
                <c:pt idx="0">
                  <c:v>Успорен раст након 2024, фискална експанзија</c:v>
                </c:pt>
              </c:strCache>
            </c:strRef>
          </c:tx>
          <c:spPr>
            <a:ln w="22225" cap="rnd">
              <a:solidFill>
                <a:srgbClr val="FF0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2544-432E-9678-00E65F7A514C}"/>
                </c:ext>
              </c:extLst>
            </c:dLbl>
            <c:dLbl>
              <c:idx val="1"/>
              <c:delete val="1"/>
              <c:extLst>
                <c:ext xmlns:c15="http://schemas.microsoft.com/office/drawing/2012/chart" uri="{CE6537A1-D6FC-4f65-9D91-7224C49458BB}"/>
                <c:ext xmlns:c16="http://schemas.microsoft.com/office/drawing/2014/chart" uri="{C3380CC4-5D6E-409C-BE32-E72D297353CC}">
                  <c16:uniqueId val="{00000001-2544-432E-9678-00E65F7A514C}"/>
                </c:ext>
              </c:extLst>
            </c:dLbl>
            <c:dLbl>
              <c:idx val="2"/>
              <c:delete val="1"/>
              <c:extLst>
                <c:ext xmlns:c15="http://schemas.microsoft.com/office/drawing/2012/chart" uri="{CE6537A1-D6FC-4f65-9D91-7224C49458BB}"/>
                <c:ext xmlns:c16="http://schemas.microsoft.com/office/drawing/2014/chart" uri="{C3380CC4-5D6E-409C-BE32-E72D297353CC}">
                  <c16:uniqueId val="{00000002-2544-432E-9678-00E65F7A514C}"/>
                </c:ext>
              </c:extLst>
            </c:dLbl>
            <c:dLbl>
              <c:idx val="3"/>
              <c:delete val="1"/>
              <c:extLst>
                <c:ext xmlns:c15="http://schemas.microsoft.com/office/drawing/2012/chart" uri="{CE6537A1-D6FC-4f65-9D91-7224C49458BB}"/>
                <c:ext xmlns:c16="http://schemas.microsoft.com/office/drawing/2014/chart" uri="{C3380CC4-5D6E-409C-BE32-E72D297353CC}">
                  <c16:uniqueId val="{00000003-2544-432E-9678-00E65F7A514C}"/>
                </c:ext>
              </c:extLst>
            </c:dLbl>
            <c:dLbl>
              <c:idx val="4"/>
              <c:delete val="1"/>
              <c:extLst>
                <c:ext xmlns:c15="http://schemas.microsoft.com/office/drawing/2012/chart" uri="{CE6537A1-D6FC-4f65-9D91-7224C49458BB}"/>
                <c:ext xmlns:c16="http://schemas.microsoft.com/office/drawing/2014/chart" uri="{C3380CC4-5D6E-409C-BE32-E72D297353CC}">
                  <c16:uniqueId val="{00000004-2544-432E-9678-00E65F7A514C}"/>
                </c:ext>
              </c:extLst>
            </c:dLbl>
            <c:dLbl>
              <c:idx val="5"/>
              <c:delete val="1"/>
              <c:extLst>
                <c:ext xmlns:c15="http://schemas.microsoft.com/office/drawing/2012/chart" uri="{CE6537A1-D6FC-4f65-9D91-7224C49458BB}"/>
                <c:ext xmlns:c16="http://schemas.microsoft.com/office/drawing/2014/chart" uri="{C3380CC4-5D6E-409C-BE32-E72D297353CC}">
                  <c16:uniqueId val="{00000005-2544-432E-9678-00E65F7A514C}"/>
                </c:ext>
              </c:extLst>
            </c:dLbl>
            <c:dLbl>
              <c:idx val="6"/>
              <c:delete val="1"/>
              <c:extLst>
                <c:ext xmlns:c15="http://schemas.microsoft.com/office/drawing/2012/chart" uri="{CE6537A1-D6FC-4f65-9D91-7224C49458BB}"/>
                <c:ext xmlns:c16="http://schemas.microsoft.com/office/drawing/2014/chart" uri="{C3380CC4-5D6E-409C-BE32-E72D297353CC}">
                  <c16:uniqueId val="{00000006-2544-432E-9678-00E65F7A514C}"/>
                </c:ext>
              </c:extLst>
            </c:dLbl>
            <c:dLbl>
              <c:idx val="7"/>
              <c:delete val="1"/>
              <c:extLst>
                <c:ext xmlns:c15="http://schemas.microsoft.com/office/drawing/2012/chart" uri="{CE6537A1-D6FC-4f65-9D91-7224C49458BB}"/>
                <c:ext xmlns:c16="http://schemas.microsoft.com/office/drawing/2014/chart" uri="{C3380CC4-5D6E-409C-BE32-E72D297353CC}">
                  <c16:uniqueId val="{00000007-2544-432E-9678-00E65F7A514C}"/>
                </c:ext>
              </c:extLst>
            </c:dLbl>
            <c:dLbl>
              <c:idx val="8"/>
              <c:delete val="1"/>
              <c:extLst>
                <c:ext xmlns:c15="http://schemas.microsoft.com/office/drawing/2012/chart" uri="{CE6537A1-D6FC-4f65-9D91-7224C49458BB}"/>
                <c:ext xmlns:c16="http://schemas.microsoft.com/office/drawing/2014/chart" uri="{C3380CC4-5D6E-409C-BE32-E72D297353CC}">
                  <c16:uniqueId val="{00000008-2544-432E-9678-00E65F7A514C}"/>
                </c:ext>
              </c:extLst>
            </c:dLbl>
            <c:dLbl>
              <c:idx val="10"/>
              <c:delete val="1"/>
              <c:extLst>
                <c:ext xmlns:c15="http://schemas.microsoft.com/office/drawing/2012/chart" uri="{CE6537A1-D6FC-4f65-9D91-7224C49458BB}"/>
                <c:ext xmlns:c16="http://schemas.microsoft.com/office/drawing/2014/chart" uri="{C3380CC4-5D6E-409C-BE32-E72D297353CC}">
                  <c16:uniqueId val="{00000009-2544-432E-9678-00E65F7A514C}"/>
                </c:ext>
              </c:extLst>
            </c:dLbl>
            <c:dLbl>
              <c:idx val="11"/>
              <c:delete val="1"/>
              <c:extLst>
                <c:ext xmlns:c15="http://schemas.microsoft.com/office/drawing/2012/chart" uri="{CE6537A1-D6FC-4f65-9D91-7224C49458BB}"/>
                <c:ext xmlns:c16="http://schemas.microsoft.com/office/drawing/2014/chart" uri="{C3380CC4-5D6E-409C-BE32-E72D297353CC}">
                  <c16:uniqueId val="{0000000A-2544-432E-9678-00E65F7A514C}"/>
                </c:ext>
              </c:extLst>
            </c:dLbl>
            <c:dLbl>
              <c:idx val="12"/>
              <c:delete val="1"/>
              <c:extLst>
                <c:ext xmlns:c15="http://schemas.microsoft.com/office/drawing/2012/chart" uri="{CE6537A1-D6FC-4f65-9D91-7224C49458BB}"/>
                <c:ext xmlns:c16="http://schemas.microsoft.com/office/drawing/2014/chart" uri="{C3380CC4-5D6E-409C-BE32-E72D297353CC}">
                  <c16:uniqueId val="{0000000B-2544-432E-9678-00E65F7A514C}"/>
                </c:ext>
              </c:extLst>
            </c:dLbl>
            <c:dLbl>
              <c:idx val="13"/>
              <c:layout>
                <c:manualLayout>
                  <c:x val="-7.4257428637148227E-3"/>
                  <c:y val="-5.74162463111762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44-432E-9678-00E65F7A514C}"/>
                </c:ext>
              </c:extLst>
            </c:dLbl>
            <c:dLbl>
              <c:idx val="14"/>
              <c:layout>
                <c:manualLayout>
                  <c:x val="-1.6042785477262247E-2"/>
                  <c:y val="-3.60992701504515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2544-432E-9678-00E65F7A514C}"/>
                </c:ext>
              </c:extLst>
            </c:dLbl>
            <c:dLbl>
              <c:idx val="15"/>
              <c:delete val="1"/>
              <c:extLst>
                <c:ext xmlns:c15="http://schemas.microsoft.com/office/drawing/2012/chart" uri="{CE6537A1-D6FC-4f65-9D91-7224C49458BB}"/>
                <c:ext xmlns:c16="http://schemas.microsoft.com/office/drawing/2014/chart" uri="{C3380CC4-5D6E-409C-BE32-E72D297353CC}">
                  <c16:uniqueId val="{0000000E-2544-432E-9678-00E65F7A514C}"/>
                </c:ext>
              </c:extLst>
            </c:dLbl>
            <c:dLbl>
              <c:idx val="16"/>
              <c:delete val="1"/>
              <c:extLst>
                <c:ext xmlns:c15="http://schemas.microsoft.com/office/drawing/2012/chart" uri="{CE6537A1-D6FC-4f65-9D91-7224C49458BB}"/>
                <c:ext xmlns:c16="http://schemas.microsoft.com/office/drawing/2014/chart" uri="{C3380CC4-5D6E-409C-BE32-E72D297353CC}">
                  <c16:uniqueId val="{0000000F-2544-432E-9678-00E65F7A514C}"/>
                </c:ext>
              </c:extLst>
            </c:dLbl>
            <c:dLbl>
              <c:idx val="17"/>
              <c:layout>
                <c:manualLayout>
                  <c:x val="-2.4170619721703136E-2"/>
                  <c:y val="-3.91075426629891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544-432E-9678-00E65F7A514C}"/>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2020</c:v>
                </c:pt>
                <c:pt idx="1">
                  <c:v>2021</c:v>
                </c:pt>
                <c:pt idx="2">
                  <c:v>2022</c:v>
                </c:pt>
                <c:pt idx="3">
                  <c:v>2023</c:v>
                </c:pt>
                <c:pt idx="4">
                  <c:v>2024</c:v>
                </c:pt>
                <c:pt idx="5">
                  <c:v>2025</c:v>
                </c:pt>
                <c:pt idx="6">
                  <c:v>2026</c:v>
                </c:pt>
                <c:pt idx="7">
                  <c:v>2027</c:v>
                </c:pt>
                <c:pt idx="8">
                  <c:v>2028</c:v>
                </c:pt>
                <c:pt idx="9">
                  <c:v>2029</c:v>
                </c:pt>
              </c:numCache>
            </c:numRef>
          </c:cat>
          <c:val>
            <c:numRef>
              <c:f>'manje prilg + manji rast'!$C$39:$L$39</c:f>
              <c:numCache>
                <c:formatCode>#,##0.0</c:formatCode>
                <c:ptCount val="10"/>
                <c:pt idx="0">
                  <c:v>58.2</c:v>
                </c:pt>
                <c:pt idx="1">
                  <c:v>60</c:v>
                </c:pt>
                <c:pt idx="2">
                  <c:v>59.3</c:v>
                </c:pt>
                <c:pt idx="3">
                  <c:v>57.6</c:v>
                </c:pt>
                <c:pt idx="4">
                  <c:v>55.5</c:v>
                </c:pt>
                <c:pt idx="5">
                  <c:v>56.21444888635066</c:v>
                </c:pt>
                <c:pt idx="6">
                  <c:v>57.944584857869224</c:v>
                </c:pt>
                <c:pt idx="7">
                  <c:v>59.77617276588829</c:v>
                </c:pt>
                <c:pt idx="8">
                  <c:v>61.716526559778977</c:v>
                </c:pt>
                <c:pt idx="9">
                  <c:v>63.62248389700359</c:v>
                </c:pt>
              </c:numCache>
            </c:numRef>
          </c:val>
          <c:smooth val="1"/>
          <c:extLst>
            <c:ext xmlns:c16="http://schemas.microsoft.com/office/drawing/2014/chart" uri="{C3380CC4-5D6E-409C-BE32-E72D297353CC}">
              <c16:uniqueId val="{00000011-2544-432E-9678-00E65F7A514C}"/>
            </c:ext>
          </c:extLst>
        </c:ser>
        <c:ser>
          <c:idx val="2"/>
          <c:order val="1"/>
          <c:tx>
            <c:strRef>
              <c:f>'manji rast'!$B$33</c:f>
              <c:strCache>
                <c:ptCount val="1"/>
                <c:pt idx="0">
                  <c:v>Успорен раст након 2024</c:v>
                </c:pt>
              </c:strCache>
            </c:strRef>
          </c:tx>
          <c:spPr>
            <a:ln w="22225" cap="rnd">
              <a:solidFill>
                <a:schemeClr val="accent3"/>
              </a:solidFill>
              <a:prstDash val="sysDot"/>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2-2544-432E-9678-00E65F7A514C}"/>
                </c:ext>
              </c:extLst>
            </c:dLbl>
            <c:dLbl>
              <c:idx val="1"/>
              <c:delete val="1"/>
              <c:extLst>
                <c:ext xmlns:c15="http://schemas.microsoft.com/office/drawing/2012/chart" uri="{CE6537A1-D6FC-4f65-9D91-7224C49458BB}"/>
                <c:ext xmlns:c16="http://schemas.microsoft.com/office/drawing/2014/chart" uri="{C3380CC4-5D6E-409C-BE32-E72D297353CC}">
                  <c16:uniqueId val="{00000013-2544-432E-9678-00E65F7A514C}"/>
                </c:ext>
              </c:extLst>
            </c:dLbl>
            <c:dLbl>
              <c:idx val="2"/>
              <c:delete val="1"/>
              <c:extLst>
                <c:ext xmlns:c15="http://schemas.microsoft.com/office/drawing/2012/chart" uri="{CE6537A1-D6FC-4f65-9D91-7224C49458BB}"/>
                <c:ext xmlns:c16="http://schemas.microsoft.com/office/drawing/2014/chart" uri="{C3380CC4-5D6E-409C-BE32-E72D297353CC}">
                  <c16:uniqueId val="{00000014-2544-432E-9678-00E65F7A514C}"/>
                </c:ext>
              </c:extLst>
            </c:dLbl>
            <c:dLbl>
              <c:idx val="3"/>
              <c:delete val="1"/>
              <c:extLst>
                <c:ext xmlns:c15="http://schemas.microsoft.com/office/drawing/2012/chart" uri="{CE6537A1-D6FC-4f65-9D91-7224C49458BB}"/>
                <c:ext xmlns:c16="http://schemas.microsoft.com/office/drawing/2014/chart" uri="{C3380CC4-5D6E-409C-BE32-E72D297353CC}">
                  <c16:uniqueId val="{00000015-2544-432E-9678-00E65F7A514C}"/>
                </c:ext>
              </c:extLst>
            </c:dLbl>
            <c:dLbl>
              <c:idx val="4"/>
              <c:delete val="1"/>
              <c:extLst>
                <c:ext xmlns:c15="http://schemas.microsoft.com/office/drawing/2012/chart" uri="{CE6537A1-D6FC-4f65-9D91-7224C49458BB}"/>
                <c:ext xmlns:c16="http://schemas.microsoft.com/office/drawing/2014/chart" uri="{C3380CC4-5D6E-409C-BE32-E72D297353CC}">
                  <c16:uniqueId val="{00000016-2544-432E-9678-00E65F7A514C}"/>
                </c:ext>
              </c:extLst>
            </c:dLbl>
            <c:dLbl>
              <c:idx val="5"/>
              <c:delete val="1"/>
              <c:extLst>
                <c:ext xmlns:c15="http://schemas.microsoft.com/office/drawing/2012/chart" uri="{CE6537A1-D6FC-4f65-9D91-7224C49458BB}"/>
                <c:ext xmlns:c16="http://schemas.microsoft.com/office/drawing/2014/chart" uri="{C3380CC4-5D6E-409C-BE32-E72D297353CC}">
                  <c16:uniqueId val="{00000017-2544-432E-9678-00E65F7A514C}"/>
                </c:ext>
              </c:extLst>
            </c:dLbl>
            <c:dLbl>
              <c:idx val="6"/>
              <c:delete val="1"/>
              <c:extLst>
                <c:ext xmlns:c15="http://schemas.microsoft.com/office/drawing/2012/chart" uri="{CE6537A1-D6FC-4f65-9D91-7224C49458BB}"/>
                <c:ext xmlns:c16="http://schemas.microsoft.com/office/drawing/2014/chart" uri="{C3380CC4-5D6E-409C-BE32-E72D297353CC}">
                  <c16:uniqueId val="{00000018-2544-432E-9678-00E65F7A514C}"/>
                </c:ext>
              </c:extLst>
            </c:dLbl>
            <c:dLbl>
              <c:idx val="7"/>
              <c:delete val="1"/>
              <c:extLst>
                <c:ext xmlns:c15="http://schemas.microsoft.com/office/drawing/2012/chart" uri="{CE6537A1-D6FC-4f65-9D91-7224C49458BB}"/>
                <c:ext xmlns:c16="http://schemas.microsoft.com/office/drawing/2014/chart" uri="{C3380CC4-5D6E-409C-BE32-E72D297353CC}">
                  <c16:uniqueId val="{00000019-2544-432E-9678-00E65F7A514C}"/>
                </c:ext>
              </c:extLst>
            </c:dLbl>
            <c:dLbl>
              <c:idx val="8"/>
              <c:delete val="1"/>
              <c:extLst>
                <c:ext xmlns:c15="http://schemas.microsoft.com/office/drawing/2012/chart" uri="{CE6537A1-D6FC-4f65-9D91-7224C49458BB}"/>
                <c:ext xmlns:c16="http://schemas.microsoft.com/office/drawing/2014/chart" uri="{C3380CC4-5D6E-409C-BE32-E72D297353CC}">
                  <c16:uniqueId val="{0000001A-2544-432E-9678-00E65F7A514C}"/>
                </c:ext>
              </c:extLst>
            </c:dLbl>
            <c:dLbl>
              <c:idx val="9"/>
              <c:layout>
                <c:manualLayout>
                  <c:x val="-4.6379919466930384E-3"/>
                  <c:y val="2.7169462569964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2544-432E-9678-00E65F7A514C}"/>
                </c:ext>
              </c:extLst>
            </c:dLbl>
            <c:dLbl>
              <c:idx val="10"/>
              <c:delete val="1"/>
              <c:extLst>
                <c:ext xmlns:c15="http://schemas.microsoft.com/office/drawing/2012/chart" uri="{CE6537A1-D6FC-4f65-9D91-7224C49458BB}"/>
                <c:ext xmlns:c16="http://schemas.microsoft.com/office/drawing/2014/chart" uri="{C3380CC4-5D6E-409C-BE32-E72D297353CC}">
                  <c16:uniqueId val="{0000001C-2544-432E-9678-00E65F7A514C}"/>
                </c:ext>
              </c:extLst>
            </c:dLbl>
            <c:dLbl>
              <c:idx val="11"/>
              <c:delete val="1"/>
              <c:extLst>
                <c:ext xmlns:c15="http://schemas.microsoft.com/office/drawing/2012/chart" uri="{CE6537A1-D6FC-4f65-9D91-7224C49458BB}"/>
                <c:ext xmlns:c16="http://schemas.microsoft.com/office/drawing/2014/chart" uri="{C3380CC4-5D6E-409C-BE32-E72D297353CC}">
                  <c16:uniqueId val="{0000001D-2544-432E-9678-00E65F7A514C}"/>
                </c:ext>
              </c:extLst>
            </c:dLbl>
            <c:dLbl>
              <c:idx val="12"/>
              <c:delete val="1"/>
              <c:extLst>
                <c:ext xmlns:c15="http://schemas.microsoft.com/office/drawing/2012/chart" uri="{CE6537A1-D6FC-4f65-9D91-7224C49458BB}"/>
                <c:ext xmlns:c16="http://schemas.microsoft.com/office/drawing/2014/chart" uri="{C3380CC4-5D6E-409C-BE32-E72D297353CC}">
                  <c16:uniqueId val="{0000001E-2544-432E-9678-00E65F7A514C}"/>
                </c:ext>
              </c:extLst>
            </c:dLbl>
            <c:dLbl>
              <c:idx val="13"/>
              <c:layout>
                <c:manualLayout>
                  <c:x val="-7.4257428637148227E-3"/>
                  <c:y val="-8.61243694667635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2544-432E-9678-00E65F7A514C}"/>
                </c:ext>
              </c:extLst>
            </c:dLbl>
            <c:dLbl>
              <c:idx val="14"/>
              <c:layout>
                <c:manualLayout>
                  <c:x val="-1.7647064024988345E-2"/>
                  <c:y val="-4.8132360200602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2544-432E-9678-00E65F7A514C}"/>
                </c:ext>
              </c:extLst>
            </c:dLbl>
            <c:dLbl>
              <c:idx val="15"/>
              <c:delete val="1"/>
              <c:extLst>
                <c:ext xmlns:c15="http://schemas.microsoft.com/office/drawing/2012/chart" uri="{CE6537A1-D6FC-4f65-9D91-7224C49458BB}"/>
                <c:ext xmlns:c16="http://schemas.microsoft.com/office/drawing/2014/chart" uri="{C3380CC4-5D6E-409C-BE32-E72D297353CC}">
                  <c16:uniqueId val="{00000021-2544-432E-9678-00E65F7A514C}"/>
                </c:ext>
              </c:extLst>
            </c:dLbl>
            <c:dLbl>
              <c:idx val="16"/>
              <c:delete val="1"/>
              <c:extLst>
                <c:ext xmlns:c15="http://schemas.microsoft.com/office/drawing/2012/chart" uri="{CE6537A1-D6FC-4f65-9D91-7224C49458BB}"/>
                <c:ext xmlns:c16="http://schemas.microsoft.com/office/drawing/2014/chart" uri="{C3380CC4-5D6E-409C-BE32-E72D297353CC}">
                  <c16:uniqueId val="{00000022-2544-432E-9678-00E65F7A514C}"/>
                </c:ext>
              </c:extLst>
            </c:dLbl>
            <c:dLbl>
              <c:idx val="17"/>
              <c:layout>
                <c:manualLayout>
                  <c:x val="-2.2748818561602949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2544-432E-9678-00E65F7A514C}"/>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2020</c:v>
                </c:pt>
                <c:pt idx="1">
                  <c:v>2021</c:v>
                </c:pt>
                <c:pt idx="2">
                  <c:v>2022</c:v>
                </c:pt>
                <c:pt idx="3">
                  <c:v>2023</c:v>
                </c:pt>
                <c:pt idx="4">
                  <c:v>2024</c:v>
                </c:pt>
                <c:pt idx="5">
                  <c:v>2025</c:v>
                </c:pt>
                <c:pt idx="6">
                  <c:v>2026</c:v>
                </c:pt>
                <c:pt idx="7">
                  <c:v>2027</c:v>
                </c:pt>
                <c:pt idx="8">
                  <c:v>2028</c:v>
                </c:pt>
                <c:pt idx="9">
                  <c:v>2029</c:v>
                </c:pt>
              </c:numCache>
            </c:numRef>
          </c:cat>
          <c:val>
            <c:numRef>
              <c:f>'manji rast'!$C$39:$L$39</c:f>
              <c:numCache>
                <c:formatCode>#,##0.0</c:formatCode>
                <c:ptCount val="10"/>
                <c:pt idx="0">
                  <c:v>58.2</c:v>
                </c:pt>
                <c:pt idx="1">
                  <c:v>60</c:v>
                </c:pt>
                <c:pt idx="2">
                  <c:v>59.3</c:v>
                </c:pt>
                <c:pt idx="3">
                  <c:v>57.6</c:v>
                </c:pt>
                <c:pt idx="4">
                  <c:v>55.5</c:v>
                </c:pt>
                <c:pt idx="5">
                  <c:v>54.036950314106221</c:v>
                </c:pt>
                <c:pt idx="6">
                  <c:v>53.141744618213792</c:v>
                </c:pt>
                <c:pt idx="7">
                  <c:v>52.398113340126315</c:v>
                </c:pt>
                <c:pt idx="8">
                  <c:v>51.799177880903841</c:v>
                </c:pt>
                <c:pt idx="9">
                  <c:v>51.212803778798424</c:v>
                </c:pt>
              </c:numCache>
            </c:numRef>
          </c:val>
          <c:smooth val="1"/>
          <c:extLst>
            <c:ext xmlns:c16="http://schemas.microsoft.com/office/drawing/2014/chart" uri="{C3380CC4-5D6E-409C-BE32-E72D297353CC}">
              <c16:uniqueId val="{00000024-2544-432E-9678-00E65F7A514C}"/>
            </c:ext>
          </c:extLst>
        </c:ser>
        <c:ser>
          <c:idx val="4"/>
          <c:order val="2"/>
          <c:tx>
            <c:strRef>
              <c:f>'manje prilagodjavanje'!$B$33</c:f>
              <c:strCache>
                <c:ptCount val="1"/>
                <c:pt idx="0">
                  <c:v>Фискална експанзија након 2024</c:v>
                </c:pt>
              </c:strCache>
            </c:strRef>
          </c:tx>
          <c:spPr>
            <a:ln w="22225" cap="rnd">
              <a:solidFill>
                <a:srgbClr val="FFC000"/>
              </a:solidFill>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25-2544-432E-9678-00E65F7A514C}"/>
                </c:ext>
              </c:extLst>
            </c:dLbl>
            <c:dLbl>
              <c:idx val="1"/>
              <c:delete val="1"/>
              <c:extLst>
                <c:ext xmlns:c15="http://schemas.microsoft.com/office/drawing/2012/chart" uri="{CE6537A1-D6FC-4f65-9D91-7224C49458BB}"/>
                <c:ext xmlns:c16="http://schemas.microsoft.com/office/drawing/2014/chart" uri="{C3380CC4-5D6E-409C-BE32-E72D297353CC}">
                  <c16:uniqueId val="{00000026-2544-432E-9678-00E65F7A514C}"/>
                </c:ext>
              </c:extLst>
            </c:dLbl>
            <c:dLbl>
              <c:idx val="2"/>
              <c:delete val="1"/>
              <c:extLst>
                <c:ext xmlns:c15="http://schemas.microsoft.com/office/drawing/2012/chart" uri="{CE6537A1-D6FC-4f65-9D91-7224C49458BB}"/>
                <c:ext xmlns:c16="http://schemas.microsoft.com/office/drawing/2014/chart" uri="{C3380CC4-5D6E-409C-BE32-E72D297353CC}">
                  <c16:uniqueId val="{00000027-2544-432E-9678-00E65F7A514C}"/>
                </c:ext>
              </c:extLst>
            </c:dLbl>
            <c:dLbl>
              <c:idx val="3"/>
              <c:delete val="1"/>
              <c:extLst>
                <c:ext xmlns:c15="http://schemas.microsoft.com/office/drawing/2012/chart" uri="{CE6537A1-D6FC-4f65-9D91-7224C49458BB}"/>
                <c:ext xmlns:c16="http://schemas.microsoft.com/office/drawing/2014/chart" uri="{C3380CC4-5D6E-409C-BE32-E72D297353CC}">
                  <c16:uniqueId val="{00000028-2544-432E-9678-00E65F7A514C}"/>
                </c:ext>
              </c:extLst>
            </c:dLbl>
            <c:dLbl>
              <c:idx val="4"/>
              <c:delete val="1"/>
              <c:extLst>
                <c:ext xmlns:c15="http://schemas.microsoft.com/office/drawing/2012/chart" uri="{CE6537A1-D6FC-4f65-9D91-7224C49458BB}"/>
                <c:ext xmlns:c16="http://schemas.microsoft.com/office/drawing/2014/chart" uri="{C3380CC4-5D6E-409C-BE32-E72D297353CC}">
                  <c16:uniqueId val="{00000029-2544-432E-9678-00E65F7A514C}"/>
                </c:ext>
              </c:extLst>
            </c:dLbl>
            <c:dLbl>
              <c:idx val="5"/>
              <c:delete val="1"/>
              <c:extLst>
                <c:ext xmlns:c15="http://schemas.microsoft.com/office/drawing/2012/chart" uri="{CE6537A1-D6FC-4f65-9D91-7224C49458BB}"/>
                <c:ext xmlns:c16="http://schemas.microsoft.com/office/drawing/2014/chart" uri="{C3380CC4-5D6E-409C-BE32-E72D297353CC}">
                  <c16:uniqueId val="{0000002A-2544-432E-9678-00E65F7A514C}"/>
                </c:ext>
              </c:extLst>
            </c:dLbl>
            <c:dLbl>
              <c:idx val="6"/>
              <c:delete val="1"/>
              <c:extLst>
                <c:ext xmlns:c15="http://schemas.microsoft.com/office/drawing/2012/chart" uri="{CE6537A1-D6FC-4f65-9D91-7224C49458BB}"/>
                <c:ext xmlns:c16="http://schemas.microsoft.com/office/drawing/2014/chart" uri="{C3380CC4-5D6E-409C-BE32-E72D297353CC}">
                  <c16:uniqueId val="{0000002B-2544-432E-9678-00E65F7A514C}"/>
                </c:ext>
              </c:extLst>
            </c:dLbl>
            <c:dLbl>
              <c:idx val="7"/>
              <c:delete val="1"/>
              <c:extLst>
                <c:ext xmlns:c15="http://schemas.microsoft.com/office/drawing/2012/chart" uri="{CE6537A1-D6FC-4f65-9D91-7224C49458BB}"/>
                <c:ext xmlns:c16="http://schemas.microsoft.com/office/drawing/2014/chart" uri="{C3380CC4-5D6E-409C-BE32-E72D297353CC}">
                  <c16:uniqueId val="{0000002C-2544-432E-9678-00E65F7A514C}"/>
                </c:ext>
              </c:extLst>
            </c:dLbl>
            <c:dLbl>
              <c:idx val="8"/>
              <c:delete val="1"/>
              <c:extLst>
                <c:ext xmlns:c15="http://schemas.microsoft.com/office/drawing/2012/chart" uri="{CE6537A1-D6FC-4f65-9D91-7224C49458BB}"/>
                <c:ext xmlns:c16="http://schemas.microsoft.com/office/drawing/2014/chart" uri="{C3380CC4-5D6E-409C-BE32-E72D297353CC}">
                  <c16:uniqueId val="{0000002D-2544-432E-9678-00E65F7A514C}"/>
                </c:ext>
              </c:extLst>
            </c:dLbl>
            <c:dLbl>
              <c:idx val="9"/>
              <c:layout>
                <c:manualLayout>
                  <c:x val="-9.0700068881669951E-3"/>
                  <c:y val="-3.32071209188460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2544-432E-9678-00E65F7A514C}"/>
                </c:ext>
              </c:extLst>
            </c:dLbl>
            <c:dLbl>
              <c:idx val="10"/>
              <c:delete val="1"/>
              <c:extLst>
                <c:ext xmlns:c15="http://schemas.microsoft.com/office/drawing/2012/chart" uri="{CE6537A1-D6FC-4f65-9D91-7224C49458BB}"/>
                <c:ext xmlns:c16="http://schemas.microsoft.com/office/drawing/2014/chart" uri="{C3380CC4-5D6E-409C-BE32-E72D297353CC}">
                  <c16:uniqueId val="{0000002F-2544-432E-9678-00E65F7A514C}"/>
                </c:ext>
              </c:extLst>
            </c:dLbl>
            <c:dLbl>
              <c:idx val="11"/>
              <c:delete val="1"/>
              <c:extLst>
                <c:ext xmlns:c15="http://schemas.microsoft.com/office/drawing/2012/chart" uri="{CE6537A1-D6FC-4f65-9D91-7224C49458BB}"/>
                <c:ext xmlns:c16="http://schemas.microsoft.com/office/drawing/2014/chart" uri="{C3380CC4-5D6E-409C-BE32-E72D297353CC}">
                  <c16:uniqueId val="{00000030-2544-432E-9678-00E65F7A514C}"/>
                </c:ext>
              </c:extLst>
            </c:dLbl>
            <c:dLbl>
              <c:idx val="12"/>
              <c:delete val="1"/>
              <c:extLst>
                <c:ext xmlns:c15="http://schemas.microsoft.com/office/drawing/2012/chart" uri="{CE6537A1-D6FC-4f65-9D91-7224C49458BB}"/>
                <c:ext xmlns:c16="http://schemas.microsoft.com/office/drawing/2014/chart" uri="{C3380CC4-5D6E-409C-BE32-E72D297353CC}">
                  <c16:uniqueId val="{00000031-2544-432E-9678-00E65F7A514C}"/>
                </c:ext>
              </c:extLst>
            </c:dLbl>
            <c:dLbl>
              <c:idx val="13"/>
              <c:layout>
                <c:manualLayout>
                  <c:x val="-8.9108914364579191E-3"/>
                  <c:y val="-1.43540615777940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2-2544-432E-9678-00E65F7A514C}"/>
                </c:ext>
              </c:extLst>
            </c:dLbl>
            <c:dLbl>
              <c:idx val="14"/>
              <c:layout>
                <c:manualLayout>
                  <c:x val="-1.6042785477262012E-2"/>
                  <c:y val="-4.21158151755268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3-2544-432E-9678-00E65F7A514C}"/>
                </c:ext>
              </c:extLst>
            </c:dLbl>
            <c:dLbl>
              <c:idx val="15"/>
              <c:delete val="1"/>
              <c:extLst>
                <c:ext xmlns:c15="http://schemas.microsoft.com/office/drawing/2012/chart" uri="{CE6537A1-D6FC-4f65-9D91-7224C49458BB}"/>
                <c:ext xmlns:c16="http://schemas.microsoft.com/office/drawing/2014/chart" uri="{C3380CC4-5D6E-409C-BE32-E72D297353CC}">
                  <c16:uniqueId val="{00000034-2544-432E-9678-00E65F7A514C}"/>
                </c:ext>
              </c:extLst>
            </c:dLbl>
            <c:dLbl>
              <c:idx val="16"/>
              <c:delete val="1"/>
              <c:extLst>
                <c:ext xmlns:c15="http://schemas.microsoft.com/office/drawing/2012/chart" uri="{CE6537A1-D6FC-4f65-9D91-7224C49458BB}"/>
                <c:ext xmlns:c16="http://schemas.microsoft.com/office/drawing/2014/chart" uri="{C3380CC4-5D6E-409C-BE32-E72D297353CC}">
                  <c16:uniqueId val="{00000035-2544-432E-9678-00E65F7A514C}"/>
                </c:ext>
              </c:extLst>
            </c:dLbl>
            <c:dLbl>
              <c:idx val="17"/>
              <c:layout>
                <c:manualLayout>
                  <c:x val="-2.4170619721703136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6-2544-432E-9678-00E65F7A514C}"/>
                </c:ext>
              </c:extLst>
            </c:dLbl>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2020</c:v>
                </c:pt>
                <c:pt idx="1">
                  <c:v>2021</c:v>
                </c:pt>
                <c:pt idx="2">
                  <c:v>2022</c:v>
                </c:pt>
                <c:pt idx="3">
                  <c:v>2023</c:v>
                </c:pt>
                <c:pt idx="4">
                  <c:v>2024</c:v>
                </c:pt>
                <c:pt idx="5">
                  <c:v>2025</c:v>
                </c:pt>
                <c:pt idx="6">
                  <c:v>2026</c:v>
                </c:pt>
                <c:pt idx="7">
                  <c:v>2027</c:v>
                </c:pt>
                <c:pt idx="8">
                  <c:v>2028</c:v>
                </c:pt>
                <c:pt idx="9">
                  <c:v>2029</c:v>
                </c:pt>
              </c:numCache>
            </c:numRef>
          </c:cat>
          <c:val>
            <c:numRef>
              <c:f>'manje prilagodjavanje'!$C$39:$L$39</c:f>
              <c:numCache>
                <c:formatCode>#,##0.0</c:formatCode>
                <c:ptCount val="10"/>
                <c:pt idx="0">
                  <c:v>58.2</c:v>
                </c:pt>
                <c:pt idx="1">
                  <c:v>60</c:v>
                </c:pt>
                <c:pt idx="2">
                  <c:v>59.3</c:v>
                </c:pt>
                <c:pt idx="3">
                  <c:v>57.6</c:v>
                </c:pt>
                <c:pt idx="4">
                  <c:v>55.5</c:v>
                </c:pt>
                <c:pt idx="5">
                  <c:v>55.007393577296483</c:v>
                </c:pt>
                <c:pt idx="6">
                  <c:v>55.041348904943369</c:v>
                </c:pt>
                <c:pt idx="7">
                  <c:v>55.073473332921772</c:v>
                </c:pt>
                <c:pt idx="8">
                  <c:v>55.103865584873255</c:v>
                </c:pt>
                <c:pt idx="9">
                  <c:v>55.132619061178062</c:v>
                </c:pt>
              </c:numCache>
            </c:numRef>
          </c:val>
          <c:smooth val="1"/>
          <c:extLst>
            <c:ext xmlns:c16="http://schemas.microsoft.com/office/drawing/2014/chart" uri="{C3380CC4-5D6E-409C-BE32-E72D297353CC}">
              <c16:uniqueId val="{00000037-2544-432E-9678-00E65F7A514C}"/>
            </c:ext>
          </c:extLst>
        </c:ser>
        <c:ser>
          <c:idx val="0"/>
          <c:order val="3"/>
          <c:tx>
            <c:strRef>
              <c:f>'Сценарио 1'!$B$33</c:f>
              <c:strCache>
                <c:ptCount val="1"/>
                <c:pt idx="0">
                  <c:v>Основни сценарио</c:v>
                </c:pt>
              </c:strCache>
            </c:strRef>
          </c:tx>
          <c:spPr>
            <a:ln w="25400" cap="rnd">
              <a:solidFill>
                <a:srgbClr val="002060"/>
              </a:solidFill>
              <a:round/>
            </a:ln>
            <a:effectLst/>
          </c:spPr>
          <c:marker>
            <c:symbol val="none"/>
          </c:marker>
          <c:dLbls>
            <c:dLbl>
              <c:idx val="1"/>
              <c:layout>
                <c:manualLayout>
                  <c:x val="3.3103674540682416E-3"/>
                  <c:y val="5.2579153957106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8-2544-432E-9678-00E65F7A514C}"/>
                </c:ext>
              </c:extLst>
            </c:dLbl>
            <c:dLbl>
              <c:idx val="2"/>
              <c:layout>
                <c:manualLayout>
                  <c:x val="-1.547244094488189E-2"/>
                  <c:y val="7.0519732330755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9-2544-432E-9678-00E65F7A514C}"/>
                </c:ext>
              </c:extLst>
            </c:dLbl>
            <c:dLbl>
              <c:idx val="3"/>
              <c:layout>
                <c:manualLayout>
                  <c:x val="-1.1708710893877721E-2"/>
                  <c:y val="8.4066530670641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A-2544-432E-9678-00E65F7A514C}"/>
                </c:ext>
              </c:extLst>
            </c:dLbl>
            <c:dLbl>
              <c:idx val="4"/>
              <c:layout>
                <c:manualLayout>
                  <c:x val="-2.1608647542540962E-2"/>
                  <c:y val="6.0165450250752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B-2544-432E-9678-00E65F7A514C}"/>
                </c:ext>
              </c:extLst>
            </c:dLbl>
            <c:dLbl>
              <c:idx val="5"/>
              <c:delete val="1"/>
              <c:extLst>
                <c:ext xmlns:c15="http://schemas.microsoft.com/office/drawing/2012/chart" uri="{CE6537A1-D6FC-4f65-9D91-7224C49458BB}"/>
                <c:ext xmlns:c16="http://schemas.microsoft.com/office/drawing/2014/chart" uri="{C3380CC4-5D6E-409C-BE32-E72D297353CC}">
                  <c16:uniqueId val="{0000003C-2544-432E-9678-00E65F7A514C}"/>
                </c:ext>
              </c:extLst>
            </c:dLbl>
            <c:dLbl>
              <c:idx val="6"/>
              <c:delete val="1"/>
              <c:extLst>
                <c:ext xmlns:c15="http://schemas.microsoft.com/office/drawing/2012/chart" uri="{CE6537A1-D6FC-4f65-9D91-7224C49458BB}"/>
                <c:ext xmlns:c16="http://schemas.microsoft.com/office/drawing/2014/chart" uri="{C3380CC4-5D6E-409C-BE32-E72D297353CC}">
                  <c16:uniqueId val="{0000003D-2544-432E-9678-00E65F7A514C}"/>
                </c:ext>
              </c:extLst>
            </c:dLbl>
            <c:dLbl>
              <c:idx val="7"/>
              <c:delete val="1"/>
              <c:extLst>
                <c:ext xmlns:c15="http://schemas.microsoft.com/office/drawing/2012/chart" uri="{CE6537A1-D6FC-4f65-9D91-7224C49458BB}"/>
                <c:ext xmlns:c16="http://schemas.microsoft.com/office/drawing/2014/chart" uri="{C3380CC4-5D6E-409C-BE32-E72D297353CC}">
                  <c16:uniqueId val="{0000003E-2544-432E-9678-00E65F7A514C}"/>
                </c:ext>
              </c:extLst>
            </c:dLbl>
            <c:dLbl>
              <c:idx val="8"/>
              <c:delete val="1"/>
              <c:extLst>
                <c:ext xmlns:c15="http://schemas.microsoft.com/office/drawing/2012/chart" uri="{CE6537A1-D6FC-4f65-9D91-7224C49458BB}"/>
                <c:ext xmlns:c16="http://schemas.microsoft.com/office/drawing/2014/chart" uri="{C3380CC4-5D6E-409C-BE32-E72D297353CC}">
                  <c16:uniqueId val="{0000003F-2544-432E-9678-00E65F7A514C}"/>
                </c:ext>
              </c:extLst>
            </c:dLbl>
            <c:dLbl>
              <c:idx val="9"/>
              <c:layout>
                <c:manualLayout>
                  <c:x val="0"/>
                  <c:y val="4.83822195343210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0-2544-432E-9678-00E65F7A514C}"/>
                </c:ext>
              </c:extLst>
            </c:dLbl>
            <c:dLbl>
              <c:idx val="10"/>
              <c:delete val="1"/>
              <c:extLst>
                <c:ext xmlns:c15="http://schemas.microsoft.com/office/drawing/2012/chart" uri="{CE6537A1-D6FC-4f65-9D91-7224C49458BB}"/>
                <c:ext xmlns:c16="http://schemas.microsoft.com/office/drawing/2014/chart" uri="{C3380CC4-5D6E-409C-BE32-E72D297353CC}">
                  <c16:uniqueId val="{00000041-2544-432E-9678-00E65F7A514C}"/>
                </c:ext>
              </c:extLst>
            </c:dLbl>
            <c:dLbl>
              <c:idx val="11"/>
              <c:delete val="1"/>
              <c:extLst>
                <c:ext xmlns:c15="http://schemas.microsoft.com/office/drawing/2012/chart" uri="{CE6537A1-D6FC-4f65-9D91-7224C49458BB}"/>
                <c:ext xmlns:c16="http://schemas.microsoft.com/office/drawing/2014/chart" uri="{C3380CC4-5D6E-409C-BE32-E72D297353CC}">
                  <c16:uniqueId val="{00000042-2544-432E-9678-00E65F7A514C}"/>
                </c:ext>
              </c:extLst>
            </c:dLbl>
            <c:dLbl>
              <c:idx val="12"/>
              <c:delete val="1"/>
              <c:extLst>
                <c:ext xmlns:c15="http://schemas.microsoft.com/office/drawing/2012/chart" uri="{CE6537A1-D6FC-4f65-9D91-7224C49458BB}"/>
                <c:ext xmlns:c16="http://schemas.microsoft.com/office/drawing/2014/chart" uri="{C3380CC4-5D6E-409C-BE32-E72D297353CC}">
                  <c16:uniqueId val="{00000043-2544-432E-9678-00E65F7A514C}"/>
                </c:ext>
              </c:extLst>
            </c:dLbl>
            <c:dLbl>
              <c:idx val="13"/>
              <c:layout>
                <c:manualLayout>
                  <c:x val="-1.1881188581944001E-2"/>
                  <c:y val="-2.29664985244702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4-2544-432E-9678-00E65F7A514C}"/>
                </c:ext>
              </c:extLst>
            </c:dLbl>
            <c:dLbl>
              <c:idx val="14"/>
              <c:layout>
                <c:manualLayout>
                  <c:x val="-2.2459899668166864E-2"/>
                  <c:y val="3.91075426629890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5-2544-432E-9678-00E65F7A514C}"/>
                </c:ext>
              </c:extLst>
            </c:dLbl>
            <c:dLbl>
              <c:idx val="15"/>
              <c:delete val="1"/>
              <c:extLst>
                <c:ext xmlns:c15="http://schemas.microsoft.com/office/drawing/2012/chart" uri="{CE6537A1-D6FC-4f65-9D91-7224C49458BB}"/>
                <c:ext xmlns:c16="http://schemas.microsoft.com/office/drawing/2014/chart" uri="{C3380CC4-5D6E-409C-BE32-E72D297353CC}">
                  <c16:uniqueId val="{00000046-2544-432E-9678-00E65F7A514C}"/>
                </c:ext>
              </c:extLst>
            </c:dLbl>
            <c:dLbl>
              <c:idx val="16"/>
              <c:delete val="1"/>
              <c:extLst>
                <c:ext xmlns:c15="http://schemas.microsoft.com/office/drawing/2012/chart" uri="{CE6537A1-D6FC-4f65-9D91-7224C49458BB}"/>
                <c:ext xmlns:c16="http://schemas.microsoft.com/office/drawing/2014/chart" uri="{C3380CC4-5D6E-409C-BE32-E72D297353CC}">
                  <c16:uniqueId val="{00000047-2544-432E-9678-00E65F7A514C}"/>
                </c:ext>
              </c:extLst>
            </c:dLbl>
            <c:dLbl>
              <c:idx val="17"/>
              <c:layout>
                <c:manualLayout>
                  <c:x val="-2.1327017401502765E-2"/>
                  <c:y val="-4.21158151755267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48-2544-432E-9678-00E65F7A514C}"/>
                </c:ext>
              </c:extLst>
            </c:dLbl>
            <c:numFmt formatCode="#,##0.0" sourceLinked="0"/>
            <c:spPr>
              <a:noFill/>
              <a:ln>
                <a:noFill/>
              </a:ln>
              <a:effectLst/>
            </c:spPr>
            <c:txPr>
              <a:bodyPr rot="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'Сценарио 1'!$C$33:$L$33</c:f>
              <c:numCache>
                <c:formatCode>General</c:formatCode>
                <c:ptCount val="10"/>
                <c:pt idx="0">
                  <c:v>2020</c:v>
                </c:pt>
                <c:pt idx="1">
                  <c:v>2021</c:v>
                </c:pt>
                <c:pt idx="2">
                  <c:v>2022</c:v>
                </c:pt>
                <c:pt idx="3">
                  <c:v>2023</c:v>
                </c:pt>
                <c:pt idx="4">
                  <c:v>2024</c:v>
                </c:pt>
                <c:pt idx="5">
                  <c:v>2025</c:v>
                </c:pt>
                <c:pt idx="6">
                  <c:v>2026</c:v>
                </c:pt>
                <c:pt idx="7">
                  <c:v>2027</c:v>
                </c:pt>
                <c:pt idx="8">
                  <c:v>2028</c:v>
                </c:pt>
                <c:pt idx="9">
                  <c:v>2029</c:v>
                </c:pt>
              </c:numCache>
            </c:numRef>
          </c:cat>
          <c:val>
            <c:numRef>
              <c:f>'Сценарио 1'!$C$39:$L$39</c:f>
              <c:numCache>
                <c:formatCode>#,##0.0</c:formatCode>
                <c:ptCount val="10"/>
                <c:pt idx="0">
                  <c:v>58.2</c:v>
                </c:pt>
                <c:pt idx="1">
                  <c:v>60</c:v>
                </c:pt>
                <c:pt idx="2">
                  <c:v>59.3</c:v>
                </c:pt>
                <c:pt idx="3">
                  <c:v>57.6</c:v>
                </c:pt>
                <c:pt idx="4">
                  <c:v>55.5</c:v>
                </c:pt>
                <c:pt idx="5">
                  <c:v>52.957654966392823</c:v>
                </c:pt>
                <c:pt idx="6">
                  <c:v>50.554673730744398</c:v>
                </c:pt>
                <c:pt idx="7">
                  <c:v>48.283416783891042</c:v>
                </c:pt>
                <c:pt idx="8">
                  <c:v>46.136663391853986</c:v>
                </c:pt>
                <c:pt idx="9">
                  <c:v>44.107588639828528</c:v>
                </c:pt>
              </c:numCache>
            </c:numRef>
          </c:val>
          <c:smooth val="1"/>
          <c:extLst>
            <c:ext xmlns:c16="http://schemas.microsoft.com/office/drawing/2014/chart" uri="{C3380CC4-5D6E-409C-BE32-E72D297353CC}">
              <c16:uniqueId val="{00000049-2544-432E-9678-00E65F7A514C}"/>
            </c:ext>
          </c:extLst>
        </c:ser>
        <c:dLbls>
          <c:showLegendKey val="0"/>
          <c:showVal val="0"/>
          <c:showCatName val="0"/>
          <c:showSerName val="0"/>
          <c:showPercent val="0"/>
          <c:showBubbleSize val="0"/>
        </c:dLbls>
        <c:smooth val="0"/>
        <c:axId val="248069424"/>
        <c:axId val="248068304"/>
      </c:lineChart>
      <c:catAx>
        <c:axId val="248069424"/>
        <c:scaling>
          <c:orientation val="minMax"/>
        </c:scaling>
        <c:delete val="0"/>
        <c:axPos val="b"/>
        <c:majorGridlines>
          <c:spPr>
            <a:ln w="9525" cap="flat" cmpd="sng" algn="ctr">
              <a:noFill/>
              <a:round/>
            </a:ln>
            <a:effectLst/>
          </c:spPr>
        </c:majorGridlines>
        <c:numFmt formatCode="General" sourceLinked="1"/>
        <c:majorTickMark val="none"/>
        <c:minorTickMark val="none"/>
        <c:tickLblPos val="nextTo"/>
        <c:spPr>
          <a:noFill/>
          <a:ln w="12700" cap="flat" cmpd="sng" algn="ctr">
            <a:noFill/>
            <a:round/>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48068304"/>
        <c:crosses val="autoZero"/>
        <c:auto val="1"/>
        <c:lblAlgn val="ctr"/>
        <c:lblOffset val="100"/>
        <c:noMultiLvlLbl val="0"/>
      </c:catAx>
      <c:valAx>
        <c:axId val="248068304"/>
        <c:scaling>
          <c:orientation val="minMax"/>
          <c:max val="65"/>
          <c:min val="30"/>
        </c:scaling>
        <c:delete val="0"/>
        <c:axPos val="l"/>
        <c:majorGridlines>
          <c:spPr>
            <a:ln w="9525" cap="flat" cmpd="sng" algn="ctr">
              <a:noFill/>
              <a:round/>
            </a:ln>
            <a:effectLst/>
          </c:spPr>
        </c:majorGridlines>
        <c:title>
          <c:tx>
            <c:rich>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r>
                  <a:rPr lang="sr-Cyrl-RS"/>
                  <a:t>% </a:t>
                </a:r>
                <a:r>
                  <a:rPr lang="en-US"/>
                  <a:t> </a:t>
                </a:r>
                <a:r>
                  <a:rPr lang="sr-Cyrl-RS"/>
                  <a:t>БДП </a:t>
                </a:r>
                <a:endParaRPr lang="en-US"/>
              </a:p>
            </c:rich>
          </c:tx>
          <c:layout>
            <c:manualLayout>
              <c:xMode val="edge"/>
              <c:yMode val="edge"/>
              <c:x val="1.4833041703120444E-3"/>
              <c:y val="0.26918788867607768"/>
            </c:manualLayout>
          </c:layout>
          <c:overlay val="0"/>
          <c:spPr>
            <a:noFill/>
            <a:ln>
              <a:noFill/>
            </a:ln>
            <a:effectLst/>
          </c:spPr>
          <c:txPr>
            <a:bodyPr rot="-54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crossAx val="248069424"/>
        <c:crosses val="autoZero"/>
        <c:crossBetween val="between"/>
        <c:majorUnit val="5"/>
      </c:valAx>
      <c:spPr>
        <a:noFill/>
        <a:ln>
          <a:noFill/>
        </a:ln>
        <a:effectLst/>
      </c:spPr>
    </c:plotArea>
    <c:legend>
      <c:legendPos val="b"/>
      <c:layout>
        <c:manualLayout>
          <c:xMode val="edge"/>
          <c:yMode val="edge"/>
          <c:x val="2.8163458734324878E-2"/>
          <c:y val="0.62885218422387257"/>
          <c:w val="0.96382317438746568"/>
          <c:h val="0.22526053911507507"/>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750">
          <a:solidFill>
            <a:schemeClr val="tx2"/>
          </a:solidFill>
          <a:latin typeface="+mn-lt"/>
        </a:defRPr>
      </a:pPr>
      <a:endParaRPr lang="sr-Latn-RS"/>
    </a:p>
  </c:txPr>
  <c:externalData r:id="rId4">
    <c:autoUpdate val="0"/>
  </c:externalData>
  <c:userShapes r:id="rId5"/>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252053796081997E-2"/>
          <c:y val="5.0617226501430711E-2"/>
          <c:w val="0.90916365972175073"/>
          <c:h val="0.56739239433635813"/>
        </c:manualLayout>
      </c:layout>
      <c:barChart>
        <c:barDir val="col"/>
        <c:grouping val="stacked"/>
        <c:varyColors val="0"/>
        <c:ser>
          <c:idx val="0"/>
          <c:order val="0"/>
          <c:tx>
            <c:strRef>
              <c:f>ucesce!$A$5</c:f>
              <c:strCache>
                <c:ptCount val="1"/>
                <c:pt idx="0">
                  <c:v>Директне обавезе</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2021/III</c:v>
                </c:pt>
              </c:strCache>
            </c:strRef>
          </c:cat>
          <c:val>
            <c:numRef>
              <c:f>ucesce!$B$5:$E$5</c:f>
              <c:numCache>
                <c:formatCode>0.0%</c:formatCode>
                <c:ptCount val="4"/>
                <c:pt idx="0">
                  <c:v>0.500709569920195</c:v>
                </c:pt>
                <c:pt idx="1">
                  <c:v>0.48740724061449198</c:v>
                </c:pt>
                <c:pt idx="2">
                  <c:v>0.54331975611960304</c:v>
                </c:pt>
                <c:pt idx="3">
                  <c:v>0.52950857210874502</c:v>
                </c:pt>
              </c:numCache>
            </c:numRef>
          </c:val>
          <c:extLst>
            <c:ext xmlns:c16="http://schemas.microsoft.com/office/drawing/2014/chart" uri="{C3380CC4-5D6E-409C-BE32-E72D297353CC}">
              <c16:uniqueId val="{00000000-F18C-4C8B-A003-5788A9FA361B}"/>
            </c:ext>
          </c:extLst>
        </c:ser>
        <c:ser>
          <c:idx val="1"/>
          <c:order val="1"/>
          <c:tx>
            <c:strRef>
              <c:f>ucesce!$A$6</c:f>
              <c:strCache>
                <c:ptCount val="1"/>
                <c:pt idx="0">
                  <c:v>Индиректне обавезе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0"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2021/III</c:v>
                </c:pt>
              </c:strCache>
            </c:strRef>
          </c:cat>
          <c:val>
            <c:numRef>
              <c:f>ucesce!$B$6:$E$6</c:f>
              <c:numCache>
                <c:formatCode>0.0%</c:formatCode>
                <c:ptCount val="4"/>
                <c:pt idx="0">
                  <c:v>3.5509255380483502E-2</c:v>
                </c:pt>
                <c:pt idx="1">
                  <c:v>3.2302218222082103E-2</c:v>
                </c:pt>
                <c:pt idx="2">
                  <c:v>3.0627506848047902E-2</c:v>
                </c:pt>
                <c:pt idx="3">
                  <c:v>2.7732804934900299E-2</c:v>
                </c:pt>
              </c:numCache>
            </c:numRef>
          </c:val>
          <c:extLst>
            <c:ext xmlns:c16="http://schemas.microsoft.com/office/drawing/2014/chart" uri="{C3380CC4-5D6E-409C-BE32-E72D297353CC}">
              <c16:uniqueId val="{00000001-F18C-4C8B-A003-5788A9FA361B}"/>
            </c:ext>
          </c:extLst>
        </c:ser>
        <c:ser>
          <c:idx val="2"/>
          <c:order val="2"/>
          <c:tx>
            <c:strRef>
              <c:f>ucesce!$A$7</c:f>
              <c:strCache>
                <c:ptCount val="1"/>
                <c:pt idx="0">
                  <c:v>Негарантовани дуг јединица локалне самоуправе, ЈП Путеви Србије и Коридори Србије д.о.о.</c:v>
                </c:pt>
              </c:strCache>
            </c:strRef>
          </c:tx>
          <c:spPr>
            <a:solidFill>
              <a:srgbClr val="51BBE7">
                <a:alpha val="50000"/>
              </a:srgbClr>
            </a:solidFill>
            <a:ln>
              <a:noFill/>
            </a:ln>
            <a:effectLst/>
          </c:spPr>
          <c:invertIfNegative val="0"/>
          <c:dLbls>
            <c:dLbl>
              <c:idx val="0"/>
              <c:layout>
                <c:manualLayout>
                  <c:x val="-2.8032302694319029E-17"/>
                  <c:y val="-2.830189380030056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18C-4C8B-A003-5788A9FA361B}"/>
                </c:ext>
              </c:extLst>
            </c:dLbl>
            <c:dLbl>
              <c:idx val="1"/>
              <c:layout>
                <c:manualLayout>
                  <c:x val="-3.0581047119132925E-3"/>
                  <c:y val="-3.7735858400400731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18C-4C8B-A003-5788A9FA361B}"/>
                </c:ext>
              </c:extLst>
            </c:dLbl>
            <c:dLbl>
              <c:idx val="2"/>
              <c:layout>
                <c:manualLayout>
                  <c:x val="0"/>
                  <c:y val="-3.144654866700061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18C-4C8B-A003-5788A9FA361B}"/>
                </c:ext>
              </c:extLst>
            </c:dLbl>
            <c:dLbl>
              <c:idx val="3"/>
              <c:layout>
                <c:manualLayout>
                  <c:x val="0"/>
                  <c:y val="-2.8301893800300577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18C-4C8B-A003-5788A9FA36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2"/>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ucesce!$B$4:$E$4</c:f>
              <c:strCache>
                <c:ptCount val="4"/>
                <c:pt idx="0">
                  <c:v>2018</c:v>
                </c:pt>
                <c:pt idx="1">
                  <c:v>2019</c:v>
                </c:pt>
                <c:pt idx="2">
                  <c:v>2020</c:v>
                </c:pt>
                <c:pt idx="3">
                  <c:v>2021/III</c:v>
                </c:pt>
              </c:strCache>
            </c:strRef>
          </c:cat>
          <c:val>
            <c:numRef>
              <c:f>ucesce!$B$7:$E$7</c:f>
              <c:numCache>
                <c:formatCode>0.0%</c:formatCode>
                <c:ptCount val="4"/>
                <c:pt idx="0">
                  <c:v>7.3120804873760903E-3</c:v>
                </c:pt>
                <c:pt idx="1">
                  <c:v>8.9174759795078804E-3</c:v>
                </c:pt>
                <c:pt idx="2">
                  <c:v>8.3171201092306999E-3</c:v>
                </c:pt>
                <c:pt idx="3">
                  <c:v>7.4848813820890397E-3</c:v>
                </c:pt>
              </c:numCache>
            </c:numRef>
          </c:val>
          <c:extLst>
            <c:ext xmlns:c16="http://schemas.microsoft.com/office/drawing/2014/chart" uri="{C3380CC4-5D6E-409C-BE32-E72D297353CC}">
              <c16:uniqueId val="{00000006-F18C-4C8B-A003-5788A9FA361B}"/>
            </c:ext>
          </c:extLst>
        </c:ser>
        <c:dLbls>
          <c:dLblPos val="ctr"/>
          <c:showLegendKey val="0"/>
          <c:showVal val="1"/>
          <c:showCatName val="0"/>
          <c:showSerName val="0"/>
          <c:showPercent val="0"/>
          <c:showBubbleSize val="0"/>
        </c:dLbls>
        <c:gapWidth val="79"/>
        <c:overlap val="100"/>
        <c:axId val="244077856"/>
        <c:axId val="244088736"/>
      </c:barChart>
      <c:catAx>
        <c:axId val="2440778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rgbClr val="44546A"/>
                </a:solidFill>
                <a:latin typeface="+mn-lt"/>
                <a:ea typeface="+mn-ea"/>
                <a:cs typeface="+mn-cs"/>
              </a:defRPr>
            </a:pPr>
            <a:endParaRPr lang="sr-Latn-RS"/>
          </a:p>
        </c:txPr>
        <c:crossAx val="244088736"/>
        <c:crosses val="autoZero"/>
        <c:auto val="1"/>
        <c:lblAlgn val="ctr"/>
        <c:lblOffset val="100"/>
        <c:noMultiLvlLbl val="0"/>
      </c:catAx>
      <c:valAx>
        <c:axId val="244088736"/>
        <c:scaling>
          <c:orientation val="minMax"/>
          <c:max val="0.75000000000000011"/>
          <c:min val="0"/>
        </c:scaling>
        <c:delete val="1"/>
        <c:axPos val="l"/>
        <c:numFmt formatCode="0%" sourceLinked="0"/>
        <c:majorTickMark val="none"/>
        <c:minorTickMark val="none"/>
        <c:tickLblPos val="nextTo"/>
        <c:crossAx val="244077856"/>
        <c:crosses val="autoZero"/>
        <c:crossBetween val="between"/>
      </c:valAx>
      <c:spPr>
        <a:noFill/>
        <a:ln>
          <a:noFill/>
        </a:ln>
        <a:effectLst/>
      </c:spPr>
    </c:plotArea>
    <c:legend>
      <c:legendPos val="t"/>
      <c:layout>
        <c:manualLayout>
          <c:xMode val="edge"/>
          <c:yMode val="edge"/>
          <c:x val="6.1162094238265845E-2"/>
          <c:y val="0.75765592081258903"/>
          <c:w val="0.88915449975532701"/>
          <c:h val="0.2407556230359097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7289336635108885E-2"/>
          <c:y val="7.4689633864290325E-2"/>
          <c:w val="0.91606508156755739"/>
          <c:h val="0.79312142700502786"/>
        </c:manualLayout>
      </c:layout>
      <c:barChart>
        <c:barDir val="col"/>
        <c:grouping val="stacked"/>
        <c:varyColors val="0"/>
        <c:ser>
          <c:idx val="0"/>
          <c:order val="0"/>
          <c:tx>
            <c:strRef>
              <c:f>valutna!$A$5</c:f>
              <c:strCache>
                <c:ptCount val="1"/>
                <c:pt idx="0">
                  <c:v>EUR</c:v>
                </c:pt>
              </c:strCache>
            </c:strRef>
          </c:tx>
          <c:spPr>
            <a:solidFill>
              <a:srgbClr val="10103C"/>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2021/III</c:v>
                </c:pt>
              </c:strCache>
            </c:strRef>
          </c:cat>
          <c:val>
            <c:numRef>
              <c:f>valutna!$B$5:$E$5</c:f>
              <c:numCache>
                <c:formatCode>0.0%</c:formatCode>
                <c:ptCount val="4"/>
                <c:pt idx="0">
                  <c:v>0.40641595607242059</c:v>
                </c:pt>
                <c:pt idx="1">
                  <c:v>0.44833301051551283</c:v>
                </c:pt>
                <c:pt idx="2">
                  <c:v>0.5</c:v>
                </c:pt>
                <c:pt idx="3">
                  <c:v>0.51200000000000001</c:v>
                </c:pt>
              </c:numCache>
            </c:numRef>
          </c:val>
          <c:extLst>
            <c:ext xmlns:c16="http://schemas.microsoft.com/office/drawing/2014/chart" uri="{C3380CC4-5D6E-409C-BE32-E72D297353CC}">
              <c16:uniqueId val="{00000000-3037-49A6-9DA7-80A528B1245B}"/>
            </c:ext>
          </c:extLst>
        </c:ser>
        <c:ser>
          <c:idx val="1"/>
          <c:order val="1"/>
          <c:tx>
            <c:strRef>
              <c:f>valutna!$A$6</c:f>
              <c:strCache>
                <c:ptCount val="1"/>
                <c:pt idx="0">
                  <c:v>USD</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2021/III</c:v>
                </c:pt>
              </c:strCache>
            </c:strRef>
          </c:cat>
          <c:val>
            <c:numRef>
              <c:f>valutna!$B$6:$E$6</c:f>
              <c:numCache>
                <c:formatCode>0.0%</c:formatCode>
                <c:ptCount val="4"/>
                <c:pt idx="0">
                  <c:v>0.26123751938392553</c:v>
                </c:pt>
                <c:pt idx="1">
                  <c:v>0.19781774415122602</c:v>
                </c:pt>
                <c:pt idx="2">
                  <c:v>0.13</c:v>
                </c:pt>
                <c:pt idx="3">
                  <c:v>0.121</c:v>
                </c:pt>
              </c:numCache>
            </c:numRef>
          </c:val>
          <c:extLst>
            <c:ext xmlns:c16="http://schemas.microsoft.com/office/drawing/2014/chart" uri="{C3380CC4-5D6E-409C-BE32-E72D297353CC}">
              <c16:uniqueId val="{00000001-3037-49A6-9DA7-80A528B1245B}"/>
            </c:ext>
          </c:extLst>
        </c:ser>
        <c:ser>
          <c:idx val="2"/>
          <c:order val="2"/>
          <c:tx>
            <c:strRef>
              <c:f>valutna!$A$7</c:f>
              <c:strCache>
                <c:ptCount val="1"/>
                <c:pt idx="0">
                  <c:v>RSD</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valutna!$B$4:$E$4</c:f>
              <c:strCache>
                <c:ptCount val="4"/>
                <c:pt idx="0">
                  <c:v>2018</c:v>
                </c:pt>
                <c:pt idx="1">
                  <c:v>2019</c:v>
                </c:pt>
                <c:pt idx="2">
                  <c:v>2020</c:v>
                </c:pt>
                <c:pt idx="3">
                  <c:v>2021/III</c:v>
                </c:pt>
              </c:strCache>
            </c:strRef>
          </c:cat>
          <c:val>
            <c:numRef>
              <c:f>valutna!$B$7:$E$7</c:f>
              <c:numCache>
                <c:formatCode>0.0%</c:formatCode>
                <c:ptCount val="4"/>
                <c:pt idx="0">
                  <c:v>0.25890412889768505</c:v>
                </c:pt>
                <c:pt idx="1">
                  <c:v>0.27573155342039779</c:v>
                </c:pt>
                <c:pt idx="2">
                  <c:v>0.30399999999999999</c:v>
                </c:pt>
                <c:pt idx="3">
                  <c:v>0.30199999999999999</c:v>
                </c:pt>
              </c:numCache>
            </c:numRef>
          </c:val>
          <c:extLst>
            <c:ext xmlns:c16="http://schemas.microsoft.com/office/drawing/2014/chart" uri="{C3380CC4-5D6E-409C-BE32-E72D297353CC}">
              <c16:uniqueId val="{00000002-3037-49A6-9DA7-80A528B1245B}"/>
            </c:ext>
          </c:extLst>
        </c:ser>
        <c:ser>
          <c:idx val="3"/>
          <c:order val="3"/>
          <c:tx>
            <c:strRef>
              <c:f>valutna!$A$8</c:f>
              <c:strCache>
                <c:ptCount val="1"/>
                <c:pt idx="0">
                  <c:v>SDR</c:v>
                </c:pt>
              </c:strCache>
            </c:strRef>
          </c:tx>
          <c:spPr>
            <a:solidFill>
              <a:srgbClr val="51BBE7"/>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2018</c:v>
                </c:pt>
                <c:pt idx="1">
                  <c:v>2019</c:v>
                </c:pt>
                <c:pt idx="2">
                  <c:v>2020</c:v>
                </c:pt>
                <c:pt idx="3">
                  <c:v>2021/III</c:v>
                </c:pt>
              </c:strCache>
            </c:strRef>
          </c:cat>
          <c:val>
            <c:numRef>
              <c:f>valutna!$B$8:$E$8</c:f>
              <c:numCache>
                <c:formatCode>0.0%</c:formatCode>
                <c:ptCount val="4"/>
                <c:pt idx="0">
                  <c:v>3.2232383859172806E-2</c:v>
                </c:pt>
                <c:pt idx="1">
                  <c:v>2.8895120057216048E-2</c:v>
                </c:pt>
                <c:pt idx="2">
                  <c:v>2.3E-2</c:v>
                </c:pt>
                <c:pt idx="3">
                  <c:v>2.1999999999999999E-2</c:v>
                </c:pt>
              </c:numCache>
            </c:numRef>
          </c:val>
          <c:extLst>
            <c:ext xmlns:c16="http://schemas.microsoft.com/office/drawing/2014/chart" uri="{C3380CC4-5D6E-409C-BE32-E72D297353CC}">
              <c16:uniqueId val="{00000003-3037-49A6-9DA7-80A528B1245B}"/>
            </c:ext>
          </c:extLst>
        </c:ser>
        <c:ser>
          <c:idx val="4"/>
          <c:order val="4"/>
          <c:tx>
            <c:strRef>
              <c:f>valutna!$A$9</c:f>
              <c:strCache>
                <c:ptCount val="1"/>
                <c:pt idx="0">
                  <c:v>Остале валуте</c:v>
                </c:pt>
              </c:strCache>
            </c:strRef>
          </c:tx>
          <c:spPr>
            <a:solidFill>
              <a:srgbClr val="C9E4EB"/>
            </a:solidFill>
            <a:ln>
              <a:noFill/>
            </a:ln>
            <a:effectLst/>
          </c:spPr>
          <c:invertIfNegative val="0"/>
          <c:dLbls>
            <c:dLbl>
              <c:idx val="0"/>
              <c:spPr>
                <a:noFill/>
                <a:ln>
                  <a:noFill/>
                </a:ln>
                <a:effectLst/>
              </c:spPr>
              <c:txPr>
                <a:bodyPr rot="0" spcFirstLastPara="1" vertOverflow="ellipsis" horzOverflow="clip" vert="horz" wrap="square" lIns="38100" tIns="19050" rIns="38100" bIns="19050" anchor="ctr" anchorCtr="1">
                  <a:noAutofit/>
                </a:bodyPr>
                <a:lstStyle/>
                <a:p>
                  <a:pPr>
                    <a:defRPr sz="750" b="1" i="0" u="none" strike="noStrike" kern="1200" baseline="0">
                      <a:solidFill>
                        <a:schemeClr val="tx2"/>
                      </a:solidFill>
                      <a:latin typeface="+mn-lt"/>
                      <a:ea typeface="+mn-ea"/>
                      <a:cs typeface="+mn-cs"/>
                    </a:defRPr>
                  </a:pPr>
                  <a:endParaRPr lang="sr-Latn-RS"/>
                </a:p>
              </c:txPr>
              <c:dLblPos val="inBase"/>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3037-49A6-9DA7-80A528B1245B}"/>
                </c:ext>
              </c:extLst>
            </c:dLbl>
            <c:dLbl>
              <c:idx val="1"/>
              <c:layout>
                <c:manualLayout>
                  <c:x val="4.6296296296295869E-3"/>
                  <c:y val="-1.909992958197298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037-49A6-9DA7-80A528B1245B}"/>
                </c:ext>
              </c:extLst>
            </c:dLbl>
            <c:dLbl>
              <c:idx val="2"/>
              <c:layout>
                <c:manualLayout>
                  <c:x val="0"/>
                  <c:y val="-1.66821586326099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037-49A6-9DA7-80A528B1245B}"/>
                </c:ext>
              </c:extLst>
            </c:dLbl>
            <c:dLbl>
              <c:idx val="3"/>
              <c:layout>
                <c:manualLayout>
                  <c:x val="0"/>
                  <c:y val="-2.2736060431470455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037-49A6-9DA7-80A528B1245B}"/>
                </c:ext>
              </c:extLst>
            </c:dLbl>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tx2"/>
                    </a:solidFill>
                    <a:latin typeface="+mn-lt"/>
                    <a:ea typeface="+mn-ea"/>
                    <a:cs typeface="+mn-cs"/>
                  </a:defRPr>
                </a:pPr>
                <a:endParaRPr lang="sr-Latn-R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valutna!$B$4:$E$4</c:f>
              <c:strCache>
                <c:ptCount val="4"/>
                <c:pt idx="0">
                  <c:v>2018</c:v>
                </c:pt>
                <c:pt idx="1">
                  <c:v>2019</c:v>
                </c:pt>
                <c:pt idx="2">
                  <c:v>2020</c:v>
                </c:pt>
                <c:pt idx="3">
                  <c:v>2021/III</c:v>
                </c:pt>
              </c:strCache>
            </c:strRef>
          </c:cat>
          <c:val>
            <c:numRef>
              <c:f>valutna!$B$9:$E$9</c:f>
              <c:numCache>
                <c:formatCode>0.0%</c:formatCode>
                <c:ptCount val="4"/>
                <c:pt idx="0">
                  <c:v>4.121001178679598E-2</c:v>
                </c:pt>
                <c:pt idx="1">
                  <c:v>4.9222571855647254E-2</c:v>
                </c:pt>
                <c:pt idx="2">
                  <c:v>4.2999999999999997E-2</c:v>
                </c:pt>
                <c:pt idx="3">
                  <c:v>4.2999999999999997E-2</c:v>
                </c:pt>
              </c:numCache>
            </c:numRef>
          </c:val>
          <c:extLst>
            <c:ext xmlns:c16="http://schemas.microsoft.com/office/drawing/2014/chart" uri="{C3380CC4-5D6E-409C-BE32-E72D297353CC}">
              <c16:uniqueId val="{00000008-3037-49A6-9DA7-80A528B1245B}"/>
            </c:ext>
          </c:extLst>
        </c:ser>
        <c:dLbls>
          <c:dLblPos val="ctr"/>
          <c:showLegendKey val="0"/>
          <c:showVal val="1"/>
          <c:showCatName val="0"/>
          <c:showSerName val="0"/>
          <c:showPercent val="0"/>
          <c:showBubbleSize val="0"/>
        </c:dLbls>
        <c:gapWidth val="79"/>
        <c:overlap val="100"/>
        <c:axId val="244059360"/>
        <c:axId val="244059904"/>
      </c:barChart>
      <c:catAx>
        <c:axId val="244059360"/>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750" b="0" i="0" u="none" strike="noStrike" kern="1200" cap="all" spc="120" normalizeH="0" baseline="0">
                <a:solidFill>
                  <a:schemeClr val="tx2"/>
                </a:solidFill>
                <a:latin typeface="+mn-lt"/>
                <a:ea typeface="+mn-ea"/>
                <a:cs typeface="+mn-cs"/>
              </a:defRPr>
            </a:pPr>
            <a:endParaRPr lang="sr-Latn-RS"/>
          </a:p>
        </c:txPr>
        <c:crossAx val="244059904"/>
        <c:crosses val="autoZero"/>
        <c:auto val="1"/>
        <c:lblAlgn val="ctr"/>
        <c:lblOffset val="100"/>
        <c:noMultiLvlLbl val="0"/>
      </c:catAx>
      <c:valAx>
        <c:axId val="244059904"/>
        <c:scaling>
          <c:orientation val="minMax"/>
          <c:max val="1"/>
          <c:min val="0"/>
        </c:scaling>
        <c:delete val="1"/>
        <c:axPos val="l"/>
        <c:numFmt formatCode="0%" sourceLinked="0"/>
        <c:majorTickMark val="none"/>
        <c:minorTickMark val="none"/>
        <c:tickLblPos val="nextTo"/>
        <c:crossAx val="244059360"/>
        <c:crosses val="autoZero"/>
        <c:crossBetween val="between"/>
      </c:valAx>
      <c:spPr>
        <a:noFill/>
        <a:ln>
          <a:noFill/>
        </a:ln>
        <a:effectLst/>
      </c:spPr>
    </c:plotArea>
    <c:legend>
      <c:legendPos val="t"/>
      <c:layout>
        <c:manualLayout>
          <c:xMode val="edge"/>
          <c:yMode val="edge"/>
          <c:x val="0.20461082645912174"/>
          <c:y val="0.95145864866243768"/>
          <c:w val="0.69327573636628759"/>
          <c:h val="4.4164415256261261E-2"/>
        </c:manualLayout>
      </c:layout>
      <c:overlay val="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313099041539137E-2"/>
          <c:y val="0.11697286155107009"/>
          <c:w val="0.92201738463599303"/>
          <c:h val="0.69105764014135107"/>
        </c:manualLayout>
      </c:layout>
      <c:barChart>
        <c:barDir val="col"/>
        <c:grouping val="stacked"/>
        <c:varyColors val="0"/>
        <c:ser>
          <c:idx val="0"/>
          <c:order val="0"/>
          <c:tx>
            <c:strRef>
              <c:f>kamatna!$A$5</c:f>
              <c:strCache>
                <c:ptCount val="1"/>
                <c:pt idx="0">
                  <c:v>Фиксне каматне стопе</c:v>
                </c:pt>
              </c:strCache>
            </c:strRef>
          </c:tx>
          <c:spPr>
            <a:solidFill>
              <a:srgbClr val="00206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2018</c:v>
                </c:pt>
                <c:pt idx="1">
                  <c:v>2019</c:v>
                </c:pt>
                <c:pt idx="2">
                  <c:v>2020</c:v>
                </c:pt>
                <c:pt idx="3">
                  <c:v>2021/III</c:v>
                </c:pt>
              </c:strCache>
            </c:strRef>
          </c:cat>
          <c:val>
            <c:numRef>
              <c:f>kamatna!$B$5:$E$5</c:f>
              <c:numCache>
                <c:formatCode>0.0%</c:formatCode>
                <c:ptCount val="4"/>
                <c:pt idx="0">
                  <c:v>0.80328692085923303</c:v>
                </c:pt>
                <c:pt idx="1">
                  <c:v>0.83150687493433895</c:v>
                </c:pt>
                <c:pt idx="2">
                  <c:v>0.85479439479257957</c:v>
                </c:pt>
                <c:pt idx="3">
                  <c:v>0.86371022371679007</c:v>
                </c:pt>
              </c:numCache>
            </c:numRef>
          </c:val>
          <c:extLst>
            <c:ext xmlns:c16="http://schemas.microsoft.com/office/drawing/2014/chart" uri="{C3380CC4-5D6E-409C-BE32-E72D297353CC}">
              <c16:uniqueId val="{00000000-D966-4F78-8402-C0FCD04799F7}"/>
            </c:ext>
          </c:extLst>
        </c:ser>
        <c:ser>
          <c:idx val="1"/>
          <c:order val="1"/>
          <c:tx>
            <c:strRef>
              <c:f>kamatna!$A$6</c:f>
              <c:strCache>
                <c:ptCount val="1"/>
                <c:pt idx="0">
                  <c:v>Варијабилне каматне стопе</c:v>
                </c:pt>
              </c:strCache>
            </c:strRef>
          </c:tx>
          <c:spPr>
            <a:solidFill>
              <a:srgbClr val="2F3E9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50" b="1" i="0" u="none" strike="noStrike" kern="1200" baseline="0">
                    <a:solidFill>
                      <a:schemeClr val="lt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kamatna!$B$4:$E$4</c:f>
              <c:strCache>
                <c:ptCount val="4"/>
                <c:pt idx="0">
                  <c:v>2018</c:v>
                </c:pt>
                <c:pt idx="1">
                  <c:v>2019</c:v>
                </c:pt>
                <c:pt idx="2">
                  <c:v>2020</c:v>
                </c:pt>
                <c:pt idx="3">
                  <c:v>2021/III</c:v>
                </c:pt>
              </c:strCache>
            </c:strRef>
          </c:cat>
          <c:val>
            <c:numRef>
              <c:f>kamatna!$B$6:$E$6</c:f>
              <c:numCache>
                <c:formatCode>0.0%</c:formatCode>
                <c:ptCount val="4"/>
                <c:pt idx="0">
                  <c:v>0.19671307914076705</c:v>
                </c:pt>
                <c:pt idx="1">
                  <c:v>0.16849312506566114</c:v>
                </c:pt>
                <c:pt idx="2">
                  <c:v>0.14520560520742037</c:v>
                </c:pt>
                <c:pt idx="3">
                  <c:v>0.13628977628320996</c:v>
                </c:pt>
              </c:numCache>
            </c:numRef>
          </c:val>
          <c:extLst>
            <c:ext xmlns:c16="http://schemas.microsoft.com/office/drawing/2014/chart" uri="{C3380CC4-5D6E-409C-BE32-E72D297353CC}">
              <c16:uniqueId val="{00000001-D966-4F78-8402-C0FCD04799F7}"/>
            </c:ext>
          </c:extLst>
        </c:ser>
        <c:dLbls>
          <c:dLblPos val="ctr"/>
          <c:showLegendKey val="0"/>
          <c:showVal val="1"/>
          <c:showCatName val="0"/>
          <c:showSerName val="0"/>
          <c:showPercent val="0"/>
          <c:showBubbleSize val="0"/>
        </c:dLbls>
        <c:gapWidth val="79"/>
        <c:overlap val="100"/>
        <c:axId val="244061536"/>
        <c:axId val="244062080"/>
      </c:barChart>
      <c:catAx>
        <c:axId val="24406153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800" b="0" i="0" u="none" strike="noStrike" kern="1200" cap="all" spc="120" normalizeH="0" baseline="0">
                <a:solidFill>
                  <a:schemeClr val="tx2"/>
                </a:solidFill>
                <a:latin typeface="+mn-lt"/>
                <a:ea typeface="+mn-ea"/>
                <a:cs typeface="+mn-cs"/>
              </a:defRPr>
            </a:pPr>
            <a:endParaRPr lang="sr-Latn-RS"/>
          </a:p>
        </c:txPr>
        <c:crossAx val="244062080"/>
        <c:crosses val="autoZero"/>
        <c:auto val="1"/>
        <c:lblAlgn val="ctr"/>
        <c:lblOffset val="100"/>
        <c:noMultiLvlLbl val="0"/>
      </c:catAx>
      <c:valAx>
        <c:axId val="244062080"/>
        <c:scaling>
          <c:orientation val="minMax"/>
          <c:max val="1"/>
          <c:min val="0"/>
        </c:scaling>
        <c:delete val="1"/>
        <c:axPos val="l"/>
        <c:numFmt formatCode="0%" sourceLinked="0"/>
        <c:majorTickMark val="none"/>
        <c:minorTickMark val="none"/>
        <c:tickLblPos val="nextTo"/>
        <c:crossAx val="244061536"/>
        <c:crosses val="autoZero"/>
        <c:crossBetween val="between"/>
      </c:valAx>
      <c:spPr>
        <a:noFill/>
        <a:ln w="25400">
          <a:noFill/>
        </a:ln>
        <a:effectLst/>
      </c:spPr>
    </c:plotArea>
    <c:legend>
      <c:legendPos val="t"/>
      <c:layout>
        <c:manualLayout>
          <c:xMode val="edge"/>
          <c:yMode val="edge"/>
          <c:x val="7.915879265091863E-2"/>
          <c:y val="0.93890499194846999"/>
          <c:w val="0.8083490813648293"/>
          <c:h val="6.0789430306718906E-2"/>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legend>
    <c:plotVisOnly val="1"/>
    <c:dispBlanksAs val="gap"/>
    <c:showDLblsOverMax val="0"/>
  </c:chart>
  <c:spPr>
    <a:solidFill>
      <a:schemeClr val="lt1"/>
    </a:solidFill>
    <a:ln w="9525" cap="flat" cmpd="sng" algn="ctr">
      <a:noFill/>
      <a:round/>
    </a:ln>
    <a:effectLst/>
  </c:spPr>
  <c:txPr>
    <a:bodyPr/>
    <a:lstStyle/>
    <a:p>
      <a:pPr>
        <a:defRPr/>
      </a:pPr>
      <a:endParaRPr lang="sr-Latn-RS"/>
    </a:p>
  </c:txPr>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832963993273296"/>
          <c:y val="6.1565790344303539E-2"/>
          <c:w val="0.83263677369670108"/>
          <c:h val="0.68212018234562788"/>
        </c:manualLayout>
      </c:layout>
      <c:lineChart>
        <c:grouping val="standard"/>
        <c:varyColors val="0"/>
        <c:ser>
          <c:idx val="0"/>
          <c:order val="0"/>
          <c:tx>
            <c:strRef>
              <c:f>'[Chart in Microsoft Word]prosecne stope RSD'!$G$3</c:f>
              <c:strCache>
                <c:ptCount val="1"/>
                <c:pt idx="0">
                  <c:v>2014</c:v>
                </c:pt>
              </c:strCache>
            </c:strRef>
          </c:tx>
          <c:marker>
            <c:symbol val="square"/>
            <c:size val="3"/>
          </c:marker>
          <c:dLbls>
            <c:dLbl>
              <c:idx val="0"/>
              <c:layout>
                <c:manualLayout>
                  <c:x val="-2.4806201550387597E-2"/>
                  <c:y val="-2.7107154367773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235-41F8-9F14-355786637BA8}"/>
                </c:ext>
              </c:extLst>
            </c:dLbl>
            <c:dLbl>
              <c:idx val="1"/>
              <c:layout>
                <c:manualLayout>
                  <c:x val="-3.9276485788113734E-2"/>
                  <c:y val="-2.37187600718020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235-41F8-9F14-355786637BA8}"/>
                </c:ext>
              </c:extLst>
            </c:dLbl>
            <c:dLbl>
              <c:idx val="2"/>
              <c:layout>
                <c:manualLayout>
                  <c:x val="-6.6149870801033628E-2"/>
                  <c:y val="-1.0165182887915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235-41F8-9F14-355786637BA8}"/>
                </c:ext>
              </c:extLst>
            </c:dLbl>
            <c:dLbl>
              <c:idx val="3"/>
              <c:layout>
                <c:manualLayout>
                  <c:x val="-4.3410852713178294E-2"/>
                  <c:y val="-2.0330365775830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235-41F8-9F14-355786637BA8}"/>
                </c:ext>
              </c:extLst>
            </c:dLbl>
            <c:dLbl>
              <c:idx val="4"/>
              <c:layout>
                <c:manualLayout>
                  <c:x val="-8.7649184563385593E-2"/>
                  <c:y val="-5.82107623676142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235-41F8-9F14-355786637BA8}"/>
                </c:ext>
              </c:extLst>
            </c:dLbl>
            <c:dLbl>
              <c:idx val="5"/>
              <c:layout>
                <c:manualLayout>
                  <c:x val="-3.7209302325581395E-2"/>
                  <c:y val="-3.049554866374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235-41F8-9F14-355786637BA8}"/>
                </c:ext>
              </c:extLst>
            </c:dLbl>
            <c:dLbl>
              <c:idx val="6"/>
              <c:delete val="1"/>
              <c:extLst>
                <c:ext xmlns:c15="http://schemas.microsoft.com/office/drawing/2012/chart" uri="{CE6537A1-D6FC-4f65-9D91-7224C49458BB}"/>
                <c:ext xmlns:c16="http://schemas.microsoft.com/office/drawing/2014/chart" uri="{C3380CC4-5D6E-409C-BE32-E72D297353CC}">
                  <c16:uniqueId val="{00000006-9235-41F8-9F14-355786637BA8}"/>
                </c:ext>
              </c:extLst>
            </c:dLbl>
            <c:dLbl>
              <c:idx val="7"/>
              <c:layout>
                <c:manualLayout>
                  <c:x val="-5.1679586563307643E-2"/>
                  <c:y val="-2.3718760071801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RSD'!$G$4:$G$12</c:f>
              <c:numCache>
                <c:formatCode>0.00%</c:formatCode>
                <c:ptCount val="9"/>
                <c:pt idx="0">
                  <c:v>7.3468533707053724E-2</c:v>
                </c:pt>
                <c:pt idx="1">
                  <c:v>7.5380391763085336E-2</c:v>
                </c:pt>
                <c:pt idx="2">
                  <c:v>8.4879368443006004E-2</c:v>
                </c:pt>
                <c:pt idx="3">
                  <c:v>9.2075564136107582E-2</c:v>
                </c:pt>
                <c:pt idx="4">
                  <c:v>0.10155991831303504</c:v>
                </c:pt>
                <c:pt idx="5">
                  <c:v>0.10931231263607823</c:v>
                </c:pt>
                <c:pt idx="6">
                  <c:v>0.11987205744538962</c:v>
                </c:pt>
                <c:pt idx="7">
                  <c:v>0.12989999999999999</c:v>
                </c:pt>
              </c:numCache>
            </c:numRef>
          </c:val>
          <c:smooth val="0"/>
          <c:extLst>
            <c:ext xmlns:c16="http://schemas.microsoft.com/office/drawing/2014/chart" uri="{C3380CC4-5D6E-409C-BE32-E72D297353CC}">
              <c16:uniqueId val="{00000008-9235-41F8-9F14-355786637BA8}"/>
            </c:ext>
          </c:extLst>
        </c:ser>
        <c:ser>
          <c:idx val="1"/>
          <c:order val="1"/>
          <c:tx>
            <c:strRef>
              <c:f>'[Chart in Microsoft Word]prosecne stope RSD'!$H$3</c:f>
              <c:strCache>
                <c:ptCount val="1"/>
                <c:pt idx="0">
                  <c:v>2015</c:v>
                </c:pt>
              </c:strCache>
            </c:strRef>
          </c:tx>
          <c:marker>
            <c:symbol val="square"/>
            <c:size val="3"/>
          </c:marker>
          <c:dLbls>
            <c:dLbl>
              <c:idx val="0"/>
              <c:layout>
                <c:manualLayout>
                  <c:x val="-4.3410852713178294E-2"/>
                  <c:y val="-1.0165182887915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235-41F8-9F14-355786637BA8}"/>
                </c:ext>
              </c:extLst>
            </c:dLbl>
            <c:dLbl>
              <c:idx val="1"/>
              <c:layout>
                <c:manualLayout>
                  <c:x val="2.0671834625322618E-3"/>
                  <c:y val="-3.3883942959716442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235-41F8-9F14-355786637BA8}"/>
                </c:ext>
              </c:extLst>
            </c:dLbl>
            <c:dLbl>
              <c:idx val="2"/>
              <c:layout>
                <c:manualLayout>
                  <c:x val="-1.6537467700258397E-2"/>
                  <c:y val="1.35535771838867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235-41F8-9F14-355786637BA8}"/>
                </c:ext>
              </c:extLst>
            </c:dLbl>
            <c:dLbl>
              <c:idx val="3"/>
              <c:layout>
                <c:manualLayout>
                  <c:x val="-5.1679586563307491E-2"/>
                  <c:y val="-4.066073155166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235-41F8-9F14-355786637BA8}"/>
                </c:ext>
              </c:extLst>
            </c:dLbl>
            <c:dLbl>
              <c:idx val="4"/>
              <c:layout>
                <c:manualLayout>
                  <c:x val="-2.8940568475452271E-2"/>
                  <c:y val="-3.049554866374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235-41F8-9F14-355786637BA8}"/>
                </c:ext>
              </c:extLst>
            </c:dLbl>
            <c:dLbl>
              <c:idx val="5"/>
              <c:layout>
                <c:manualLayout>
                  <c:x val="6.2015503875967474E-3"/>
                  <c:y val="-4.066073155166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235-41F8-9F14-355786637BA8}"/>
                </c:ext>
              </c:extLst>
            </c:dLbl>
            <c:dLbl>
              <c:idx val="6"/>
              <c:layout>
                <c:manualLayout>
                  <c:x val="-4.9612403100775193E-2"/>
                  <c:y val="-2.37187600718019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235-41F8-9F14-355786637BA8}"/>
                </c:ext>
              </c:extLst>
            </c:dLbl>
            <c:spPr>
              <a:noFill/>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RSD'!$H$4:$H$12</c:f>
              <c:numCache>
                <c:formatCode>0.00%</c:formatCode>
                <c:ptCount val="9"/>
                <c:pt idx="0">
                  <c:v>4.9599999999999998E-2</c:v>
                </c:pt>
                <c:pt idx="1">
                  <c:v>4.4200000000000003E-2</c:v>
                </c:pt>
                <c:pt idx="2">
                  <c:v>5.9400000000000001E-2</c:v>
                </c:pt>
                <c:pt idx="3">
                  <c:v>7.0599999999999996E-2</c:v>
                </c:pt>
                <c:pt idx="4">
                  <c:v>8.6199999999999999E-2</c:v>
                </c:pt>
                <c:pt idx="5">
                  <c:v>6.5000000000000002E-2</c:v>
                </c:pt>
                <c:pt idx="6">
                  <c:v>0.11990000000000001</c:v>
                </c:pt>
              </c:numCache>
            </c:numRef>
          </c:val>
          <c:smooth val="0"/>
          <c:extLst>
            <c:ext xmlns:c16="http://schemas.microsoft.com/office/drawing/2014/chart" uri="{C3380CC4-5D6E-409C-BE32-E72D297353CC}">
              <c16:uniqueId val="{00000010-9235-41F8-9F14-355786637BA8}"/>
            </c:ext>
          </c:extLst>
        </c:ser>
        <c:ser>
          <c:idx val="2"/>
          <c:order val="2"/>
          <c:tx>
            <c:strRef>
              <c:f>'[Chart in Microsoft Word]prosecne stope RSD'!$I$3</c:f>
              <c:strCache>
                <c:ptCount val="1"/>
                <c:pt idx="0">
                  <c:v>2016</c:v>
                </c:pt>
              </c:strCache>
            </c:strRef>
          </c:tx>
          <c:marker>
            <c:symbol val="square"/>
            <c:size val="3"/>
          </c:marker>
          <c:dLbls>
            <c:dLbl>
              <c:idx val="0"/>
              <c:layout>
                <c:manualLayout>
                  <c:x val="-3.7209302325581395E-2"/>
                  <c:y val="3.04955486637453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9235-41F8-9F14-355786637BA8}"/>
                </c:ext>
              </c:extLst>
            </c:dLbl>
            <c:dLbl>
              <c:idx val="1"/>
              <c:layout>
                <c:manualLayout>
                  <c:x val="-4.3410852713178336E-2"/>
                  <c:y val="-3.7272337255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9235-41F8-9F14-355786637BA8}"/>
                </c:ext>
              </c:extLst>
            </c:dLbl>
            <c:dLbl>
              <c:idx val="2"/>
              <c:layout>
                <c:manualLayout>
                  <c:x val="-3.5142118863049097E-2"/>
                  <c:y val="-2.0330365775830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9235-41F8-9F14-355786637BA8}"/>
                </c:ext>
              </c:extLst>
            </c:dLbl>
            <c:dLbl>
              <c:idx val="3"/>
              <c:layout>
                <c:manualLayout>
                  <c:x val="-4.7545219638242896E-2"/>
                  <c:y val="-3.38839429597170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9235-41F8-9F14-355786637BA8}"/>
                </c:ext>
              </c:extLst>
            </c:dLbl>
            <c:dLbl>
              <c:idx val="4"/>
              <c:layout>
                <c:manualLayout>
                  <c:x val="-4.9612403100775269E-2"/>
                  <c:y val="-3.38839429597170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9235-41F8-9F14-355786637BA8}"/>
                </c:ext>
              </c:extLst>
            </c:dLbl>
            <c:dLbl>
              <c:idx val="5"/>
              <c:layout>
                <c:manualLayout>
                  <c:x val="-5.5813953488372092E-2"/>
                  <c:y val="-2.71071543677735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9235-41F8-9F14-355786637BA8}"/>
                </c:ext>
              </c:extLst>
            </c:dLbl>
            <c:dLbl>
              <c:idx val="6"/>
              <c:layout>
                <c:manualLayout>
                  <c:x val="-3.3074935400516793E-2"/>
                  <c:y val="-2.37187600718019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RSD'!$I$4:$I$12</c:f>
              <c:numCache>
                <c:formatCode>0.00%</c:formatCode>
                <c:ptCount val="9"/>
                <c:pt idx="0">
                  <c:v>2.7828542094455851E-2</c:v>
                </c:pt>
                <c:pt idx="1">
                  <c:v>3.134348238444587E-2</c:v>
                </c:pt>
                <c:pt idx="2">
                  <c:v>3.9337242154189392E-2</c:v>
                </c:pt>
                <c:pt idx="3">
                  <c:v>4.7811460067649983E-2</c:v>
                </c:pt>
                <c:pt idx="4">
                  <c:v>5.3818376487193224E-2</c:v>
                </c:pt>
                <c:pt idx="5">
                  <c:v>5.6809188243596612E-2</c:v>
                </c:pt>
                <c:pt idx="6">
                  <c:v>5.8299999999999998E-2</c:v>
                </c:pt>
              </c:numCache>
            </c:numRef>
          </c:val>
          <c:smooth val="0"/>
          <c:extLst>
            <c:ext xmlns:c16="http://schemas.microsoft.com/office/drawing/2014/chart" uri="{C3380CC4-5D6E-409C-BE32-E72D297353CC}">
              <c16:uniqueId val="{00000018-9235-41F8-9F14-355786637BA8}"/>
            </c:ext>
          </c:extLst>
        </c:ser>
        <c:ser>
          <c:idx val="3"/>
          <c:order val="3"/>
          <c:tx>
            <c:strRef>
              <c:f>'[Chart in Microsoft Word]prosecne stope RSD'!$J$3</c:f>
              <c:strCache>
                <c:ptCount val="1"/>
                <c:pt idx="0">
                  <c:v>2017</c:v>
                </c:pt>
              </c:strCache>
            </c:strRef>
          </c:tx>
          <c:marker>
            <c:symbol val="square"/>
            <c:size val="3"/>
          </c:marker>
          <c:dLbls>
            <c:dLbl>
              <c:idx val="0"/>
              <c:layout>
                <c:manualLayout>
                  <c:x val="-1.6537467700258397E-2"/>
                  <c:y val="2.3718760071801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9235-41F8-9F14-355786637BA8}"/>
                </c:ext>
              </c:extLst>
            </c:dLbl>
            <c:dLbl>
              <c:idx val="2"/>
              <c:layout>
                <c:manualLayout>
                  <c:x val="-8.2687338501291983E-3"/>
                  <c:y val="1.01651828879151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9235-41F8-9F14-355786637BA8}"/>
                </c:ext>
              </c:extLst>
            </c:dLbl>
            <c:dLbl>
              <c:idx val="3"/>
              <c:layout>
                <c:manualLayout>
                  <c:x val="-1.8604651162790697E-2"/>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9235-41F8-9F14-355786637BA8}"/>
                </c:ext>
              </c:extLst>
            </c:dLbl>
            <c:dLbl>
              <c:idx val="4"/>
              <c:layout>
                <c:manualLayout>
                  <c:x val="2.6736020027185999E-2"/>
                  <c:y val="-5.240177192710606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9235-41F8-9F14-355786637BA8}"/>
                </c:ext>
              </c:extLst>
            </c:dLbl>
            <c:dLbl>
              <c:idx val="5"/>
              <c:delete val="1"/>
              <c:extLst>
                <c:ext xmlns:c15="http://schemas.microsoft.com/office/drawing/2012/chart" uri="{CE6537A1-D6FC-4f65-9D91-7224C49458BB}"/>
                <c:ext xmlns:c16="http://schemas.microsoft.com/office/drawing/2014/chart" uri="{C3380CC4-5D6E-409C-BE32-E72D297353CC}">
                  <c16:uniqueId val="{0000001D-9235-41F8-9F14-355786637BA8}"/>
                </c:ext>
              </c:extLst>
            </c:dLbl>
            <c:dLbl>
              <c:idx val="6"/>
              <c:layout>
                <c:manualLayout>
                  <c:x val="0"/>
                  <c:y val="-1.35535771838868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RSD'!$J$4:$J$12</c:f>
              <c:numCache>
                <c:formatCode>0.00%</c:formatCode>
                <c:ptCount val="9"/>
                <c:pt idx="1">
                  <c:v>2.64E-2</c:v>
                </c:pt>
                <c:pt idx="2">
                  <c:v>3.4799999999999998E-2</c:v>
                </c:pt>
                <c:pt idx="3">
                  <c:v>4.5571173144751329E-2</c:v>
                </c:pt>
                <c:pt idx="4">
                  <c:v>4.8338312800935847E-2</c:v>
                </c:pt>
                <c:pt idx="5">
                  <c:v>5.116768326523416E-2</c:v>
                </c:pt>
                <c:pt idx="6">
                  <c:v>5.3997053729532465E-2</c:v>
                </c:pt>
              </c:numCache>
            </c:numRef>
          </c:val>
          <c:smooth val="0"/>
          <c:extLst>
            <c:ext xmlns:c16="http://schemas.microsoft.com/office/drawing/2014/chart" uri="{C3380CC4-5D6E-409C-BE32-E72D297353CC}">
              <c16:uniqueId val="{0000001F-9235-41F8-9F14-355786637BA8}"/>
            </c:ext>
          </c:extLst>
        </c:ser>
        <c:ser>
          <c:idx val="4"/>
          <c:order val="4"/>
          <c:tx>
            <c:strRef>
              <c:f>'[Chart in Microsoft Word]prosecne stope RSD'!$K$3</c:f>
              <c:strCache>
                <c:ptCount val="1"/>
                <c:pt idx="0">
                  <c:v>2018</c:v>
                </c:pt>
              </c:strCache>
            </c:strRef>
          </c:tx>
          <c:marker>
            <c:symbol val="square"/>
            <c:size val="3"/>
          </c:marker>
          <c:dLbls>
            <c:dLbl>
              <c:idx val="0"/>
              <c:layout>
                <c:manualLayout>
                  <c:x val="-3.7209302325581395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9235-41F8-9F14-355786637BA8}"/>
                </c:ext>
              </c:extLst>
            </c:dLbl>
            <c:dLbl>
              <c:idx val="4"/>
              <c:layout>
                <c:manualLayout>
                  <c:x val="-1.8604651162790774E-2"/>
                  <c:y val="-2.03303657758302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9235-41F8-9F14-355786637BA8}"/>
                </c:ext>
              </c:extLst>
            </c:dLbl>
            <c:dLbl>
              <c:idx val="5"/>
              <c:layout>
                <c:manualLayout>
                  <c:x val="-2.2739018087855296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9235-41F8-9F14-355786637BA8}"/>
                </c:ext>
              </c:extLst>
            </c:dLbl>
            <c:dLbl>
              <c:idx val="6"/>
              <c:delete val="1"/>
              <c:extLst>
                <c:ext xmlns:c15="http://schemas.microsoft.com/office/drawing/2012/chart" uri="{CE6537A1-D6FC-4f65-9D91-7224C49458BB}"/>
                <c:ext xmlns:c16="http://schemas.microsoft.com/office/drawing/2014/chart" uri="{C3380CC4-5D6E-409C-BE32-E72D297353CC}">
                  <c16:uniqueId val="{00000023-9235-41F8-9F14-355786637BA8}"/>
                </c:ext>
              </c:extLst>
            </c:dLbl>
            <c:dLbl>
              <c:idx val="7"/>
              <c:layout>
                <c:manualLayout>
                  <c:x val="-1.5159170271874968E-16"/>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RSD'!$K$4:$K$12</c:f>
              <c:numCache>
                <c:formatCode>General</c:formatCode>
                <c:ptCount val="9"/>
                <c:pt idx="4" formatCode="0.00%">
                  <c:v>3.8278184992579532E-2</c:v>
                </c:pt>
                <c:pt idx="5" formatCode="0.00%">
                  <c:v>4.1742905834370771E-2</c:v>
                </c:pt>
                <c:pt idx="6" formatCode="0.00%">
                  <c:v>0.05</c:v>
                </c:pt>
                <c:pt idx="7" formatCode="0.00%">
                  <c:v>5.1847071771341881E-2</c:v>
                </c:pt>
              </c:numCache>
            </c:numRef>
          </c:val>
          <c:smooth val="0"/>
          <c:extLst>
            <c:ext xmlns:c16="http://schemas.microsoft.com/office/drawing/2014/chart" uri="{C3380CC4-5D6E-409C-BE32-E72D297353CC}">
              <c16:uniqueId val="{00000025-9235-41F8-9F14-355786637BA8}"/>
            </c:ext>
          </c:extLst>
        </c:ser>
        <c:ser>
          <c:idx val="5"/>
          <c:order val="5"/>
          <c:tx>
            <c:strRef>
              <c:f>'[Chart in Microsoft Word]prosecne stope RSD'!$L$3</c:f>
              <c:strCache>
                <c:ptCount val="1"/>
                <c:pt idx="0">
                  <c:v>2019</c:v>
                </c:pt>
              </c:strCache>
            </c:strRef>
          </c:tx>
          <c:marker>
            <c:symbol val="square"/>
            <c:size val="3"/>
          </c:marker>
          <c:dLbls>
            <c:dLbl>
              <c:idx val="0"/>
              <c:layout>
                <c:manualLayout>
                  <c:x val="-2.0671834625323016E-2"/>
                  <c:y val="2.71071543677735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6-9235-41F8-9F14-355786637BA8}"/>
                </c:ext>
              </c:extLst>
            </c:dLbl>
            <c:dLbl>
              <c:idx val="1"/>
              <c:layout>
                <c:manualLayout>
                  <c:x val="-5.374677002583983E-2"/>
                  <c:y val="-2.7107154367773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7-9235-41F8-9F14-355786637BA8}"/>
                </c:ext>
              </c:extLst>
            </c:dLbl>
            <c:dLbl>
              <c:idx val="2"/>
              <c:layout>
                <c:manualLayout>
                  <c:x val="-2.8940568475452271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8-9235-41F8-9F14-355786637BA8}"/>
                </c:ext>
              </c:extLst>
            </c:dLbl>
            <c:dLbl>
              <c:idx val="3"/>
              <c:layout>
                <c:manualLayout>
                  <c:x val="-2.8940568475452195E-2"/>
                  <c:y val="-4.06607315516604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9-9235-41F8-9F14-355786637BA8}"/>
                </c:ext>
              </c:extLst>
            </c:dLbl>
            <c:dLbl>
              <c:idx val="4"/>
              <c:layout>
                <c:manualLayout>
                  <c:x val="-2.4806201550387597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A-9235-41F8-9F14-355786637BA8}"/>
                </c:ext>
              </c:extLst>
            </c:dLbl>
            <c:dLbl>
              <c:idx val="5"/>
              <c:layout>
                <c:manualLayout>
                  <c:x val="-3.1007751937984572E-2"/>
                  <c:y val="3.38839429597170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B-9235-41F8-9F14-355786637BA8}"/>
                </c:ext>
              </c:extLst>
            </c:dLbl>
            <c:dLbl>
              <c:idx val="6"/>
              <c:layout>
                <c:manualLayout>
                  <c:x val="-3.3074935400516793E-2"/>
                  <c:y val="3.7272337255688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C-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RSD'!$L$4:$L$12</c:f>
              <c:numCache>
                <c:formatCode>General</c:formatCode>
                <c:ptCount val="9"/>
                <c:pt idx="4" formatCode="0.00%">
                  <c:v>3.73E-2</c:v>
                </c:pt>
                <c:pt idx="5" formatCode="0.00%">
                  <c:v>0.04</c:v>
                </c:pt>
                <c:pt idx="6" formatCode="0.00%">
                  <c:v>4.5658703012126066E-2</c:v>
                </c:pt>
              </c:numCache>
            </c:numRef>
          </c:val>
          <c:smooth val="0"/>
          <c:extLst>
            <c:ext xmlns:c16="http://schemas.microsoft.com/office/drawing/2014/chart" uri="{C3380CC4-5D6E-409C-BE32-E72D297353CC}">
              <c16:uniqueId val="{0000002D-9235-41F8-9F14-355786637BA8}"/>
            </c:ext>
          </c:extLst>
        </c:ser>
        <c:ser>
          <c:idx val="6"/>
          <c:order val="6"/>
          <c:tx>
            <c:strRef>
              <c:f>'[Chart in Microsoft Word]prosecne stope RSD'!$M$3</c:f>
              <c:strCache>
                <c:ptCount val="1"/>
                <c:pt idx="0">
                  <c:v>2020</c:v>
                </c:pt>
              </c:strCache>
            </c:strRef>
          </c:tx>
          <c:dLbls>
            <c:dLbl>
              <c:idx val="2"/>
              <c:layout>
                <c:manualLayout>
                  <c:x val="0"/>
                  <c:y val="2.29885057471264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E-9235-41F8-9F14-355786637BA8}"/>
                </c:ext>
              </c:extLst>
            </c:dLbl>
            <c:dLbl>
              <c:idx val="5"/>
              <c:delete val="1"/>
              <c:extLst>
                <c:ext xmlns:c15="http://schemas.microsoft.com/office/drawing/2012/chart" uri="{CE6537A1-D6FC-4f65-9D91-7224C49458BB}"/>
                <c:ext xmlns:c16="http://schemas.microsoft.com/office/drawing/2014/chart" uri="{C3380CC4-5D6E-409C-BE32-E72D297353CC}">
                  <c16:uniqueId val="{0000002F-9235-41F8-9F14-355786637BA8}"/>
                </c:ext>
              </c:extLst>
            </c:dLbl>
            <c:dLbl>
              <c:idx val="8"/>
              <c:layout>
                <c:manualLayout>
                  <c:x val="-2.072538860103627E-2"/>
                  <c:y val="-2.4968789013732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30-9235-41F8-9F14-355786637BA8}"/>
                </c:ext>
              </c:extLst>
            </c:dLbl>
            <c:spPr>
              <a:noFill/>
              <a:ln>
                <a:noFill/>
              </a:ln>
              <a:effectLst/>
            </c:spPr>
            <c:txPr>
              <a:bodyPr wrap="square" lIns="38100" tIns="19050" rIns="38100" bIns="19050" anchor="ctr">
                <a:spAutoFit/>
              </a:bodyPr>
              <a:lstStyle/>
              <a:p>
                <a:pPr>
                  <a:defRPr>
                    <a:solidFill>
                      <a:srgbClr val="44546A"/>
                    </a:solidFill>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RSD'!$M$4:$M$12</c:f>
              <c:numCache>
                <c:formatCode>General</c:formatCode>
                <c:ptCount val="9"/>
                <c:pt idx="2" formatCode="0.00%">
                  <c:v>1.7999999999999999E-2</c:v>
                </c:pt>
                <c:pt idx="3" formatCode="0.00%">
                  <c:v>2.0199999999999999E-2</c:v>
                </c:pt>
                <c:pt idx="4" formatCode="0.00%">
                  <c:v>2.1499999999999998E-2</c:v>
                </c:pt>
                <c:pt idx="5" formatCode="0.00%">
                  <c:v>2.6100000000000002E-2</c:v>
                </c:pt>
                <c:pt idx="8" formatCode="0.00%">
                  <c:v>3.8300000000000001E-2</c:v>
                </c:pt>
              </c:numCache>
            </c:numRef>
          </c:val>
          <c:smooth val="0"/>
          <c:extLst>
            <c:ext xmlns:c16="http://schemas.microsoft.com/office/drawing/2014/chart" uri="{C3380CC4-5D6E-409C-BE32-E72D297353CC}">
              <c16:uniqueId val="{00000031-9235-41F8-9F14-355786637BA8}"/>
            </c:ext>
          </c:extLst>
        </c:ser>
        <c:ser>
          <c:idx val="7"/>
          <c:order val="7"/>
          <c:tx>
            <c:strRef>
              <c:f>'[Chart in Microsoft Word]prosecne stope RSD'!$N$3</c:f>
              <c:strCache>
                <c:ptCount val="1"/>
                <c:pt idx="0">
                  <c:v>III/2021</c:v>
                </c:pt>
              </c:strCache>
            </c:strRef>
          </c:tx>
          <c:cat>
            <c:strRef>
              <c:f>'[Chart in Microsoft Word]prosecne stope RSD'!$C$4:$C$12</c:f>
              <c:strCache>
                <c:ptCount val="9"/>
                <c:pt idx="0">
                  <c:v>3M</c:v>
                </c:pt>
                <c:pt idx="1">
                  <c:v>6M</c:v>
                </c:pt>
                <c:pt idx="2">
                  <c:v>53Н</c:v>
                </c:pt>
                <c:pt idx="3">
                  <c:v>2Г</c:v>
                </c:pt>
                <c:pt idx="4">
                  <c:v>3Г</c:v>
                </c:pt>
                <c:pt idx="5">
                  <c:v>5Г</c:v>
                </c:pt>
                <c:pt idx="6">
                  <c:v>7Г</c:v>
                </c:pt>
                <c:pt idx="7">
                  <c:v>10Г</c:v>
                </c:pt>
                <c:pt idx="8">
                  <c:v>12Г</c:v>
                </c:pt>
              </c:strCache>
            </c:strRef>
          </c:cat>
          <c:val>
            <c:numRef>
              <c:f>'[Chart in Microsoft Word]prosecne stope RSD'!$N$4:$N$12</c:f>
              <c:numCache>
                <c:formatCode>General</c:formatCode>
                <c:ptCount val="9"/>
                <c:pt idx="3" formatCode="0.00%">
                  <c:v>1.6E-2</c:v>
                </c:pt>
                <c:pt idx="4" formatCode="0.00%">
                  <c:v>1.9E-2</c:v>
                </c:pt>
                <c:pt idx="5" formatCode="0.00%">
                  <c:v>2.23E-2</c:v>
                </c:pt>
                <c:pt idx="6" formatCode="0.00%">
                  <c:v>2.4500000000000001E-2</c:v>
                </c:pt>
                <c:pt idx="7" formatCode="0.00%">
                  <c:v>2.5000000000000001E-2</c:v>
                </c:pt>
                <c:pt idx="8" formatCode="0.00%">
                  <c:v>3.44E-2</c:v>
                </c:pt>
              </c:numCache>
            </c:numRef>
          </c:val>
          <c:smooth val="0"/>
          <c:extLst>
            <c:ext xmlns:c16="http://schemas.microsoft.com/office/drawing/2014/chart" uri="{C3380CC4-5D6E-409C-BE32-E72D297353CC}">
              <c16:uniqueId val="{00000032-9235-41F8-9F14-355786637BA8}"/>
            </c:ext>
          </c:extLst>
        </c:ser>
        <c:dLbls>
          <c:showLegendKey val="0"/>
          <c:showVal val="0"/>
          <c:showCatName val="0"/>
          <c:showSerName val="0"/>
          <c:showPercent val="0"/>
          <c:showBubbleSize val="0"/>
        </c:dLbls>
        <c:marker val="1"/>
        <c:smooth val="0"/>
        <c:axId val="194983760"/>
        <c:axId val="194984152"/>
      </c:lineChart>
      <c:catAx>
        <c:axId val="194983760"/>
        <c:scaling>
          <c:orientation val="minMax"/>
        </c:scaling>
        <c:delete val="0"/>
        <c:axPos val="b"/>
        <c:numFmt formatCode="General"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94984152"/>
        <c:crosses val="autoZero"/>
        <c:auto val="1"/>
        <c:lblAlgn val="ctr"/>
        <c:lblOffset val="100"/>
        <c:noMultiLvlLbl val="0"/>
      </c:catAx>
      <c:valAx>
        <c:axId val="194984152"/>
        <c:scaling>
          <c:orientation val="minMax"/>
        </c:scaling>
        <c:delete val="0"/>
        <c:axPos val="l"/>
        <c:majorGridlines>
          <c:spPr>
            <a:ln>
              <a:noFill/>
            </a:ln>
          </c:spPr>
        </c:majorGridlines>
        <c:numFmt formatCode="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94983760"/>
        <c:crosses val="autoZero"/>
        <c:crossBetween val="between"/>
      </c:valAx>
      <c:spPr>
        <a:noFill/>
        <a:ln>
          <a:noFill/>
        </a:ln>
      </c:spPr>
    </c:plotArea>
    <c:legend>
      <c:legendPos val="r"/>
      <c:layout>
        <c:manualLayout>
          <c:xMode val="edge"/>
          <c:yMode val="edge"/>
          <c:x val="0.18701808785529717"/>
          <c:y val="0.84272677679995889"/>
          <c:w val="0.73556940593693398"/>
          <c:h val="0.15727322320004117"/>
        </c:manualLayout>
      </c:layout>
      <c:overlay val="0"/>
      <c:txPr>
        <a:bodyPr/>
        <a:lstStyle/>
        <a:p>
          <a:pPr>
            <a:defRPr>
              <a:solidFill>
                <a:srgbClr val="44546A"/>
              </a:solidFill>
            </a:defRPr>
          </a:pPr>
          <a:endParaRPr lang="sr-Latn-RS"/>
        </a:p>
      </c:txPr>
    </c:legend>
    <c:plotVisOnly val="1"/>
    <c:dispBlanksAs val="gap"/>
    <c:showDLblsOverMax val="0"/>
  </c:chart>
  <c:spPr>
    <a:noFill/>
    <a:ln>
      <a:noFill/>
    </a:ln>
  </c:spPr>
  <c:txPr>
    <a:bodyPr/>
    <a:lstStyle/>
    <a:p>
      <a:pPr>
        <a:defRPr sz="600"/>
      </a:pPr>
      <a:endParaRPr lang="sr-Latn-RS"/>
    </a:p>
  </c:txPr>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4178217694941614E-2"/>
          <c:y val="3.2352955880514934E-2"/>
          <c:w val="0.83438387509253653"/>
          <c:h val="0.69757695672656306"/>
        </c:manualLayout>
      </c:layout>
      <c:lineChart>
        <c:grouping val="standard"/>
        <c:varyColors val="0"/>
        <c:ser>
          <c:idx val="5"/>
          <c:order val="3"/>
          <c:tx>
            <c:strRef>
              <c:f>'[Chart in Microsoft Word]prosecne stope EUR'!$G$3</c:f>
              <c:strCache>
                <c:ptCount val="1"/>
                <c:pt idx="0">
                  <c:v>2014</c:v>
                </c:pt>
              </c:strCache>
            </c:strRef>
          </c:tx>
          <c:dLbls>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EUR'!$G$4:$G$11</c:f>
              <c:numCache>
                <c:formatCode>0.00%</c:formatCode>
                <c:ptCount val="8"/>
                <c:pt idx="0">
                  <c:v>3.0418185954225487E-2</c:v>
                </c:pt>
                <c:pt idx="1">
                  <c:v>3.9104744879831482E-2</c:v>
                </c:pt>
                <c:pt idx="2">
                  <c:v>4.7138205908340364E-2</c:v>
                </c:pt>
                <c:pt idx="3">
                  <c:v>4.9891847307430133E-2</c:v>
                </c:pt>
                <c:pt idx="4">
                  <c:v>5.5E-2</c:v>
                </c:pt>
              </c:numCache>
            </c:numRef>
          </c:val>
          <c:smooth val="0"/>
          <c:extLst>
            <c:ext xmlns:c16="http://schemas.microsoft.com/office/drawing/2014/chart" uri="{C3380CC4-5D6E-409C-BE32-E72D297353CC}">
              <c16:uniqueId val="{00000000-2695-40C4-AE65-C834E5D05F31}"/>
            </c:ext>
          </c:extLst>
        </c:ser>
        <c:ser>
          <c:idx val="0"/>
          <c:order val="4"/>
          <c:tx>
            <c:strRef>
              <c:f>'[Chart in Microsoft Word]prosecne stope EUR'!$H$3</c:f>
              <c:strCache>
                <c:ptCount val="1"/>
                <c:pt idx="0">
                  <c:v>2015</c:v>
                </c:pt>
              </c:strCache>
            </c:strRef>
          </c:tx>
          <c:dLbls>
            <c:dLbl>
              <c:idx val="2"/>
              <c:layout>
                <c:manualLayout>
                  <c:x val="-6.2440219834399152E-2"/>
                  <c:y val="-5.60146068697934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695-40C4-AE65-C834E5D05F31}"/>
                </c:ext>
              </c:extLst>
            </c:dLbl>
            <c:dLbl>
              <c:idx val="3"/>
              <c:layout>
                <c:manualLayout>
                  <c:x val="-6.2440219834399152E-2"/>
                  <c:y val="-5.0217505420518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EUR'!$H$4:$H$11</c:f>
              <c:numCache>
                <c:formatCode>0.00%</c:formatCode>
                <c:ptCount val="8"/>
                <c:pt idx="0">
                  <c:v>1.83E-2</c:v>
                </c:pt>
                <c:pt idx="1">
                  <c:v>2.6700000000000002E-2</c:v>
                </c:pt>
                <c:pt idx="2">
                  <c:v>0.04</c:v>
                </c:pt>
                <c:pt idx="3">
                  <c:v>4.4900000000000002E-2</c:v>
                </c:pt>
                <c:pt idx="4">
                  <c:v>4.48E-2</c:v>
                </c:pt>
              </c:numCache>
            </c:numRef>
          </c:val>
          <c:smooth val="0"/>
          <c:extLst>
            <c:ext xmlns:c16="http://schemas.microsoft.com/office/drawing/2014/chart" uri="{C3380CC4-5D6E-409C-BE32-E72D297353CC}">
              <c16:uniqueId val="{00000003-2695-40C4-AE65-C834E5D05F31}"/>
            </c:ext>
          </c:extLst>
        </c:ser>
        <c:ser>
          <c:idx val="1"/>
          <c:order val="5"/>
          <c:tx>
            <c:strRef>
              <c:f>'[Chart in Microsoft Word]prosecne stope EUR'!$I$3</c:f>
              <c:strCache>
                <c:ptCount val="1"/>
                <c:pt idx="0">
                  <c:v>2016</c:v>
                </c:pt>
              </c:strCache>
            </c:strRef>
          </c:tx>
          <c:dLbls>
            <c:dLbl>
              <c:idx val="4"/>
              <c:layout>
                <c:manualLayout>
                  <c:x val="-8.7301573662421311E-4"/>
                  <c:y val="-5.04206974128233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EUR'!$I$4:$I$11</c:f>
              <c:numCache>
                <c:formatCode>0.00%</c:formatCode>
                <c:ptCount val="8"/>
                <c:pt idx="0">
                  <c:v>9.4417358622498043E-3</c:v>
                </c:pt>
                <c:pt idx="1">
                  <c:v>1.3644036041361296E-2</c:v>
                </c:pt>
                <c:pt idx="2">
                  <c:v>2.9759600523163947E-2</c:v>
                </c:pt>
                <c:pt idx="3">
                  <c:v>3.1357142857142854E-2</c:v>
                </c:pt>
                <c:pt idx="4">
                  <c:v>4.2000000000000003E-2</c:v>
                </c:pt>
                <c:pt idx="6">
                  <c:v>4.2000000000000003E-2</c:v>
                </c:pt>
              </c:numCache>
            </c:numRef>
          </c:val>
          <c:smooth val="0"/>
          <c:extLst>
            <c:ext xmlns:c16="http://schemas.microsoft.com/office/drawing/2014/chart" uri="{C3380CC4-5D6E-409C-BE32-E72D297353CC}">
              <c16:uniqueId val="{00000005-2695-40C4-AE65-C834E5D05F31}"/>
            </c:ext>
          </c:extLst>
        </c:ser>
        <c:ser>
          <c:idx val="6"/>
          <c:order val="6"/>
          <c:tx>
            <c:strRef>
              <c:f>'[Chart in Microsoft Word]prosecne stope EUR'!$J$3</c:f>
              <c:strCache>
                <c:ptCount val="1"/>
                <c:pt idx="0">
                  <c:v>2017</c:v>
                </c:pt>
              </c:strCache>
            </c:strRef>
          </c:tx>
          <c:dLbls>
            <c:dLbl>
              <c:idx val="0"/>
              <c:layout>
                <c:manualLayout>
                  <c:x val="-5.8412689286856445E-2"/>
                  <c:y val="-9.150856142982126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695-40C4-AE65-C834E5D05F31}"/>
                </c:ext>
              </c:extLst>
            </c:dLbl>
            <c:dLbl>
              <c:idx val="1"/>
              <c:layout>
                <c:manualLayout>
                  <c:x val="1.3015870982397358E-2"/>
                  <c:y val="-2.50238720159980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695-40C4-AE65-C834E5D05F31}"/>
                </c:ext>
              </c:extLst>
            </c:dLbl>
            <c:dLbl>
              <c:idx val="4"/>
              <c:layout>
                <c:manualLayout>
                  <c:x val="9.0476176341054808E-3"/>
                  <c:y val="-2.1849268841394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EUR'!$J$4:$J$11</c:f>
              <c:numCache>
                <c:formatCode>0.00%</c:formatCode>
                <c:ptCount val="8"/>
                <c:pt idx="0">
                  <c:v>6.2635145185452766E-3</c:v>
                </c:pt>
                <c:pt idx="1">
                  <c:v>1.0360033899389172E-2</c:v>
                </c:pt>
                <c:pt idx="2">
                  <c:v>1.8649799295294825E-2</c:v>
                </c:pt>
                <c:pt idx="3">
                  <c:v>2.6212040071733351E-2</c:v>
                </c:pt>
                <c:pt idx="4">
                  <c:v>0.04</c:v>
                </c:pt>
                <c:pt idx="6">
                  <c:v>4.2000000000000003E-2</c:v>
                </c:pt>
              </c:numCache>
            </c:numRef>
          </c:val>
          <c:smooth val="0"/>
          <c:extLst>
            <c:ext xmlns:c16="http://schemas.microsoft.com/office/drawing/2014/chart" uri="{C3380CC4-5D6E-409C-BE32-E72D297353CC}">
              <c16:uniqueId val="{00000009-2695-40C4-AE65-C834E5D05F31}"/>
            </c:ext>
          </c:extLst>
        </c:ser>
        <c:ser>
          <c:idx val="7"/>
          <c:order val="7"/>
          <c:tx>
            <c:strRef>
              <c:f>'[Chart in Microsoft Word]prosecne stope EUR'!$K$3</c:f>
              <c:strCache>
                <c:ptCount val="1"/>
                <c:pt idx="0">
                  <c:v>2018</c:v>
                </c:pt>
              </c:strCache>
            </c:strRef>
          </c:tx>
          <c:dLbls>
            <c:dLbl>
              <c:idx val="0"/>
              <c:layout>
                <c:manualLayout>
                  <c:x val="-6.4365069309294254E-2"/>
                  <c:y val="1.94205724284463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695-40C4-AE65-C834E5D05F31}"/>
                </c:ext>
              </c:extLst>
            </c:dLbl>
            <c:dLbl>
              <c:idx val="1"/>
              <c:layout>
                <c:manualLayout>
                  <c:x val="5.079364285813604E-3"/>
                  <c:y val="9.89676290463692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695-40C4-AE65-C834E5D05F31}"/>
                </c:ext>
              </c:extLst>
            </c:dLbl>
            <c:dLbl>
              <c:idx val="3"/>
              <c:layout>
                <c:manualLayout>
                  <c:x val="7.0634909599595428E-3"/>
                  <c:y val="6.722159730033629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EUR'!$K$4:$K$11</c:f>
              <c:numCache>
                <c:formatCode>0.00%</c:formatCode>
                <c:ptCount val="8"/>
                <c:pt idx="0">
                  <c:v>4.5989898989898994E-3</c:v>
                </c:pt>
                <c:pt idx="1">
                  <c:v>8.7888787429136698E-3</c:v>
                </c:pt>
                <c:pt idx="2">
                  <c:v>1.2512238579642383E-2</c:v>
                </c:pt>
                <c:pt idx="3">
                  <c:v>1.8924744210098623E-2</c:v>
                </c:pt>
                <c:pt idx="4">
                  <c:v>3.5000000000000003E-2</c:v>
                </c:pt>
              </c:numCache>
            </c:numRef>
          </c:val>
          <c:smooth val="0"/>
          <c:extLst>
            <c:ext xmlns:c16="http://schemas.microsoft.com/office/drawing/2014/chart" uri="{C3380CC4-5D6E-409C-BE32-E72D297353CC}">
              <c16:uniqueId val="{0000000D-2695-40C4-AE65-C834E5D05F31}"/>
            </c:ext>
          </c:extLst>
        </c:ser>
        <c:ser>
          <c:idx val="8"/>
          <c:order val="8"/>
          <c:tx>
            <c:strRef>
              <c:f>'[Chart in Microsoft Word]prosecne stope EUR'!$L$3</c:f>
              <c:strCache>
                <c:ptCount val="1"/>
                <c:pt idx="0">
                  <c:v>2019</c:v>
                </c:pt>
              </c:strCache>
            </c:strRef>
          </c:tx>
          <c:dLbls>
            <c:dLbl>
              <c:idx val="1"/>
              <c:layout>
                <c:manualLayout>
                  <c:x val="-7.2301576005878054E-2"/>
                  <c:y val="-2.801649793775894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695-40C4-AE65-C834E5D05F31}"/>
                </c:ext>
              </c:extLst>
            </c:dLbl>
            <c:dLbl>
              <c:idx val="4"/>
              <c:delete val="1"/>
              <c:extLst>
                <c:ext xmlns:c15="http://schemas.microsoft.com/office/drawing/2012/chart" uri="{CE6537A1-D6FC-4f65-9D91-7224C49458BB}"/>
                <c:ext xmlns:c16="http://schemas.microsoft.com/office/drawing/2014/chart" uri="{C3380CC4-5D6E-409C-BE32-E72D297353CC}">
                  <c16:uniqueId val="{0000000F-2695-40C4-AE65-C834E5D05F31}"/>
                </c:ext>
              </c:extLst>
            </c:dLbl>
            <c:dLbl>
              <c:idx val="6"/>
              <c:layout>
                <c:manualLayout>
                  <c:x val="-6.2440219834399152E-2"/>
                  <c:y val="-3.2826201072691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EUR'!$L$4:$L$11</c:f>
              <c:numCache>
                <c:formatCode>0.00%</c:formatCode>
                <c:ptCount val="8"/>
                <c:pt idx="1">
                  <c:v>0.01</c:v>
                </c:pt>
                <c:pt idx="2">
                  <c:v>1.2500000000000001E-2</c:v>
                </c:pt>
                <c:pt idx="3">
                  <c:v>1.7468554713468955E-2</c:v>
                </c:pt>
                <c:pt idx="4">
                  <c:v>3.2500000000000001E-2</c:v>
                </c:pt>
                <c:pt idx="6">
                  <c:v>3.5999999999999997E-2</c:v>
                </c:pt>
              </c:numCache>
            </c:numRef>
          </c:val>
          <c:smooth val="0"/>
          <c:extLst>
            <c:ext xmlns:c16="http://schemas.microsoft.com/office/drawing/2014/chart" uri="{C3380CC4-5D6E-409C-BE32-E72D297353CC}">
              <c16:uniqueId val="{00000011-2695-40C4-AE65-C834E5D05F31}"/>
            </c:ext>
          </c:extLst>
        </c:ser>
        <c:ser>
          <c:idx val="9"/>
          <c:order val="9"/>
          <c:tx>
            <c:strRef>
              <c:f>'[Chart in Microsoft Word]prosecne stope EUR'!$M$3</c:f>
              <c:strCache>
                <c:ptCount val="1"/>
                <c:pt idx="0">
                  <c:v>2020</c:v>
                </c:pt>
              </c:strCache>
            </c:strRef>
          </c:tx>
          <c:dLbls>
            <c:dLbl>
              <c:idx val="1"/>
              <c:layout>
                <c:manualLayout>
                  <c:x val="-6.6349195983440204E-2"/>
                  <c:y val="-1.23254593175853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695-40C4-AE65-C834E5D05F31}"/>
                </c:ext>
              </c:extLst>
            </c:dLbl>
            <c:dLbl>
              <c:idx val="5"/>
              <c:layout>
                <c:manualLayout>
                  <c:x val="-7.3489943591305229E-2"/>
                  <c:y val="-5.02175054205180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EUR'!$M$4:$M$11</c:f>
              <c:numCache>
                <c:formatCode>0.00%</c:formatCode>
                <c:ptCount val="8"/>
                <c:pt idx="1">
                  <c:v>5.0000000000000001E-3</c:v>
                </c:pt>
                <c:pt idx="3">
                  <c:v>0.01</c:v>
                </c:pt>
                <c:pt idx="5">
                  <c:v>1.89E-2</c:v>
                </c:pt>
              </c:numCache>
            </c:numRef>
          </c:val>
          <c:smooth val="0"/>
          <c:extLst>
            <c:ext xmlns:c16="http://schemas.microsoft.com/office/drawing/2014/chart" uri="{C3380CC4-5D6E-409C-BE32-E72D297353CC}">
              <c16:uniqueId val="{00000014-2695-40C4-AE65-C834E5D05F31}"/>
            </c:ext>
          </c:extLst>
        </c:ser>
        <c:ser>
          <c:idx val="10"/>
          <c:order val="10"/>
          <c:tx>
            <c:strRef>
              <c:f>'[Chart in Microsoft Word]prosecne stope EUR'!$N$3</c:f>
              <c:strCache>
                <c:ptCount val="1"/>
                <c:pt idx="0">
                  <c:v>III/2021</c:v>
                </c:pt>
              </c:strCache>
            </c:strRef>
          </c:tx>
          <c:dLbls>
            <c:dLbl>
              <c:idx val="5"/>
              <c:layout>
                <c:manualLayout>
                  <c:x val="-2.929061353518668E-2"/>
                  <c:y val="3.0941914869336867E-2"/>
                </c:manualLayout>
              </c:layout>
              <c:spPr>
                <a:noFill/>
                <a:ln>
                  <a:noFill/>
                </a:ln>
                <a:effectLst/>
              </c:spPr>
              <c:txPr>
                <a:bodyPr/>
                <a:lstStyle/>
                <a:p>
                  <a:pPr>
                    <a:defRPr>
                      <a:solidFill>
                        <a:srgbClr val="44546A"/>
                      </a:solidFill>
                    </a:defRPr>
                  </a:pPr>
                  <a:endParaRPr lang="sr-Latn-RS"/>
                </a:p>
              </c:txPr>
              <c:dLblPos val="r"/>
              <c:showLegendKey val="0"/>
              <c:showVal val="1"/>
              <c:showCatName val="0"/>
              <c:showSerName val="0"/>
              <c:showPercent val="0"/>
              <c:showBubbleSize val="0"/>
              <c:extLst>
                <c:ext xmlns:c15="http://schemas.microsoft.com/office/drawing/2012/chart" uri="{CE6537A1-D6FC-4f65-9D91-7224C49458BB}">
                  <c15:layout>
                    <c:manualLayout>
                      <c:w val="9.1730978379083825E-2"/>
                      <c:h val="0.10623211229031151"/>
                    </c:manualLayout>
                  </c15:layout>
                </c:ext>
                <c:ext xmlns:c16="http://schemas.microsoft.com/office/drawing/2014/chart" uri="{C3380CC4-5D6E-409C-BE32-E72D297353CC}">
                  <c16:uniqueId val="{00000015-2695-40C4-AE65-C834E5D05F31}"/>
                </c:ext>
              </c:extLst>
            </c:dLbl>
            <c:spPr>
              <a:noFill/>
              <a:ln>
                <a:noFill/>
              </a:ln>
              <a:effectLst/>
            </c:spPr>
            <c:txPr>
              <a:bodyPr wrap="square" lIns="38100" tIns="19050" rIns="38100" bIns="19050" anchor="ctr">
                <a:spAutoFit/>
              </a:bodyPr>
              <a:lstStyle/>
              <a:p>
                <a:pPr>
                  <a:defRPr>
                    <a:solidFill>
                      <a:srgbClr val="44546A"/>
                    </a:solidFill>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'[Chart in Microsoft Word]prosecne stope EUR'!$C$4:$C$11</c:f>
              <c:strCache>
                <c:ptCount val="8"/>
                <c:pt idx="0">
                  <c:v>53Н</c:v>
                </c:pt>
                <c:pt idx="1">
                  <c:v>2Г</c:v>
                </c:pt>
                <c:pt idx="2">
                  <c:v>3Г</c:v>
                </c:pt>
                <c:pt idx="3">
                  <c:v>5Г</c:v>
                </c:pt>
                <c:pt idx="4">
                  <c:v>10Г</c:v>
                </c:pt>
                <c:pt idx="5">
                  <c:v>12г</c:v>
                </c:pt>
                <c:pt idx="6">
                  <c:v>15Г</c:v>
                </c:pt>
                <c:pt idx="7">
                  <c:v>20Г</c:v>
                </c:pt>
              </c:strCache>
            </c:strRef>
          </c:cat>
          <c:val>
            <c:numRef>
              <c:f>'[Chart in Microsoft Word]prosecne stope EUR'!$N$4:$N$11</c:f>
              <c:numCache>
                <c:formatCode>General</c:formatCode>
                <c:ptCount val="8"/>
                <c:pt idx="5" formatCode="0.00%">
                  <c:v>1.7399999999999999E-2</c:v>
                </c:pt>
                <c:pt idx="7" formatCode="0.00%">
                  <c:v>2.2499999999999999E-2</c:v>
                </c:pt>
              </c:numCache>
            </c:numRef>
          </c:val>
          <c:smooth val="0"/>
          <c:extLst>
            <c:ext xmlns:c16="http://schemas.microsoft.com/office/drawing/2014/chart" uri="{C3380CC4-5D6E-409C-BE32-E72D297353CC}">
              <c16:uniqueId val="{00000016-2695-40C4-AE65-C834E5D05F31}"/>
            </c:ext>
          </c:extLst>
        </c:ser>
        <c:dLbls>
          <c:dLblPos val="t"/>
          <c:showLegendKey val="0"/>
          <c:showVal val="1"/>
          <c:showCatName val="0"/>
          <c:showSerName val="0"/>
          <c:showPercent val="0"/>
          <c:showBubbleSize val="0"/>
        </c:dLbls>
        <c:marker val="1"/>
        <c:smooth val="0"/>
        <c:axId val="196476816"/>
        <c:axId val="196477208"/>
        <c:extLst>
          <c:ext xmlns:c15="http://schemas.microsoft.com/office/drawing/2012/chart" uri="{02D57815-91ED-43cb-92C2-25804820EDAC}">
            <c15:filteredLineSeries>
              <c15:ser>
                <c:idx val="2"/>
                <c:order val="0"/>
                <c:tx>
                  <c:strRef>
                    <c:extLst>
                      <c:ext uri="{02D57815-91ED-43cb-92C2-25804820EDAC}">
                        <c15:formulaRef>
                          <c15:sqref>'[Chart in Microsoft Word]prosecne stope EUR'!$D$3</c15:sqref>
                        </c15:formulaRef>
                      </c:ext>
                    </c:extLst>
                    <c:strCache>
                      <c:ptCount val="1"/>
                      <c:pt idx="0">
                        <c:v>2011</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c:ext uri="{CE6537A1-D6FC-4f65-9D91-7224C49458BB}">
                      <c15:showLeaderLines val="1"/>
                    </c:ext>
                  </c:extLst>
                </c:dLbls>
                <c:cat>
                  <c:strRef>
                    <c:extLst>
                      <c:ext uri="{02D57815-91ED-43cb-92C2-25804820EDAC}">
                        <c15:formulaRef>
                          <c15:sqref>'[Chart in Microsoft Word]prosecne stope EUR'!$C$4:$C$11</c15:sqref>
                        </c15:formulaRef>
                      </c:ext>
                    </c:extLst>
                    <c:strCache>
                      <c:ptCount val="8"/>
                      <c:pt idx="0">
                        <c:v>53Н</c:v>
                      </c:pt>
                      <c:pt idx="1">
                        <c:v>2Г</c:v>
                      </c:pt>
                      <c:pt idx="2">
                        <c:v>3Г</c:v>
                      </c:pt>
                      <c:pt idx="3">
                        <c:v>5Г</c:v>
                      </c:pt>
                      <c:pt idx="4">
                        <c:v>10Г</c:v>
                      </c:pt>
                      <c:pt idx="5">
                        <c:v>12г</c:v>
                      </c:pt>
                      <c:pt idx="6">
                        <c:v>15Г</c:v>
                      </c:pt>
                      <c:pt idx="7">
                        <c:v>20Г</c:v>
                      </c:pt>
                    </c:strCache>
                  </c:strRef>
                </c:cat>
                <c:val>
                  <c:numRef>
                    <c:extLst>
                      <c:ext uri="{02D57815-91ED-43cb-92C2-25804820EDAC}">
                        <c15:formulaRef>
                          <c15:sqref>'[Chart in Microsoft Word]prosecne stope EUR'!$D$4:$D$11</c15:sqref>
                        </c15:formulaRef>
                      </c:ext>
                    </c:extLst>
                    <c:numCache>
                      <c:formatCode>General</c:formatCode>
                      <c:ptCount val="8"/>
                      <c:pt idx="0" formatCode="0.00%">
                        <c:v>4.48E-2</c:v>
                      </c:pt>
                      <c:pt idx="2" formatCode="0.00%">
                        <c:v>0.05</c:v>
                      </c:pt>
                    </c:numCache>
                  </c:numRef>
                </c:val>
                <c:smooth val="0"/>
                <c:extLst>
                  <c:ext xmlns:c16="http://schemas.microsoft.com/office/drawing/2014/chart" uri="{C3380CC4-5D6E-409C-BE32-E72D297353CC}">
                    <c16:uniqueId val="{00000017-2695-40C4-AE65-C834E5D05F31}"/>
                  </c:ext>
                </c:extLst>
              </c15:ser>
            </c15:filteredLineSeries>
            <c15:filteredLineSeries>
              <c15:ser>
                <c:idx val="3"/>
                <c:order val="1"/>
                <c:tx>
                  <c:strRef>
                    <c:extLst xmlns:c15="http://schemas.microsoft.com/office/drawing/2012/chart">
                      <c:ext xmlns:c15="http://schemas.microsoft.com/office/drawing/2012/chart" uri="{02D57815-91ED-43cb-92C2-25804820EDAC}">
                        <c15:formulaRef>
                          <c15:sqref>'[Chart in Microsoft Word]prosecne stope EUR'!$E$3</c15:sqref>
                        </c15:formulaRef>
                      </c:ext>
                    </c:extLst>
                    <c:strCache>
                      <c:ptCount val="1"/>
                      <c:pt idx="0">
                        <c:v>2012</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extLst xmlns:c15="http://schemas.microsoft.com/office/drawing/2012/chart">
                      <c:ext xmlns:c15="http://schemas.microsoft.com/office/drawing/2012/chart" uri="{02D57815-91ED-43cb-92C2-25804820EDAC}">
                        <c15:formulaRef>
                          <c15:sqref>'[Chart in Microsoft Word]prosecne stope EUR'!$C$4:$C$11</c15:sqref>
                        </c15:formulaRef>
                      </c:ext>
                    </c:extLst>
                    <c:strCache>
                      <c:ptCount val="8"/>
                      <c:pt idx="0">
                        <c:v>53Н</c:v>
                      </c:pt>
                      <c:pt idx="1">
                        <c:v>2Г</c:v>
                      </c:pt>
                      <c:pt idx="2">
                        <c:v>3Г</c:v>
                      </c:pt>
                      <c:pt idx="3">
                        <c:v>5Г</c:v>
                      </c:pt>
                      <c:pt idx="4">
                        <c:v>10Г</c:v>
                      </c:pt>
                      <c:pt idx="5">
                        <c:v>12г</c:v>
                      </c:pt>
                      <c:pt idx="6">
                        <c:v>15Г</c:v>
                      </c:pt>
                      <c:pt idx="7">
                        <c:v>20Г</c:v>
                      </c:pt>
                    </c:strCache>
                  </c:strRef>
                </c:cat>
                <c:val>
                  <c:numRef>
                    <c:extLst xmlns:c15="http://schemas.microsoft.com/office/drawing/2012/chart">
                      <c:ext xmlns:c15="http://schemas.microsoft.com/office/drawing/2012/chart" uri="{02D57815-91ED-43cb-92C2-25804820EDAC}">
                        <c15:formulaRef>
                          <c15:sqref>'[Chart in Microsoft Word]prosecne stope EUR'!$E$4:$E$11</c15:sqref>
                        </c15:formulaRef>
                      </c:ext>
                    </c:extLst>
                    <c:numCache>
                      <c:formatCode>0.00%</c:formatCode>
                      <c:ptCount val="8"/>
                      <c:pt idx="0">
                        <c:v>0.06</c:v>
                      </c:pt>
                      <c:pt idx="1">
                        <c:v>5.67E-2</c:v>
                      </c:pt>
                    </c:numCache>
                  </c:numRef>
                </c:val>
                <c:smooth val="0"/>
                <c:extLst xmlns:c15="http://schemas.microsoft.com/office/drawing/2012/chart">
                  <c:ext xmlns:c16="http://schemas.microsoft.com/office/drawing/2014/chart" uri="{C3380CC4-5D6E-409C-BE32-E72D297353CC}">
                    <c16:uniqueId val="{00000018-2695-40C4-AE65-C834E5D05F31}"/>
                  </c:ext>
                </c:extLst>
              </c15:ser>
            </c15:filteredLineSeries>
            <c15:filteredLineSeries>
              <c15:ser>
                <c:idx val="4"/>
                <c:order val="2"/>
                <c:tx>
                  <c:strRef>
                    <c:extLst xmlns:c15="http://schemas.microsoft.com/office/drawing/2012/chart">
                      <c:ext xmlns:c15="http://schemas.microsoft.com/office/drawing/2012/chart" uri="{02D57815-91ED-43cb-92C2-25804820EDAC}">
                        <c15:formulaRef>
                          <c15:sqref>'[Chart in Microsoft Word]prosecne stope EUR'!$F$3</c15:sqref>
                        </c15:formulaRef>
                      </c:ext>
                    </c:extLst>
                    <c:strCache>
                      <c:ptCount val="1"/>
                      <c:pt idx="0">
                        <c:v>2013</c:v>
                      </c:pt>
                    </c:strCache>
                  </c:strRef>
                </c:tx>
                <c:marker>
                  <c:symbol val="square"/>
                  <c:size val="3"/>
                </c:marker>
                <c:dLbls>
                  <c:spPr>
                    <a:noFill/>
                    <a:ln>
                      <a:noFill/>
                    </a:ln>
                    <a:effectLst/>
                  </c:spPr>
                  <c:dLblPos val="t"/>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extLst xmlns:c15="http://schemas.microsoft.com/office/drawing/2012/chart">
                      <c:ext xmlns:c15="http://schemas.microsoft.com/office/drawing/2012/chart" uri="{02D57815-91ED-43cb-92C2-25804820EDAC}">
                        <c15:formulaRef>
                          <c15:sqref>'[Chart in Microsoft Word]prosecne stope EUR'!$C$4:$C$11</c15:sqref>
                        </c15:formulaRef>
                      </c:ext>
                    </c:extLst>
                    <c:strCache>
                      <c:ptCount val="8"/>
                      <c:pt idx="0">
                        <c:v>53Н</c:v>
                      </c:pt>
                      <c:pt idx="1">
                        <c:v>2Г</c:v>
                      </c:pt>
                      <c:pt idx="2">
                        <c:v>3Г</c:v>
                      </c:pt>
                      <c:pt idx="3">
                        <c:v>5Г</c:v>
                      </c:pt>
                      <c:pt idx="4">
                        <c:v>10Г</c:v>
                      </c:pt>
                      <c:pt idx="5">
                        <c:v>12г</c:v>
                      </c:pt>
                      <c:pt idx="6">
                        <c:v>15Г</c:v>
                      </c:pt>
                      <c:pt idx="7">
                        <c:v>20Г</c:v>
                      </c:pt>
                    </c:strCache>
                  </c:strRef>
                </c:cat>
                <c:val>
                  <c:numRef>
                    <c:extLst xmlns:c15="http://schemas.microsoft.com/office/drawing/2012/chart">
                      <c:ext xmlns:c15="http://schemas.microsoft.com/office/drawing/2012/chart" uri="{02D57815-91ED-43cb-92C2-25804820EDAC}">
                        <c15:formulaRef>
                          <c15:sqref>'[Chart in Microsoft Word]prosecne stope EUR'!$F$4:$F$11</c15:sqref>
                        </c15:formulaRef>
                      </c:ext>
                    </c:extLst>
                    <c:numCache>
                      <c:formatCode>0.00%</c:formatCode>
                      <c:ptCount val="8"/>
                      <c:pt idx="0">
                        <c:v>3.5900000000000001E-2</c:v>
                      </c:pt>
                      <c:pt idx="1">
                        <c:v>4.5199999999999997E-2</c:v>
                      </c:pt>
                      <c:pt idx="2">
                        <c:v>4.8000000000000001E-2</c:v>
                      </c:pt>
                      <c:pt idx="3">
                        <c:v>5.2200000000000003E-2</c:v>
                      </c:pt>
                    </c:numCache>
                  </c:numRef>
                </c:val>
                <c:smooth val="0"/>
                <c:extLst xmlns:c15="http://schemas.microsoft.com/office/drawing/2012/chart">
                  <c:ext xmlns:c16="http://schemas.microsoft.com/office/drawing/2014/chart" uri="{C3380CC4-5D6E-409C-BE32-E72D297353CC}">
                    <c16:uniqueId val="{00000019-2695-40C4-AE65-C834E5D05F31}"/>
                  </c:ext>
                </c:extLst>
              </c15:ser>
            </c15:filteredLineSeries>
          </c:ext>
        </c:extLst>
      </c:lineChart>
      <c:catAx>
        <c:axId val="196476816"/>
        <c:scaling>
          <c:orientation val="minMax"/>
        </c:scaling>
        <c:delete val="0"/>
        <c:axPos val="b"/>
        <c:numFmt formatCode="General" sourceLinked="1"/>
        <c:majorTickMark val="out"/>
        <c:minorTickMark val="none"/>
        <c:tickLblPos val="nextTo"/>
        <c:spPr>
          <a:ln>
            <a:solidFill>
              <a:srgbClr val="44546A"/>
            </a:solidFill>
          </a:ln>
        </c:spPr>
        <c:txPr>
          <a:bodyPr/>
          <a:lstStyle/>
          <a:p>
            <a:pPr>
              <a:defRPr>
                <a:solidFill>
                  <a:srgbClr val="44546A"/>
                </a:solidFill>
              </a:defRPr>
            </a:pPr>
            <a:endParaRPr lang="sr-Latn-RS"/>
          </a:p>
        </c:txPr>
        <c:crossAx val="196477208"/>
        <c:crosses val="autoZero"/>
        <c:auto val="1"/>
        <c:lblAlgn val="ctr"/>
        <c:lblOffset val="100"/>
        <c:noMultiLvlLbl val="0"/>
      </c:catAx>
      <c:valAx>
        <c:axId val="196477208"/>
        <c:scaling>
          <c:orientation val="minMax"/>
        </c:scaling>
        <c:delete val="0"/>
        <c:axPos val="l"/>
        <c:numFmt formatCode="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96476816"/>
        <c:crosses val="autoZero"/>
        <c:crossBetween val="between"/>
      </c:valAx>
      <c:spPr>
        <a:noFill/>
      </c:spPr>
    </c:plotArea>
    <c:legend>
      <c:legendPos val="r"/>
      <c:layout>
        <c:manualLayout>
          <c:xMode val="edge"/>
          <c:yMode val="edge"/>
          <c:x val="6.9416468345133694E-2"/>
          <c:y val="0.82781398479036272"/>
          <c:w val="0.82586445925028606"/>
          <c:h val="0.17218601520963725"/>
        </c:manualLayout>
      </c:layout>
      <c:overlay val="0"/>
      <c:txPr>
        <a:bodyPr/>
        <a:lstStyle/>
        <a:p>
          <a:pPr>
            <a:defRPr>
              <a:solidFill>
                <a:srgbClr val="44546A"/>
              </a:solidFill>
            </a:defRPr>
          </a:pPr>
          <a:endParaRPr lang="sr-Latn-RS"/>
        </a:p>
      </c:txPr>
    </c:legend>
    <c:plotVisOnly val="1"/>
    <c:dispBlanksAs val="gap"/>
    <c:showDLblsOverMax val="0"/>
  </c:chart>
  <c:spPr>
    <a:noFill/>
    <a:ln>
      <a:noFill/>
    </a:ln>
  </c:spPr>
  <c:txPr>
    <a:bodyPr/>
    <a:lstStyle/>
    <a:p>
      <a:pPr>
        <a:defRPr sz="600">
          <a:solidFill>
            <a:schemeClr val="tx2"/>
          </a:solidFill>
          <a:latin typeface="+mn-lt"/>
          <a:cs typeface="Arial" panose="020B0604020202020204" pitchFamily="34" charset="0"/>
        </a:defRPr>
      </a:pPr>
      <a:endParaRPr lang="sr-Latn-RS"/>
    </a:p>
  </c:txPr>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384884077231522E-2"/>
          <c:y val="0.10592701089671445"/>
          <c:w val="0.84648641975308669"/>
          <c:h val="0.69632222222222218"/>
        </c:manualLayout>
      </c:layout>
      <c:areaChart>
        <c:grouping val="standard"/>
        <c:varyColors val="0"/>
        <c:ser>
          <c:idx val="0"/>
          <c:order val="0"/>
          <c:tx>
            <c:strRef>
              <c:f>'EUROBOND 2021 offline'!$B$4</c:f>
              <c:strCache>
                <c:ptCount val="1"/>
                <c:pt idx="0">
                  <c:v>Цена на затварању</c:v>
                </c:pt>
              </c:strCache>
            </c:strRef>
          </c:tx>
          <c:spPr>
            <a:ln w="25400">
              <a:noFill/>
            </a:ln>
          </c:spPr>
          <c:cat>
            <c:numRef>
              <c:f>'EUROBOND 2021 offline'!$A$25:$A$558</c:f>
              <c:numCache>
                <c:formatCode>dd\/mm\/yy</c:formatCode>
                <c:ptCount val="534"/>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pt idx="88">
                  <c:v>44160</c:v>
                </c:pt>
                <c:pt idx="89">
                  <c:v>44159</c:v>
                </c:pt>
                <c:pt idx="90">
                  <c:v>44158</c:v>
                </c:pt>
                <c:pt idx="91">
                  <c:v>44155</c:v>
                </c:pt>
                <c:pt idx="92">
                  <c:v>44154</c:v>
                </c:pt>
                <c:pt idx="93">
                  <c:v>44153</c:v>
                </c:pt>
                <c:pt idx="94">
                  <c:v>44152</c:v>
                </c:pt>
                <c:pt idx="95">
                  <c:v>44151</c:v>
                </c:pt>
                <c:pt idx="96">
                  <c:v>44148</c:v>
                </c:pt>
                <c:pt idx="97">
                  <c:v>44147</c:v>
                </c:pt>
                <c:pt idx="98">
                  <c:v>44146</c:v>
                </c:pt>
                <c:pt idx="99">
                  <c:v>44145</c:v>
                </c:pt>
                <c:pt idx="100">
                  <c:v>44144</c:v>
                </c:pt>
                <c:pt idx="101">
                  <c:v>44141</c:v>
                </c:pt>
                <c:pt idx="102">
                  <c:v>44140</c:v>
                </c:pt>
                <c:pt idx="103">
                  <c:v>44139</c:v>
                </c:pt>
                <c:pt idx="104">
                  <c:v>44138</c:v>
                </c:pt>
                <c:pt idx="105">
                  <c:v>44137</c:v>
                </c:pt>
                <c:pt idx="106">
                  <c:v>44134</c:v>
                </c:pt>
                <c:pt idx="107">
                  <c:v>44133</c:v>
                </c:pt>
                <c:pt idx="108">
                  <c:v>44132</c:v>
                </c:pt>
                <c:pt idx="109">
                  <c:v>44131</c:v>
                </c:pt>
                <c:pt idx="110">
                  <c:v>44130</c:v>
                </c:pt>
                <c:pt idx="111">
                  <c:v>44127</c:v>
                </c:pt>
                <c:pt idx="112">
                  <c:v>44126</c:v>
                </c:pt>
                <c:pt idx="113">
                  <c:v>44125</c:v>
                </c:pt>
                <c:pt idx="114">
                  <c:v>44124</c:v>
                </c:pt>
                <c:pt idx="115">
                  <c:v>44123</c:v>
                </c:pt>
                <c:pt idx="116">
                  <c:v>44120</c:v>
                </c:pt>
                <c:pt idx="117">
                  <c:v>44119</c:v>
                </c:pt>
                <c:pt idx="118">
                  <c:v>44118</c:v>
                </c:pt>
                <c:pt idx="119">
                  <c:v>44117</c:v>
                </c:pt>
                <c:pt idx="120">
                  <c:v>44116</c:v>
                </c:pt>
                <c:pt idx="121">
                  <c:v>44113</c:v>
                </c:pt>
                <c:pt idx="122">
                  <c:v>44112</c:v>
                </c:pt>
                <c:pt idx="123">
                  <c:v>44111</c:v>
                </c:pt>
                <c:pt idx="124">
                  <c:v>44110</c:v>
                </c:pt>
                <c:pt idx="125">
                  <c:v>44109</c:v>
                </c:pt>
                <c:pt idx="126">
                  <c:v>44106</c:v>
                </c:pt>
                <c:pt idx="127">
                  <c:v>44105</c:v>
                </c:pt>
                <c:pt idx="128">
                  <c:v>44104</c:v>
                </c:pt>
                <c:pt idx="129">
                  <c:v>44103</c:v>
                </c:pt>
                <c:pt idx="130">
                  <c:v>44102</c:v>
                </c:pt>
                <c:pt idx="131">
                  <c:v>44099</c:v>
                </c:pt>
                <c:pt idx="132">
                  <c:v>44098</c:v>
                </c:pt>
                <c:pt idx="133">
                  <c:v>44097</c:v>
                </c:pt>
                <c:pt idx="134">
                  <c:v>44096</c:v>
                </c:pt>
                <c:pt idx="135">
                  <c:v>44095</c:v>
                </c:pt>
                <c:pt idx="136">
                  <c:v>44092</c:v>
                </c:pt>
                <c:pt idx="137">
                  <c:v>44091</c:v>
                </c:pt>
                <c:pt idx="138">
                  <c:v>44090</c:v>
                </c:pt>
                <c:pt idx="139">
                  <c:v>44089</c:v>
                </c:pt>
                <c:pt idx="140">
                  <c:v>44088</c:v>
                </c:pt>
                <c:pt idx="141">
                  <c:v>44085</c:v>
                </c:pt>
                <c:pt idx="142">
                  <c:v>44084</c:v>
                </c:pt>
                <c:pt idx="143">
                  <c:v>44083</c:v>
                </c:pt>
                <c:pt idx="144">
                  <c:v>44082</c:v>
                </c:pt>
                <c:pt idx="145">
                  <c:v>44081</c:v>
                </c:pt>
                <c:pt idx="146">
                  <c:v>44078</c:v>
                </c:pt>
                <c:pt idx="147">
                  <c:v>44077</c:v>
                </c:pt>
                <c:pt idx="148">
                  <c:v>44076</c:v>
                </c:pt>
                <c:pt idx="149">
                  <c:v>44075</c:v>
                </c:pt>
                <c:pt idx="150">
                  <c:v>44074</c:v>
                </c:pt>
                <c:pt idx="151">
                  <c:v>44071</c:v>
                </c:pt>
                <c:pt idx="152">
                  <c:v>44070</c:v>
                </c:pt>
                <c:pt idx="153">
                  <c:v>44069</c:v>
                </c:pt>
                <c:pt idx="154">
                  <c:v>44068</c:v>
                </c:pt>
                <c:pt idx="155">
                  <c:v>44067</c:v>
                </c:pt>
                <c:pt idx="156">
                  <c:v>44064</c:v>
                </c:pt>
                <c:pt idx="157">
                  <c:v>44063</c:v>
                </c:pt>
                <c:pt idx="158">
                  <c:v>44062</c:v>
                </c:pt>
                <c:pt idx="159">
                  <c:v>44061</c:v>
                </c:pt>
                <c:pt idx="160">
                  <c:v>44060</c:v>
                </c:pt>
                <c:pt idx="161">
                  <c:v>44057</c:v>
                </c:pt>
                <c:pt idx="162">
                  <c:v>44056</c:v>
                </c:pt>
                <c:pt idx="163">
                  <c:v>44055</c:v>
                </c:pt>
                <c:pt idx="164">
                  <c:v>44054</c:v>
                </c:pt>
                <c:pt idx="165">
                  <c:v>44053</c:v>
                </c:pt>
                <c:pt idx="166">
                  <c:v>44050</c:v>
                </c:pt>
                <c:pt idx="167">
                  <c:v>44049</c:v>
                </c:pt>
                <c:pt idx="168">
                  <c:v>44048</c:v>
                </c:pt>
                <c:pt idx="169">
                  <c:v>44047</c:v>
                </c:pt>
                <c:pt idx="170">
                  <c:v>44046</c:v>
                </c:pt>
                <c:pt idx="171">
                  <c:v>44043</c:v>
                </c:pt>
                <c:pt idx="172">
                  <c:v>44042</c:v>
                </c:pt>
                <c:pt idx="173">
                  <c:v>44041</c:v>
                </c:pt>
                <c:pt idx="174">
                  <c:v>44040</c:v>
                </c:pt>
                <c:pt idx="175">
                  <c:v>44039</c:v>
                </c:pt>
                <c:pt idx="176">
                  <c:v>44036</c:v>
                </c:pt>
                <c:pt idx="177">
                  <c:v>44035</c:v>
                </c:pt>
                <c:pt idx="178">
                  <c:v>44034</c:v>
                </c:pt>
                <c:pt idx="179">
                  <c:v>44033</c:v>
                </c:pt>
                <c:pt idx="180">
                  <c:v>44032</c:v>
                </c:pt>
                <c:pt idx="181">
                  <c:v>44029</c:v>
                </c:pt>
                <c:pt idx="182">
                  <c:v>44028</c:v>
                </c:pt>
                <c:pt idx="183">
                  <c:v>44027</c:v>
                </c:pt>
                <c:pt idx="184">
                  <c:v>44026</c:v>
                </c:pt>
                <c:pt idx="185">
                  <c:v>44025</c:v>
                </c:pt>
                <c:pt idx="186">
                  <c:v>44022</c:v>
                </c:pt>
                <c:pt idx="187">
                  <c:v>44021</c:v>
                </c:pt>
                <c:pt idx="188">
                  <c:v>44020</c:v>
                </c:pt>
                <c:pt idx="189">
                  <c:v>44019</c:v>
                </c:pt>
                <c:pt idx="190">
                  <c:v>44018</c:v>
                </c:pt>
                <c:pt idx="191">
                  <c:v>44015</c:v>
                </c:pt>
                <c:pt idx="192">
                  <c:v>44014</c:v>
                </c:pt>
                <c:pt idx="193">
                  <c:v>44013</c:v>
                </c:pt>
                <c:pt idx="194">
                  <c:v>44012</c:v>
                </c:pt>
                <c:pt idx="195">
                  <c:v>44011</c:v>
                </c:pt>
                <c:pt idx="196">
                  <c:v>44008</c:v>
                </c:pt>
                <c:pt idx="197">
                  <c:v>44007</c:v>
                </c:pt>
                <c:pt idx="198">
                  <c:v>44006</c:v>
                </c:pt>
                <c:pt idx="199">
                  <c:v>44005</c:v>
                </c:pt>
                <c:pt idx="200">
                  <c:v>44004</c:v>
                </c:pt>
                <c:pt idx="201">
                  <c:v>44001</c:v>
                </c:pt>
                <c:pt idx="202">
                  <c:v>44000</c:v>
                </c:pt>
                <c:pt idx="203">
                  <c:v>43999</c:v>
                </c:pt>
                <c:pt idx="204">
                  <c:v>43998</c:v>
                </c:pt>
                <c:pt idx="205">
                  <c:v>43997</c:v>
                </c:pt>
                <c:pt idx="206">
                  <c:v>43994</c:v>
                </c:pt>
                <c:pt idx="207">
                  <c:v>43993</c:v>
                </c:pt>
                <c:pt idx="208">
                  <c:v>43992</c:v>
                </c:pt>
                <c:pt idx="209">
                  <c:v>43991</c:v>
                </c:pt>
                <c:pt idx="210">
                  <c:v>43990</c:v>
                </c:pt>
                <c:pt idx="211">
                  <c:v>43987</c:v>
                </c:pt>
                <c:pt idx="212">
                  <c:v>43986</c:v>
                </c:pt>
                <c:pt idx="213">
                  <c:v>43985</c:v>
                </c:pt>
                <c:pt idx="214">
                  <c:v>43984</c:v>
                </c:pt>
                <c:pt idx="215">
                  <c:v>43983</c:v>
                </c:pt>
                <c:pt idx="216">
                  <c:v>43980</c:v>
                </c:pt>
                <c:pt idx="217">
                  <c:v>43979</c:v>
                </c:pt>
                <c:pt idx="218">
                  <c:v>43978</c:v>
                </c:pt>
                <c:pt idx="219">
                  <c:v>43977</c:v>
                </c:pt>
                <c:pt idx="220">
                  <c:v>43976</c:v>
                </c:pt>
                <c:pt idx="221">
                  <c:v>43973</c:v>
                </c:pt>
                <c:pt idx="222">
                  <c:v>43972</c:v>
                </c:pt>
                <c:pt idx="223">
                  <c:v>43971</c:v>
                </c:pt>
                <c:pt idx="224">
                  <c:v>43970</c:v>
                </c:pt>
                <c:pt idx="225">
                  <c:v>43969</c:v>
                </c:pt>
                <c:pt idx="226">
                  <c:v>43966</c:v>
                </c:pt>
                <c:pt idx="227">
                  <c:v>43965</c:v>
                </c:pt>
                <c:pt idx="228">
                  <c:v>43964</c:v>
                </c:pt>
                <c:pt idx="229">
                  <c:v>43963</c:v>
                </c:pt>
                <c:pt idx="230">
                  <c:v>43962</c:v>
                </c:pt>
                <c:pt idx="231">
                  <c:v>43959</c:v>
                </c:pt>
                <c:pt idx="232">
                  <c:v>43958</c:v>
                </c:pt>
                <c:pt idx="233">
                  <c:v>43957</c:v>
                </c:pt>
                <c:pt idx="234">
                  <c:v>43956</c:v>
                </c:pt>
                <c:pt idx="235">
                  <c:v>43955</c:v>
                </c:pt>
                <c:pt idx="236">
                  <c:v>43952</c:v>
                </c:pt>
                <c:pt idx="237">
                  <c:v>43951</c:v>
                </c:pt>
                <c:pt idx="238">
                  <c:v>43950</c:v>
                </c:pt>
                <c:pt idx="239">
                  <c:v>43949</c:v>
                </c:pt>
                <c:pt idx="240">
                  <c:v>43948</c:v>
                </c:pt>
                <c:pt idx="241">
                  <c:v>43945</c:v>
                </c:pt>
                <c:pt idx="242">
                  <c:v>43944</c:v>
                </c:pt>
                <c:pt idx="243">
                  <c:v>43943</c:v>
                </c:pt>
                <c:pt idx="244">
                  <c:v>43942</c:v>
                </c:pt>
                <c:pt idx="245">
                  <c:v>43941</c:v>
                </c:pt>
                <c:pt idx="246">
                  <c:v>43938</c:v>
                </c:pt>
                <c:pt idx="247">
                  <c:v>43937</c:v>
                </c:pt>
                <c:pt idx="248">
                  <c:v>43936</c:v>
                </c:pt>
                <c:pt idx="249">
                  <c:v>43935</c:v>
                </c:pt>
                <c:pt idx="250">
                  <c:v>43930</c:v>
                </c:pt>
                <c:pt idx="251">
                  <c:v>43929</c:v>
                </c:pt>
                <c:pt idx="252">
                  <c:v>43928</c:v>
                </c:pt>
                <c:pt idx="253">
                  <c:v>43927</c:v>
                </c:pt>
                <c:pt idx="254">
                  <c:v>43924</c:v>
                </c:pt>
                <c:pt idx="255">
                  <c:v>43923</c:v>
                </c:pt>
                <c:pt idx="256">
                  <c:v>43922</c:v>
                </c:pt>
                <c:pt idx="257">
                  <c:v>43921</c:v>
                </c:pt>
                <c:pt idx="258">
                  <c:v>43920</c:v>
                </c:pt>
                <c:pt idx="259">
                  <c:v>43917</c:v>
                </c:pt>
                <c:pt idx="260">
                  <c:v>43916</c:v>
                </c:pt>
                <c:pt idx="261">
                  <c:v>43915</c:v>
                </c:pt>
                <c:pt idx="262">
                  <c:v>43914</c:v>
                </c:pt>
                <c:pt idx="263">
                  <c:v>43913</c:v>
                </c:pt>
                <c:pt idx="264">
                  <c:v>43910</c:v>
                </c:pt>
                <c:pt idx="265">
                  <c:v>43909</c:v>
                </c:pt>
                <c:pt idx="266">
                  <c:v>43908</c:v>
                </c:pt>
                <c:pt idx="267">
                  <c:v>43907</c:v>
                </c:pt>
                <c:pt idx="268">
                  <c:v>43906</c:v>
                </c:pt>
                <c:pt idx="269">
                  <c:v>43903</c:v>
                </c:pt>
                <c:pt idx="270">
                  <c:v>43902</c:v>
                </c:pt>
                <c:pt idx="271">
                  <c:v>43901</c:v>
                </c:pt>
                <c:pt idx="272">
                  <c:v>43900</c:v>
                </c:pt>
                <c:pt idx="273">
                  <c:v>43899</c:v>
                </c:pt>
                <c:pt idx="274">
                  <c:v>43896</c:v>
                </c:pt>
                <c:pt idx="275">
                  <c:v>43895</c:v>
                </c:pt>
                <c:pt idx="276">
                  <c:v>43894</c:v>
                </c:pt>
                <c:pt idx="277">
                  <c:v>43893</c:v>
                </c:pt>
                <c:pt idx="278">
                  <c:v>43892</c:v>
                </c:pt>
                <c:pt idx="279">
                  <c:v>43889</c:v>
                </c:pt>
                <c:pt idx="280">
                  <c:v>43888</c:v>
                </c:pt>
                <c:pt idx="281">
                  <c:v>43887</c:v>
                </c:pt>
                <c:pt idx="282">
                  <c:v>43886</c:v>
                </c:pt>
                <c:pt idx="283">
                  <c:v>43885</c:v>
                </c:pt>
                <c:pt idx="284">
                  <c:v>43882</c:v>
                </c:pt>
                <c:pt idx="285">
                  <c:v>43881</c:v>
                </c:pt>
                <c:pt idx="286">
                  <c:v>43880</c:v>
                </c:pt>
                <c:pt idx="287">
                  <c:v>43879</c:v>
                </c:pt>
                <c:pt idx="288">
                  <c:v>43878</c:v>
                </c:pt>
                <c:pt idx="289">
                  <c:v>43875</c:v>
                </c:pt>
                <c:pt idx="290">
                  <c:v>43874</c:v>
                </c:pt>
                <c:pt idx="291">
                  <c:v>43873</c:v>
                </c:pt>
                <c:pt idx="292">
                  <c:v>43872</c:v>
                </c:pt>
                <c:pt idx="293">
                  <c:v>43871</c:v>
                </c:pt>
                <c:pt idx="294">
                  <c:v>43868</c:v>
                </c:pt>
                <c:pt idx="295">
                  <c:v>43867</c:v>
                </c:pt>
                <c:pt idx="296">
                  <c:v>43866</c:v>
                </c:pt>
                <c:pt idx="297">
                  <c:v>43865</c:v>
                </c:pt>
                <c:pt idx="298">
                  <c:v>43864</c:v>
                </c:pt>
                <c:pt idx="299">
                  <c:v>43861</c:v>
                </c:pt>
                <c:pt idx="300">
                  <c:v>43860</c:v>
                </c:pt>
                <c:pt idx="301">
                  <c:v>43859</c:v>
                </c:pt>
                <c:pt idx="302">
                  <c:v>43858</c:v>
                </c:pt>
                <c:pt idx="303">
                  <c:v>43857</c:v>
                </c:pt>
                <c:pt idx="304">
                  <c:v>43854</c:v>
                </c:pt>
                <c:pt idx="305">
                  <c:v>43853</c:v>
                </c:pt>
                <c:pt idx="306">
                  <c:v>43852</c:v>
                </c:pt>
                <c:pt idx="307">
                  <c:v>43851</c:v>
                </c:pt>
                <c:pt idx="308">
                  <c:v>43850</c:v>
                </c:pt>
                <c:pt idx="309">
                  <c:v>43847</c:v>
                </c:pt>
                <c:pt idx="310">
                  <c:v>43846</c:v>
                </c:pt>
                <c:pt idx="311">
                  <c:v>43845</c:v>
                </c:pt>
                <c:pt idx="312">
                  <c:v>43844</c:v>
                </c:pt>
                <c:pt idx="313">
                  <c:v>43843</c:v>
                </c:pt>
                <c:pt idx="314">
                  <c:v>43840</c:v>
                </c:pt>
                <c:pt idx="315">
                  <c:v>43839</c:v>
                </c:pt>
                <c:pt idx="316">
                  <c:v>43838</c:v>
                </c:pt>
                <c:pt idx="317">
                  <c:v>43837</c:v>
                </c:pt>
                <c:pt idx="318">
                  <c:v>43836</c:v>
                </c:pt>
                <c:pt idx="319">
                  <c:v>43833</c:v>
                </c:pt>
                <c:pt idx="320">
                  <c:v>43832</c:v>
                </c:pt>
                <c:pt idx="321">
                  <c:v>43830</c:v>
                </c:pt>
                <c:pt idx="322">
                  <c:v>43829</c:v>
                </c:pt>
                <c:pt idx="323">
                  <c:v>43826</c:v>
                </c:pt>
                <c:pt idx="324">
                  <c:v>43823</c:v>
                </c:pt>
                <c:pt idx="325">
                  <c:v>43822</c:v>
                </c:pt>
                <c:pt idx="326">
                  <c:v>43819</c:v>
                </c:pt>
                <c:pt idx="327">
                  <c:v>43818</c:v>
                </c:pt>
                <c:pt idx="328">
                  <c:v>43817</c:v>
                </c:pt>
                <c:pt idx="329">
                  <c:v>43816</c:v>
                </c:pt>
                <c:pt idx="330">
                  <c:v>43815</c:v>
                </c:pt>
                <c:pt idx="331">
                  <c:v>43812</c:v>
                </c:pt>
                <c:pt idx="332">
                  <c:v>43811</c:v>
                </c:pt>
                <c:pt idx="333">
                  <c:v>43810</c:v>
                </c:pt>
                <c:pt idx="334">
                  <c:v>43809</c:v>
                </c:pt>
                <c:pt idx="335">
                  <c:v>43808</c:v>
                </c:pt>
                <c:pt idx="336">
                  <c:v>43805</c:v>
                </c:pt>
                <c:pt idx="337">
                  <c:v>43804</c:v>
                </c:pt>
                <c:pt idx="338">
                  <c:v>43803</c:v>
                </c:pt>
                <c:pt idx="339">
                  <c:v>43802</c:v>
                </c:pt>
                <c:pt idx="340">
                  <c:v>43801</c:v>
                </c:pt>
                <c:pt idx="341">
                  <c:v>43798</c:v>
                </c:pt>
                <c:pt idx="342">
                  <c:v>43797</c:v>
                </c:pt>
                <c:pt idx="343">
                  <c:v>43796</c:v>
                </c:pt>
                <c:pt idx="344">
                  <c:v>43795</c:v>
                </c:pt>
                <c:pt idx="345">
                  <c:v>43794</c:v>
                </c:pt>
                <c:pt idx="346">
                  <c:v>43791</c:v>
                </c:pt>
                <c:pt idx="347">
                  <c:v>43790</c:v>
                </c:pt>
                <c:pt idx="348">
                  <c:v>43789</c:v>
                </c:pt>
                <c:pt idx="349">
                  <c:v>43788</c:v>
                </c:pt>
                <c:pt idx="350">
                  <c:v>43787</c:v>
                </c:pt>
                <c:pt idx="351">
                  <c:v>43784</c:v>
                </c:pt>
                <c:pt idx="352">
                  <c:v>43783</c:v>
                </c:pt>
                <c:pt idx="353">
                  <c:v>43782</c:v>
                </c:pt>
                <c:pt idx="354">
                  <c:v>43781</c:v>
                </c:pt>
                <c:pt idx="355">
                  <c:v>43780</c:v>
                </c:pt>
                <c:pt idx="356">
                  <c:v>43777</c:v>
                </c:pt>
                <c:pt idx="357">
                  <c:v>43776</c:v>
                </c:pt>
                <c:pt idx="358">
                  <c:v>43775</c:v>
                </c:pt>
                <c:pt idx="359">
                  <c:v>43774</c:v>
                </c:pt>
                <c:pt idx="360">
                  <c:v>43773</c:v>
                </c:pt>
                <c:pt idx="361">
                  <c:v>43770</c:v>
                </c:pt>
                <c:pt idx="362">
                  <c:v>43769</c:v>
                </c:pt>
                <c:pt idx="363">
                  <c:v>43768</c:v>
                </c:pt>
                <c:pt idx="364">
                  <c:v>43767</c:v>
                </c:pt>
                <c:pt idx="365">
                  <c:v>43766</c:v>
                </c:pt>
                <c:pt idx="366">
                  <c:v>43763</c:v>
                </c:pt>
                <c:pt idx="367">
                  <c:v>43762</c:v>
                </c:pt>
                <c:pt idx="368">
                  <c:v>43761</c:v>
                </c:pt>
                <c:pt idx="369">
                  <c:v>43760</c:v>
                </c:pt>
                <c:pt idx="370">
                  <c:v>43759</c:v>
                </c:pt>
                <c:pt idx="371">
                  <c:v>43756</c:v>
                </c:pt>
                <c:pt idx="372">
                  <c:v>43755</c:v>
                </c:pt>
                <c:pt idx="373">
                  <c:v>43754</c:v>
                </c:pt>
                <c:pt idx="374">
                  <c:v>43753</c:v>
                </c:pt>
                <c:pt idx="375">
                  <c:v>43752</c:v>
                </c:pt>
                <c:pt idx="376">
                  <c:v>43749</c:v>
                </c:pt>
                <c:pt idx="377">
                  <c:v>43748</c:v>
                </c:pt>
                <c:pt idx="378">
                  <c:v>43747</c:v>
                </c:pt>
                <c:pt idx="379">
                  <c:v>43746</c:v>
                </c:pt>
                <c:pt idx="380">
                  <c:v>43745</c:v>
                </c:pt>
                <c:pt idx="381">
                  <c:v>43742</c:v>
                </c:pt>
                <c:pt idx="382">
                  <c:v>43741</c:v>
                </c:pt>
                <c:pt idx="383">
                  <c:v>43740</c:v>
                </c:pt>
                <c:pt idx="384">
                  <c:v>43739</c:v>
                </c:pt>
                <c:pt idx="385">
                  <c:v>43738</c:v>
                </c:pt>
                <c:pt idx="386">
                  <c:v>43735</c:v>
                </c:pt>
                <c:pt idx="387">
                  <c:v>43734</c:v>
                </c:pt>
                <c:pt idx="388">
                  <c:v>43733</c:v>
                </c:pt>
                <c:pt idx="389">
                  <c:v>43732</c:v>
                </c:pt>
                <c:pt idx="390">
                  <c:v>43731</c:v>
                </c:pt>
                <c:pt idx="391">
                  <c:v>43728</c:v>
                </c:pt>
                <c:pt idx="392">
                  <c:v>43727</c:v>
                </c:pt>
                <c:pt idx="393">
                  <c:v>43726</c:v>
                </c:pt>
                <c:pt idx="394">
                  <c:v>43725</c:v>
                </c:pt>
                <c:pt idx="395">
                  <c:v>43724</c:v>
                </c:pt>
                <c:pt idx="396">
                  <c:v>43721</c:v>
                </c:pt>
                <c:pt idx="397">
                  <c:v>43720</c:v>
                </c:pt>
                <c:pt idx="398">
                  <c:v>43719</c:v>
                </c:pt>
                <c:pt idx="399">
                  <c:v>43718</c:v>
                </c:pt>
                <c:pt idx="400">
                  <c:v>43717</c:v>
                </c:pt>
                <c:pt idx="401">
                  <c:v>43714</c:v>
                </c:pt>
                <c:pt idx="402">
                  <c:v>43713</c:v>
                </c:pt>
                <c:pt idx="403">
                  <c:v>43712</c:v>
                </c:pt>
                <c:pt idx="404">
                  <c:v>43711</c:v>
                </c:pt>
                <c:pt idx="405">
                  <c:v>43710</c:v>
                </c:pt>
                <c:pt idx="406">
                  <c:v>43707</c:v>
                </c:pt>
                <c:pt idx="407">
                  <c:v>43706</c:v>
                </c:pt>
                <c:pt idx="408">
                  <c:v>43705</c:v>
                </c:pt>
                <c:pt idx="409">
                  <c:v>43704</c:v>
                </c:pt>
                <c:pt idx="410">
                  <c:v>43703</c:v>
                </c:pt>
                <c:pt idx="411">
                  <c:v>43700</c:v>
                </c:pt>
                <c:pt idx="412">
                  <c:v>43699</c:v>
                </c:pt>
                <c:pt idx="413">
                  <c:v>43698</c:v>
                </c:pt>
                <c:pt idx="414">
                  <c:v>43697</c:v>
                </c:pt>
                <c:pt idx="415">
                  <c:v>43696</c:v>
                </c:pt>
                <c:pt idx="416">
                  <c:v>43693</c:v>
                </c:pt>
                <c:pt idx="417">
                  <c:v>43692</c:v>
                </c:pt>
                <c:pt idx="418">
                  <c:v>43691</c:v>
                </c:pt>
                <c:pt idx="419">
                  <c:v>43690</c:v>
                </c:pt>
                <c:pt idx="420">
                  <c:v>43689</c:v>
                </c:pt>
                <c:pt idx="421">
                  <c:v>43686</c:v>
                </c:pt>
                <c:pt idx="422">
                  <c:v>43685</c:v>
                </c:pt>
                <c:pt idx="423">
                  <c:v>43684</c:v>
                </c:pt>
                <c:pt idx="424">
                  <c:v>43683</c:v>
                </c:pt>
                <c:pt idx="425">
                  <c:v>43682</c:v>
                </c:pt>
                <c:pt idx="426">
                  <c:v>43679</c:v>
                </c:pt>
                <c:pt idx="427">
                  <c:v>43678</c:v>
                </c:pt>
                <c:pt idx="428">
                  <c:v>43677</c:v>
                </c:pt>
                <c:pt idx="429">
                  <c:v>43676</c:v>
                </c:pt>
                <c:pt idx="430">
                  <c:v>43675</c:v>
                </c:pt>
                <c:pt idx="431">
                  <c:v>43672</c:v>
                </c:pt>
                <c:pt idx="432">
                  <c:v>43671</c:v>
                </c:pt>
                <c:pt idx="433">
                  <c:v>43670</c:v>
                </c:pt>
                <c:pt idx="434">
                  <c:v>43669</c:v>
                </c:pt>
                <c:pt idx="435">
                  <c:v>43668</c:v>
                </c:pt>
                <c:pt idx="436">
                  <c:v>43665</c:v>
                </c:pt>
                <c:pt idx="437">
                  <c:v>43664</c:v>
                </c:pt>
                <c:pt idx="438">
                  <c:v>43663</c:v>
                </c:pt>
                <c:pt idx="439">
                  <c:v>43662</c:v>
                </c:pt>
                <c:pt idx="440">
                  <c:v>43661</c:v>
                </c:pt>
                <c:pt idx="441">
                  <c:v>43658</c:v>
                </c:pt>
                <c:pt idx="442">
                  <c:v>43657</c:v>
                </c:pt>
                <c:pt idx="443">
                  <c:v>43656</c:v>
                </c:pt>
                <c:pt idx="444">
                  <c:v>43655</c:v>
                </c:pt>
                <c:pt idx="445">
                  <c:v>43654</c:v>
                </c:pt>
                <c:pt idx="446">
                  <c:v>43651</c:v>
                </c:pt>
                <c:pt idx="447">
                  <c:v>43650</c:v>
                </c:pt>
                <c:pt idx="448">
                  <c:v>43649</c:v>
                </c:pt>
                <c:pt idx="449">
                  <c:v>43648</c:v>
                </c:pt>
                <c:pt idx="450">
                  <c:v>43647</c:v>
                </c:pt>
                <c:pt idx="451">
                  <c:v>43644</c:v>
                </c:pt>
                <c:pt idx="452">
                  <c:v>43643</c:v>
                </c:pt>
                <c:pt idx="453">
                  <c:v>43642</c:v>
                </c:pt>
                <c:pt idx="454">
                  <c:v>43641</c:v>
                </c:pt>
                <c:pt idx="455">
                  <c:v>43640</c:v>
                </c:pt>
                <c:pt idx="456">
                  <c:v>43637</c:v>
                </c:pt>
                <c:pt idx="457">
                  <c:v>43636</c:v>
                </c:pt>
                <c:pt idx="458">
                  <c:v>43635</c:v>
                </c:pt>
                <c:pt idx="459">
                  <c:v>43634</c:v>
                </c:pt>
                <c:pt idx="460">
                  <c:v>43633</c:v>
                </c:pt>
                <c:pt idx="461">
                  <c:v>43630</c:v>
                </c:pt>
                <c:pt idx="462">
                  <c:v>43629</c:v>
                </c:pt>
                <c:pt idx="463">
                  <c:v>43628</c:v>
                </c:pt>
                <c:pt idx="464">
                  <c:v>43627</c:v>
                </c:pt>
                <c:pt idx="465">
                  <c:v>43626</c:v>
                </c:pt>
                <c:pt idx="466">
                  <c:v>43623</c:v>
                </c:pt>
                <c:pt idx="467">
                  <c:v>43622</c:v>
                </c:pt>
                <c:pt idx="468">
                  <c:v>43621</c:v>
                </c:pt>
                <c:pt idx="469">
                  <c:v>43620</c:v>
                </c:pt>
                <c:pt idx="470">
                  <c:v>43619</c:v>
                </c:pt>
                <c:pt idx="471">
                  <c:v>43616</c:v>
                </c:pt>
                <c:pt idx="472">
                  <c:v>43615</c:v>
                </c:pt>
                <c:pt idx="473">
                  <c:v>43614</c:v>
                </c:pt>
                <c:pt idx="474">
                  <c:v>43613</c:v>
                </c:pt>
                <c:pt idx="475">
                  <c:v>43612</c:v>
                </c:pt>
                <c:pt idx="476">
                  <c:v>43609</c:v>
                </c:pt>
                <c:pt idx="477">
                  <c:v>43608</c:v>
                </c:pt>
                <c:pt idx="478">
                  <c:v>43607</c:v>
                </c:pt>
                <c:pt idx="479">
                  <c:v>43606</c:v>
                </c:pt>
                <c:pt idx="480">
                  <c:v>43605</c:v>
                </c:pt>
                <c:pt idx="481">
                  <c:v>43602</c:v>
                </c:pt>
                <c:pt idx="482">
                  <c:v>43601</c:v>
                </c:pt>
                <c:pt idx="483">
                  <c:v>43600</c:v>
                </c:pt>
                <c:pt idx="484">
                  <c:v>43599</c:v>
                </c:pt>
                <c:pt idx="485">
                  <c:v>43598</c:v>
                </c:pt>
                <c:pt idx="486">
                  <c:v>43595</c:v>
                </c:pt>
                <c:pt idx="487">
                  <c:v>43594</c:v>
                </c:pt>
                <c:pt idx="488">
                  <c:v>43593</c:v>
                </c:pt>
                <c:pt idx="489">
                  <c:v>43592</c:v>
                </c:pt>
                <c:pt idx="490">
                  <c:v>43591</c:v>
                </c:pt>
                <c:pt idx="491">
                  <c:v>43588</c:v>
                </c:pt>
                <c:pt idx="492">
                  <c:v>43587</c:v>
                </c:pt>
                <c:pt idx="493">
                  <c:v>43586</c:v>
                </c:pt>
                <c:pt idx="494">
                  <c:v>43585</c:v>
                </c:pt>
                <c:pt idx="495">
                  <c:v>43584</c:v>
                </c:pt>
                <c:pt idx="496">
                  <c:v>43581</c:v>
                </c:pt>
                <c:pt idx="497">
                  <c:v>43580</c:v>
                </c:pt>
                <c:pt idx="498">
                  <c:v>43579</c:v>
                </c:pt>
                <c:pt idx="499">
                  <c:v>43578</c:v>
                </c:pt>
                <c:pt idx="500">
                  <c:v>43573</c:v>
                </c:pt>
                <c:pt idx="501">
                  <c:v>43572</c:v>
                </c:pt>
                <c:pt idx="502">
                  <c:v>43571</c:v>
                </c:pt>
                <c:pt idx="503">
                  <c:v>43570</c:v>
                </c:pt>
                <c:pt idx="504">
                  <c:v>43567</c:v>
                </c:pt>
                <c:pt idx="505">
                  <c:v>43566</c:v>
                </c:pt>
                <c:pt idx="506">
                  <c:v>43565</c:v>
                </c:pt>
                <c:pt idx="507">
                  <c:v>43564</c:v>
                </c:pt>
                <c:pt idx="508">
                  <c:v>43563</c:v>
                </c:pt>
                <c:pt idx="509">
                  <c:v>43560</c:v>
                </c:pt>
                <c:pt idx="510">
                  <c:v>43559</c:v>
                </c:pt>
                <c:pt idx="511">
                  <c:v>43558</c:v>
                </c:pt>
                <c:pt idx="512">
                  <c:v>43557</c:v>
                </c:pt>
                <c:pt idx="513">
                  <c:v>43556</c:v>
                </c:pt>
                <c:pt idx="514">
                  <c:v>43553</c:v>
                </c:pt>
                <c:pt idx="515">
                  <c:v>43552</c:v>
                </c:pt>
                <c:pt idx="516">
                  <c:v>43551</c:v>
                </c:pt>
                <c:pt idx="517">
                  <c:v>43550</c:v>
                </c:pt>
                <c:pt idx="518">
                  <c:v>43549</c:v>
                </c:pt>
                <c:pt idx="519">
                  <c:v>43546</c:v>
                </c:pt>
                <c:pt idx="520">
                  <c:v>43545</c:v>
                </c:pt>
                <c:pt idx="521">
                  <c:v>43544</c:v>
                </c:pt>
                <c:pt idx="522">
                  <c:v>43543</c:v>
                </c:pt>
                <c:pt idx="523">
                  <c:v>43542</c:v>
                </c:pt>
                <c:pt idx="524">
                  <c:v>43539</c:v>
                </c:pt>
                <c:pt idx="525">
                  <c:v>43538</c:v>
                </c:pt>
                <c:pt idx="526">
                  <c:v>43537</c:v>
                </c:pt>
                <c:pt idx="527">
                  <c:v>43536</c:v>
                </c:pt>
                <c:pt idx="528">
                  <c:v>43535</c:v>
                </c:pt>
                <c:pt idx="529">
                  <c:v>43532</c:v>
                </c:pt>
                <c:pt idx="530">
                  <c:v>43531</c:v>
                </c:pt>
                <c:pt idx="531">
                  <c:v>43530</c:v>
                </c:pt>
                <c:pt idx="532">
                  <c:v>43529</c:v>
                </c:pt>
                <c:pt idx="533">
                  <c:v>43528</c:v>
                </c:pt>
              </c:numCache>
            </c:numRef>
          </c:cat>
          <c:val>
            <c:numRef>
              <c:f>'EUROBOND 2021 offline'!$B$25:$B$558</c:f>
              <c:numCache>
                <c:formatCode>#,##0.000</c:formatCode>
                <c:ptCount val="534"/>
                <c:pt idx="0">
                  <c:v>103.17400000000001</c:v>
                </c:pt>
                <c:pt idx="1">
                  <c:v>103.30200000000001</c:v>
                </c:pt>
                <c:pt idx="2">
                  <c:v>103.32299999999999</c:v>
                </c:pt>
                <c:pt idx="3">
                  <c:v>103.337</c:v>
                </c:pt>
                <c:pt idx="4">
                  <c:v>103.392</c:v>
                </c:pt>
                <c:pt idx="5">
                  <c:v>103.38800000000001</c:v>
                </c:pt>
                <c:pt idx="6">
                  <c:v>103.392</c:v>
                </c:pt>
                <c:pt idx="7">
                  <c:v>103.386</c:v>
                </c:pt>
                <c:pt idx="8">
                  <c:v>103.41200000000001</c:v>
                </c:pt>
                <c:pt idx="9">
                  <c:v>103.429</c:v>
                </c:pt>
                <c:pt idx="10">
                  <c:v>103.506</c:v>
                </c:pt>
                <c:pt idx="11">
                  <c:v>103.504</c:v>
                </c:pt>
                <c:pt idx="12">
                  <c:v>103.616</c:v>
                </c:pt>
                <c:pt idx="13">
                  <c:v>103.468</c:v>
                </c:pt>
                <c:pt idx="14">
                  <c:v>103.65</c:v>
                </c:pt>
                <c:pt idx="15">
                  <c:v>103.955</c:v>
                </c:pt>
                <c:pt idx="16">
                  <c:v>103.973</c:v>
                </c:pt>
                <c:pt idx="17">
                  <c:v>103.86199999999999</c:v>
                </c:pt>
                <c:pt idx="18">
                  <c:v>103.884</c:v>
                </c:pt>
                <c:pt idx="19">
                  <c:v>103.922</c:v>
                </c:pt>
                <c:pt idx="20">
                  <c:v>103.95</c:v>
                </c:pt>
                <c:pt idx="21">
                  <c:v>103.95099999999999</c:v>
                </c:pt>
                <c:pt idx="22">
                  <c:v>103.953</c:v>
                </c:pt>
                <c:pt idx="23">
                  <c:v>103.92400000000001</c:v>
                </c:pt>
                <c:pt idx="24">
                  <c:v>103.98099999999999</c:v>
                </c:pt>
                <c:pt idx="25">
                  <c:v>103.986</c:v>
                </c:pt>
                <c:pt idx="26">
                  <c:v>104.003</c:v>
                </c:pt>
                <c:pt idx="27">
                  <c:v>104.01600000000001</c:v>
                </c:pt>
                <c:pt idx="28">
                  <c:v>104.039</c:v>
                </c:pt>
                <c:pt idx="29">
                  <c:v>104.07</c:v>
                </c:pt>
                <c:pt idx="30">
                  <c:v>104.07599999999999</c:v>
                </c:pt>
                <c:pt idx="31">
                  <c:v>104.105</c:v>
                </c:pt>
                <c:pt idx="32">
                  <c:v>104.154</c:v>
                </c:pt>
                <c:pt idx="33">
                  <c:v>104.102</c:v>
                </c:pt>
                <c:pt idx="34">
                  <c:v>104.133</c:v>
                </c:pt>
                <c:pt idx="35">
                  <c:v>104.16500000000001</c:v>
                </c:pt>
                <c:pt idx="36">
                  <c:v>104.214</c:v>
                </c:pt>
                <c:pt idx="37">
                  <c:v>104.236</c:v>
                </c:pt>
                <c:pt idx="38">
                  <c:v>104.23399999999999</c:v>
                </c:pt>
                <c:pt idx="39">
                  <c:v>104.249</c:v>
                </c:pt>
                <c:pt idx="40">
                  <c:v>104.249</c:v>
                </c:pt>
                <c:pt idx="41">
                  <c:v>104.253</c:v>
                </c:pt>
                <c:pt idx="42">
                  <c:v>104.254</c:v>
                </c:pt>
                <c:pt idx="43">
                  <c:v>104.256</c:v>
                </c:pt>
                <c:pt idx="44">
                  <c:v>104.29900000000001</c:v>
                </c:pt>
                <c:pt idx="45">
                  <c:v>104.312</c:v>
                </c:pt>
                <c:pt idx="46">
                  <c:v>104.301</c:v>
                </c:pt>
                <c:pt idx="47">
                  <c:v>104.271</c:v>
                </c:pt>
                <c:pt idx="48">
                  <c:v>104.26600000000001</c:v>
                </c:pt>
                <c:pt idx="49">
                  <c:v>104.319</c:v>
                </c:pt>
                <c:pt idx="50">
                  <c:v>104.348</c:v>
                </c:pt>
                <c:pt idx="51">
                  <c:v>104.393</c:v>
                </c:pt>
                <c:pt idx="52">
                  <c:v>104.384</c:v>
                </c:pt>
                <c:pt idx="53">
                  <c:v>104.47799999999999</c:v>
                </c:pt>
                <c:pt idx="54">
                  <c:v>104.526</c:v>
                </c:pt>
                <c:pt idx="55">
                  <c:v>104.583</c:v>
                </c:pt>
                <c:pt idx="56">
                  <c:v>104.607</c:v>
                </c:pt>
                <c:pt idx="57">
                  <c:v>104.672</c:v>
                </c:pt>
                <c:pt idx="58">
                  <c:v>104.687</c:v>
                </c:pt>
                <c:pt idx="59">
                  <c:v>104.69199999999999</c:v>
                </c:pt>
                <c:pt idx="60">
                  <c:v>104.833</c:v>
                </c:pt>
                <c:pt idx="61">
                  <c:v>104.88200000000001</c:v>
                </c:pt>
                <c:pt idx="62">
                  <c:v>104.91500000000001</c:v>
                </c:pt>
                <c:pt idx="63">
                  <c:v>104.916</c:v>
                </c:pt>
                <c:pt idx="64">
                  <c:v>104.937</c:v>
                </c:pt>
                <c:pt idx="65">
                  <c:v>104.935</c:v>
                </c:pt>
                <c:pt idx="66">
                  <c:v>104.854</c:v>
                </c:pt>
                <c:pt idx="67">
                  <c:v>104.90600000000001</c:v>
                </c:pt>
                <c:pt idx="68">
                  <c:v>104.955</c:v>
                </c:pt>
                <c:pt idx="69">
                  <c:v>104.961</c:v>
                </c:pt>
                <c:pt idx="70">
                  <c:v>105.017</c:v>
                </c:pt>
                <c:pt idx="71">
                  <c:v>105.161</c:v>
                </c:pt>
                <c:pt idx="72">
                  <c:v>105.154</c:v>
                </c:pt>
                <c:pt idx="73">
                  <c:v>105.179</c:v>
                </c:pt>
                <c:pt idx="74">
                  <c:v>105.19</c:v>
                </c:pt>
                <c:pt idx="75">
                  <c:v>105.187</c:v>
                </c:pt>
                <c:pt idx="76">
                  <c:v>105.16</c:v>
                </c:pt>
                <c:pt idx="77">
                  <c:v>105.16200000000001</c:v>
                </c:pt>
                <c:pt idx="78">
                  <c:v>105.193</c:v>
                </c:pt>
                <c:pt idx="79">
                  <c:v>105.232</c:v>
                </c:pt>
                <c:pt idx="80">
                  <c:v>105.22799999999999</c:v>
                </c:pt>
                <c:pt idx="81">
                  <c:v>105.392</c:v>
                </c:pt>
                <c:pt idx="82">
                  <c:v>105.426</c:v>
                </c:pt>
                <c:pt idx="83">
                  <c:v>105.51300000000001</c:v>
                </c:pt>
                <c:pt idx="84">
                  <c:v>105.515</c:v>
                </c:pt>
                <c:pt idx="85">
                  <c:v>105.51600000000001</c:v>
                </c:pt>
                <c:pt idx="86">
                  <c:v>105.544</c:v>
                </c:pt>
                <c:pt idx="87">
                  <c:v>105.51900000000001</c:v>
                </c:pt>
                <c:pt idx="88">
                  <c:v>105.518</c:v>
                </c:pt>
                <c:pt idx="89">
                  <c:v>105.523</c:v>
                </c:pt>
                <c:pt idx="90">
                  <c:v>105.53700000000001</c:v>
                </c:pt>
                <c:pt idx="91">
                  <c:v>105.624</c:v>
                </c:pt>
                <c:pt idx="92">
                  <c:v>105.557</c:v>
                </c:pt>
                <c:pt idx="93">
                  <c:v>105.557</c:v>
                </c:pt>
                <c:pt idx="94">
                  <c:v>105.559</c:v>
                </c:pt>
                <c:pt idx="95">
                  <c:v>105.55500000000001</c:v>
                </c:pt>
                <c:pt idx="96">
                  <c:v>105.431</c:v>
                </c:pt>
                <c:pt idx="97">
                  <c:v>105.48</c:v>
                </c:pt>
                <c:pt idx="98">
                  <c:v>105.5</c:v>
                </c:pt>
                <c:pt idx="99">
                  <c:v>105.563</c:v>
                </c:pt>
                <c:pt idx="100">
                  <c:v>105.602</c:v>
                </c:pt>
                <c:pt idx="101">
                  <c:v>105.587</c:v>
                </c:pt>
                <c:pt idx="102">
                  <c:v>105.63800000000001</c:v>
                </c:pt>
                <c:pt idx="103">
                  <c:v>105.64</c:v>
                </c:pt>
                <c:pt idx="104">
                  <c:v>105.642</c:v>
                </c:pt>
                <c:pt idx="105">
                  <c:v>105.655</c:v>
                </c:pt>
                <c:pt idx="106">
                  <c:v>105.7</c:v>
                </c:pt>
                <c:pt idx="107">
                  <c:v>105.754</c:v>
                </c:pt>
                <c:pt idx="108">
                  <c:v>105.791</c:v>
                </c:pt>
                <c:pt idx="109">
                  <c:v>105.806</c:v>
                </c:pt>
                <c:pt idx="110">
                  <c:v>105.809</c:v>
                </c:pt>
                <c:pt idx="111">
                  <c:v>105.73399999999999</c:v>
                </c:pt>
                <c:pt idx="112">
                  <c:v>105.815</c:v>
                </c:pt>
                <c:pt idx="113">
                  <c:v>105.828</c:v>
                </c:pt>
                <c:pt idx="114">
                  <c:v>105.848</c:v>
                </c:pt>
                <c:pt idx="115">
                  <c:v>105.81399999999999</c:v>
                </c:pt>
                <c:pt idx="116">
                  <c:v>105.88500000000001</c:v>
                </c:pt>
                <c:pt idx="117">
                  <c:v>105.884</c:v>
                </c:pt>
                <c:pt idx="118">
                  <c:v>105.872</c:v>
                </c:pt>
                <c:pt idx="119">
                  <c:v>105.92400000000001</c:v>
                </c:pt>
                <c:pt idx="120">
                  <c:v>105.919</c:v>
                </c:pt>
                <c:pt idx="121">
                  <c:v>105.91500000000001</c:v>
                </c:pt>
                <c:pt idx="122">
                  <c:v>105.907</c:v>
                </c:pt>
                <c:pt idx="123">
                  <c:v>105.935</c:v>
                </c:pt>
                <c:pt idx="124">
                  <c:v>105.941</c:v>
                </c:pt>
                <c:pt idx="125">
                  <c:v>105.93600000000001</c:v>
                </c:pt>
                <c:pt idx="126">
                  <c:v>105.938</c:v>
                </c:pt>
                <c:pt idx="127">
                  <c:v>105.95399999999999</c:v>
                </c:pt>
                <c:pt idx="128">
                  <c:v>105.958</c:v>
                </c:pt>
                <c:pt idx="129">
                  <c:v>105.97799999999999</c:v>
                </c:pt>
                <c:pt idx="130">
                  <c:v>106.004</c:v>
                </c:pt>
                <c:pt idx="131">
                  <c:v>105.968</c:v>
                </c:pt>
                <c:pt idx="132">
                  <c:v>106.008</c:v>
                </c:pt>
                <c:pt idx="133">
                  <c:v>106.06100000000001</c:v>
                </c:pt>
                <c:pt idx="134">
                  <c:v>106.02200000000001</c:v>
                </c:pt>
                <c:pt idx="135">
                  <c:v>106.02500000000001</c:v>
                </c:pt>
                <c:pt idx="136">
                  <c:v>106.048</c:v>
                </c:pt>
                <c:pt idx="137">
                  <c:v>106.14400000000001</c:v>
                </c:pt>
                <c:pt idx="138">
                  <c:v>106.08799999999999</c:v>
                </c:pt>
                <c:pt idx="139">
                  <c:v>106.128</c:v>
                </c:pt>
                <c:pt idx="140">
                  <c:v>106.137</c:v>
                </c:pt>
                <c:pt idx="141">
                  <c:v>106.17400000000001</c:v>
                </c:pt>
                <c:pt idx="142">
                  <c:v>106.179</c:v>
                </c:pt>
                <c:pt idx="143">
                  <c:v>106.146</c:v>
                </c:pt>
                <c:pt idx="144">
                  <c:v>106.154</c:v>
                </c:pt>
                <c:pt idx="145">
                  <c:v>106.10599999999999</c:v>
                </c:pt>
                <c:pt idx="146">
                  <c:v>106.208</c:v>
                </c:pt>
                <c:pt idx="147">
                  <c:v>106.176</c:v>
                </c:pt>
                <c:pt idx="148">
                  <c:v>106.176</c:v>
                </c:pt>
                <c:pt idx="149">
                  <c:v>106.167</c:v>
                </c:pt>
                <c:pt idx="150">
                  <c:v>106.28700000000001</c:v>
                </c:pt>
                <c:pt idx="151">
                  <c:v>106.241</c:v>
                </c:pt>
                <c:pt idx="152">
                  <c:v>106.40600000000001</c:v>
                </c:pt>
                <c:pt idx="153">
                  <c:v>106.426</c:v>
                </c:pt>
                <c:pt idx="154">
                  <c:v>106.423</c:v>
                </c:pt>
                <c:pt idx="155">
                  <c:v>106.444</c:v>
                </c:pt>
                <c:pt idx="156">
                  <c:v>106.43</c:v>
                </c:pt>
                <c:pt idx="157">
                  <c:v>106.45099999999999</c:v>
                </c:pt>
                <c:pt idx="158">
                  <c:v>106.45399999999999</c:v>
                </c:pt>
                <c:pt idx="159">
                  <c:v>106.434</c:v>
                </c:pt>
                <c:pt idx="160">
                  <c:v>106.476</c:v>
                </c:pt>
                <c:pt idx="161">
                  <c:v>106.523</c:v>
                </c:pt>
                <c:pt idx="162">
                  <c:v>106.506</c:v>
                </c:pt>
                <c:pt idx="163">
                  <c:v>106.521</c:v>
                </c:pt>
                <c:pt idx="164">
                  <c:v>106.596</c:v>
                </c:pt>
                <c:pt idx="165">
                  <c:v>106.545</c:v>
                </c:pt>
                <c:pt idx="166">
                  <c:v>106.54900000000001</c:v>
                </c:pt>
                <c:pt idx="167">
                  <c:v>106.518</c:v>
                </c:pt>
                <c:pt idx="168">
                  <c:v>106.56100000000001</c:v>
                </c:pt>
                <c:pt idx="169">
                  <c:v>106.554</c:v>
                </c:pt>
                <c:pt idx="170">
                  <c:v>106.536</c:v>
                </c:pt>
                <c:pt idx="171">
                  <c:v>106.596</c:v>
                </c:pt>
                <c:pt idx="172">
                  <c:v>106.605</c:v>
                </c:pt>
                <c:pt idx="173">
                  <c:v>106.625</c:v>
                </c:pt>
                <c:pt idx="174">
                  <c:v>106.624</c:v>
                </c:pt>
                <c:pt idx="175">
                  <c:v>106.63200000000001</c:v>
                </c:pt>
                <c:pt idx="176">
                  <c:v>106.639</c:v>
                </c:pt>
                <c:pt idx="177">
                  <c:v>106.69199999999999</c:v>
                </c:pt>
                <c:pt idx="178">
                  <c:v>106.643</c:v>
                </c:pt>
                <c:pt idx="179">
                  <c:v>106.623</c:v>
                </c:pt>
                <c:pt idx="180">
                  <c:v>106.623</c:v>
                </c:pt>
                <c:pt idx="181">
                  <c:v>106.60299999999999</c:v>
                </c:pt>
                <c:pt idx="182">
                  <c:v>106.58799999999999</c:v>
                </c:pt>
                <c:pt idx="183">
                  <c:v>106.587</c:v>
                </c:pt>
                <c:pt idx="184">
                  <c:v>106.589</c:v>
                </c:pt>
                <c:pt idx="185">
                  <c:v>106.577</c:v>
                </c:pt>
                <c:pt idx="186">
                  <c:v>106.577</c:v>
                </c:pt>
                <c:pt idx="187">
                  <c:v>106.64</c:v>
                </c:pt>
                <c:pt idx="188">
                  <c:v>106.694</c:v>
                </c:pt>
                <c:pt idx="189">
                  <c:v>106.699</c:v>
                </c:pt>
                <c:pt idx="190">
                  <c:v>106.69499999999999</c:v>
                </c:pt>
                <c:pt idx="191">
                  <c:v>106.651</c:v>
                </c:pt>
                <c:pt idx="192">
                  <c:v>106.67100000000001</c:v>
                </c:pt>
                <c:pt idx="193">
                  <c:v>106.64</c:v>
                </c:pt>
                <c:pt idx="194">
                  <c:v>106.64700000000001</c:v>
                </c:pt>
                <c:pt idx="195">
                  <c:v>106.59699999999999</c:v>
                </c:pt>
                <c:pt idx="196">
                  <c:v>106.56699999999999</c:v>
                </c:pt>
                <c:pt idx="197">
                  <c:v>106.532</c:v>
                </c:pt>
                <c:pt idx="198">
                  <c:v>106.547</c:v>
                </c:pt>
                <c:pt idx="199">
                  <c:v>106.48099999999999</c:v>
                </c:pt>
                <c:pt idx="200">
                  <c:v>106.479</c:v>
                </c:pt>
                <c:pt idx="201">
                  <c:v>106.46899999999999</c:v>
                </c:pt>
                <c:pt idx="202">
                  <c:v>106.473</c:v>
                </c:pt>
                <c:pt idx="203">
                  <c:v>106.473</c:v>
                </c:pt>
                <c:pt idx="204">
                  <c:v>106.435</c:v>
                </c:pt>
                <c:pt idx="205">
                  <c:v>106.377</c:v>
                </c:pt>
                <c:pt idx="206">
                  <c:v>106.485</c:v>
                </c:pt>
                <c:pt idx="207">
                  <c:v>106.46899999999999</c:v>
                </c:pt>
                <c:pt idx="208">
                  <c:v>106.46599999999999</c:v>
                </c:pt>
                <c:pt idx="209">
                  <c:v>106.526</c:v>
                </c:pt>
                <c:pt idx="210">
                  <c:v>106.54</c:v>
                </c:pt>
                <c:pt idx="211">
                  <c:v>106.53100000000001</c:v>
                </c:pt>
                <c:pt idx="212">
                  <c:v>106.51300000000001</c:v>
                </c:pt>
                <c:pt idx="213">
                  <c:v>106.611</c:v>
                </c:pt>
                <c:pt idx="214">
                  <c:v>106.64400000000001</c:v>
                </c:pt>
                <c:pt idx="215">
                  <c:v>106.60899999999999</c:v>
                </c:pt>
                <c:pt idx="216">
                  <c:v>106.58</c:v>
                </c:pt>
                <c:pt idx="217">
                  <c:v>106.371</c:v>
                </c:pt>
                <c:pt idx="218">
                  <c:v>106.215</c:v>
                </c:pt>
                <c:pt idx="219">
                  <c:v>106.11499999999999</c:v>
                </c:pt>
                <c:pt idx="220">
                  <c:v>105.85599999999999</c:v>
                </c:pt>
                <c:pt idx="221">
                  <c:v>105.922</c:v>
                </c:pt>
                <c:pt idx="222">
                  <c:v>105.846</c:v>
                </c:pt>
                <c:pt idx="223">
                  <c:v>105.77200000000001</c:v>
                </c:pt>
                <c:pt idx="224">
                  <c:v>105.729</c:v>
                </c:pt>
                <c:pt idx="225">
                  <c:v>105.714</c:v>
                </c:pt>
                <c:pt idx="226">
                  <c:v>105.624</c:v>
                </c:pt>
                <c:pt idx="227">
                  <c:v>105.64</c:v>
                </c:pt>
                <c:pt idx="228">
                  <c:v>105.691</c:v>
                </c:pt>
                <c:pt idx="229">
                  <c:v>105.7</c:v>
                </c:pt>
                <c:pt idx="230">
                  <c:v>105.575</c:v>
                </c:pt>
                <c:pt idx="231">
                  <c:v>105.325</c:v>
                </c:pt>
                <c:pt idx="232">
                  <c:v>105.17</c:v>
                </c:pt>
                <c:pt idx="233">
                  <c:v>105.04900000000001</c:v>
                </c:pt>
                <c:pt idx="234">
                  <c:v>105.188</c:v>
                </c:pt>
                <c:pt idx="235">
                  <c:v>105.02</c:v>
                </c:pt>
                <c:pt idx="236">
                  <c:v>105.039</c:v>
                </c:pt>
                <c:pt idx="237">
                  <c:v>104.899</c:v>
                </c:pt>
                <c:pt idx="238">
                  <c:v>104.828</c:v>
                </c:pt>
                <c:pt idx="239">
                  <c:v>104.613</c:v>
                </c:pt>
                <c:pt idx="240">
                  <c:v>104.71599999999999</c:v>
                </c:pt>
                <c:pt idx="241">
                  <c:v>104.788</c:v>
                </c:pt>
                <c:pt idx="242">
                  <c:v>104.79900000000001</c:v>
                </c:pt>
                <c:pt idx="243">
                  <c:v>104.797</c:v>
                </c:pt>
                <c:pt idx="244">
                  <c:v>104.828</c:v>
                </c:pt>
                <c:pt idx="245">
                  <c:v>104.899</c:v>
                </c:pt>
                <c:pt idx="246">
                  <c:v>105.02500000000001</c:v>
                </c:pt>
                <c:pt idx="247">
                  <c:v>105.03100000000001</c:v>
                </c:pt>
                <c:pt idx="248">
                  <c:v>105.024</c:v>
                </c:pt>
                <c:pt idx="249">
                  <c:v>104.84699999999999</c:v>
                </c:pt>
                <c:pt idx="250">
                  <c:v>104.63200000000001</c:v>
                </c:pt>
                <c:pt idx="251">
                  <c:v>104.64400000000001</c:v>
                </c:pt>
                <c:pt idx="252">
                  <c:v>104.654</c:v>
                </c:pt>
                <c:pt idx="253">
                  <c:v>104.679</c:v>
                </c:pt>
                <c:pt idx="254">
                  <c:v>104.90900000000001</c:v>
                </c:pt>
                <c:pt idx="255">
                  <c:v>104.90300000000001</c:v>
                </c:pt>
                <c:pt idx="256">
                  <c:v>104.952</c:v>
                </c:pt>
                <c:pt idx="257">
                  <c:v>104.994</c:v>
                </c:pt>
                <c:pt idx="258">
                  <c:v>105.04600000000001</c:v>
                </c:pt>
                <c:pt idx="259">
                  <c:v>105.14100000000001</c:v>
                </c:pt>
                <c:pt idx="260">
                  <c:v>105.16200000000001</c:v>
                </c:pt>
                <c:pt idx="261">
                  <c:v>105.19499999999999</c:v>
                </c:pt>
                <c:pt idx="262">
                  <c:v>105.357</c:v>
                </c:pt>
                <c:pt idx="263">
                  <c:v>105.952</c:v>
                </c:pt>
                <c:pt idx="264">
                  <c:v>106.19199999999999</c:v>
                </c:pt>
                <c:pt idx="265">
                  <c:v>106.55500000000001</c:v>
                </c:pt>
                <c:pt idx="266">
                  <c:v>106.789</c:v>
                </c:pt>
                <c:pt idx="267">
                  <c:v>107.121</c:v>
                </c:pt>
                <c:pt idx="268">
                  <c:v>107.473</c:v>
                </c:pt>
                <c:pt idx="269">
                  <c:v>107.971</c:v>
                </c:pt>
                <c:pt idx="270">
                  <c:v>108.23099999999999</c:v>
                </c:pt>
                <c:pt idx="271">
                  <c:v>108.355</c:v>
                </c:pt>
                <c:pt idx="272">
                  <c:v>108.539</c:v>
                </c:pt>
                <c:pt idx="273">
                  <c:v>108.593</c:v>
                </c:pt>
                <c:pt idx="274">
                  <c:v>108.57899999999999</c:v>
                </c:pt>
                <c:pt idx="275">
                  <c:v>108.634</c:v>
                </c:pt>
                <c:pt idx="276">
                  <c:v>108.569</c:v>
                </c:pt>
                <c:pt idx="277">
                  <c:v>108.458</c:v>
                </c:pt>
                <c:pt idx="278">
                  <c:v>108.267</c:v>
                </c:pt>
                <c:pt idx="279">
                  <c:v>108.336</c:v>
                </c:pt>
                <c:pt idx="280">
                  <c:v>108.35899999999999</c:v>
                </c:pt>
                <c:pt idx="281">
                  <c:v>108.395</c:v>
                </c:pt>
                <c:pt idx="282">
                  <c:v>108.405</c:v>
                </c:pt>
                <c:pt idx="283">
                  <c:v>108.40600000000001</c:v>
                </c:pt>
                <c:pt idx="284">
                  <c:v>108.392</c:v>
                </c:pt>
                <c:pt idx="285">
                  <c:v>108.40600000000001</c:v>
                </c:pt>
                <c:pt idx="286">
                  <c:v>108.425</c:v>
                </c:pt>
                <c:pt idx="287">
                  <c:v>108.425</c:v>
                </c:pt>
                <c:pt idx="288">
                  <c:v>108.38800000000001</c:v>
                </c:pt>
                <c:pt idx="289">
                  <c:v>108.426</c:v>
                </c:pt>
                <c:pt idx="290">
                  <c:v>108.428</c:v>
                </c:pt>
                <c:pt idx="291">
                  <c:v>108.42400000000001</c:v>
                </c:pt>
                <c:pt idx="292">
                  <c:v>108.438</c:v>
                </c:pt>
                <c:pt idx="293">
                  <c:v>108.488</c:v>
                </c:pt>
                <c:pt idx="294">
                  <c:v>108.488</c:v>
                </c:pt>
                <c:pt idx="295">
                  <c:v>108.512</c:v>
                </c:pt>
                <c:pt idx="296">
                  <c:v>108.51900000000001</c:v>
                </c:pt>
                <c:pt idx="297">
                  <c:v>108.562</c:v>
                </c:pt>
                <c:pt idx="298">
                  <c:v>108.551</c:v>
                </c:pt>
                <c:pt idx="299">
                  <c:v>108.60599999999999</c:v>
                </c:pt>
                <c:pt idx="300">
                  <c:v>108.587</c:v>
                </c:pt>
                <c:pt idx="301">
                  <c:v>108.587</c:v>
                </c:pt>
                <c:pt idx="302">
                  <c:v>108.575</c:v>
                </c:pt>
                <c:pt idx="303">
                  <c:v>108.596</c:v>
                </c:pt>
                <c:pt idx="304">
                  <c:v>108.666</c:v>
                </c:pt>
                <c:pt idx="305">
                  <c:v>108.7</c:v>
                </c:pt>
                <c:pt idx="306">
                  <c:v>108.7</c:v>
                </c:pt>
                <c:pt idx="307">
                  <c:v>108.72499999999999</c:v>
                </c:pt>
                <c:pt idx="308">
                  <c:v>108.66200000000001</c:v>
                </c:pt>
                <c:pt idx="309">
                  <c:v>108.72499999999999</c:v>
                </c:pt>
                <c:pt idx="310">
                  <c:v>108.783</c:v>
                </c:pt>
                <c:pt idx="311">
                  <c:v>108.8</c:v>
                </c:pt>
                <c:pt idx="312">
                  <c:v>108.8</c:v>
                </c:pt>
                <c:pt idx="313">
                  <c:v>108.8</c:v>
                </c:pt>
                <c:pt idx="314">
                  <c:v>108.849</c:v>
                </c:pt>
                <c:pt idx="315">
                  <c:v>108.908</c:v>
                </c:pt>
                <c:pt idx="316">
                  <c:v>108.902</c:v>
                </c:pt>
                <c:pt idx="317">
                  <c:v>108.929</c:v>
                </c:pt>
                <c:pt idx="318">
                  <c:v>108.9</c:v>
                </c:pt>
                <c:pt idx="319">
                  <c:v>108.9</c:v>
                </c:pt>
                <c:pt idx="320">
                  <c:v>108.996</c:v>
                </c:pt>
                <c:pt idx="321">
                  <c:v>108.994</c:v>
                </c:pt>
                <c:pt idx="322">
                  <c:v>108.994</c:v>
                </c:pt>
                <c:pt idx="323">
                  <c:v>109.11499999999999</c:v>
                </c:pt>
                <c:pt idx="324">
                  <c:v>109.14400000000001</c:v>
                </c:pt>
                <c:pt idx="325">
                  <c:v>109.087</c:v>
                </c:pt>
                <c:pt idx="326">
                  <c:v>109.09399999999999</c:v>
                </c:pt>
                <c:pt idx="327">
                  <c:v>109.05800000000001</c:v>
                </c:pt>
                <c:pt idx="328">
                  <c:v>109.063</c:v>
                </c:pt>
                <c:pt idx="329">
                  <c:v>109.06100000000001</c:v>
                </c:pt>
                <c:pt idx="330">
                  <c:v>109.059</c:v>
                </c:pt>
                <c:pt idx="331">
                  <c:v>108.95</c:v>
                </c:pt>
                <c:pt idx="332">
                  <c:v>108.95</c:v>
                </c:pt>
                <c:pt idx="333">
                  <c:v>109.104</c:v>
                </c:pt>
                <c:pt idx="334">
                  <c:v>109.063</c:v>
                </c:pt>
                <c:pt idx="335">
                  <c:v>109.125</c:v>
                </c:pt>
                <c:pt idx="336">
                  <c:v>109.152</c:v>
                </c:pt>
                <c:pt idx="337">
                  <c:v>109.151</c:v>
                </c:pt>
                <c:pt idx="338">
                  <c:v>109.149</c:v>
                </c:pt>
                <c:pt idx="339">
                  <c:v>109.143</c:v>
                </c:pt>
                <c:pt idx="340">
                  <c:v>109.166</c:v>
                </c:pt>
                <c:pt idx="341">
                  <c:v>109.22</c:v>
                </c:pt>
                <c:pt idx="342">
                  <c:v>109.24299999999999</c:v>
                </c:pt>
                <c:pt idx="343">
                  <c:v>109.23399999999999</c:v>
                </c:pt>
                <c:pt idx="344">
                  <c:v>109.24</c:v>
                </c:pt>
                <c:pt idx="345">
                  <c:v>109.25</c:v>
                </c:pt>
                <c:pt idx="346">
                  <c:v>109.26600000000001</c:v>
                </c:pt>
                <c:pt idx="347">
                  <c:v>109.255</c:v>
                </c:pt>
                <c:pt idx="348">
                  <c:v>109.261</c:v>
                </c:pt>
                <c:pt idx="349">
                  <c:v>109.261</c:v>
                </c:pt>
                <c:pt idx="350">
                  <c:v>109.202</c:v>
                </c:pt>
                <c:pt idx="351">
                  <c:v>109.123</c:v>
                </c:pt>
                <c:pt idx="352">
                  <c:v>109.125</c:v>
                </c:pt>
                <c:pt idx="353">
                  <c:v>109.117</c:v>
                </c:pt>
                <c:pt idx="354">
                  <c:v>109.13</c:v>
                </c:pt>
                <c:pt idx="355">
                  <c:v>109.123</c:v>
                </c:pt>
                <c:pt idx="356">
                  <c:v>109.166</c:v>
                </c:pt>
                <c:pt idx="357">
                  <c:v>109.259</c:v>
                </c:pt>
                <c:pt idx="358">
                  <c:v>109.294</c:v>
                </c:pt>
                <c:pt idx="359">
                  <c:v>109.28100000000001</c:v>
                </c:pt>
                <c:pt idx="360">
                  <c:v>109.28400000000001</c:v>
                </c:pt>
                <c:pt idx="361">
                  <c:v>109.31399999999999</c:v>
                </c:pt>
                <c:pt idx="362">
                  <c:v>109.29900000000001</c:v>
                </c:pt>
                <c:pt idx="363">
                  <c:v>109.288</c:v>
                </c:pt>
                <c:pt idx="364">
                  <c:v>109.279</c:v>
                </c:pt>
                <c:pt idx="365">
                  <c:v>109.241</c:v>
                </c:pt>
                <c:pt idx="366">
                  <c:v>109.233</c:v>
                </c:pt>
                <c:pt idx="367">
                  <c:v>109.286</c:v>
                </c:pt>
                <c:pt idx="368">
                  <c:v>109.298</c:v>
                </c:pt>
                <c:pt idx="369">
                  <c:v>109.267</c:v>
                </c:pt>
                <c:pt idx="370">
                  <c:v>109.315</c:v>
                </c:pt>
                <c:pt idx="371">
                  <c:v>109.316</c:v>
                </c:pt>
                <c:pt idx="372">
                  <c:v>109.38</c:v>
                </c:pt>
                <c:pt idx="373">
                  <c:v>109.38</c:v>
                </c:pt>
                <c:pt idx="374">
                  <c:v>109.399</c:v>
                </c:pt>
                <c:pt idx="375">
                  <c:v>109.51</c:v>
                </c:pt>
                <c:pt idx="376">
                  <c:v>109.482</c:v>
                </c:pt>
                <c:pt idx="377">
                  <c:v>109.473</c:v>
                </c:pt>
                <c:pt idx="378">
                  <c:v>109.476</c:v>
                </c:pt>
                <c:pt idx="379">
                  <c:v>109.49</c:v>
                </c:pt>
                <c:pt idx="380">
                  <c:v>109.47</c:v>
                </c:pt>
                <c:pt idx="381">
                  <c:v>109.521</c:v>
                </c:pt>
                <c:pt idx="382">
                  <c:v>109.47499999999999</c:v>
                </c:pt>
                <c:pt idx="383">
                  <c:v>109.452</c:v>
                </c:pt>
                <c:pt idx="384">
                  <c:v>109.426</c:v>
                </c:pt>
                <c:pt idx="385">
                  <c:v>109.44799999999999</c:v>
                </c:pt>
                <c:pt idx="386">
                  <c:v>109.44199999999999</c:v>
                </c:pt>
                <c:pt idx="387">
                  <c:v>109.44199999999999</c:v>
                </c:pt>
                <c:pt idx="388">
                  <c:v>109.461</c:v>
                </c:pt>
                <c:pt idx="389">
                  <c:v>109.518</c:v>
                </c:pt>
                <c:pt idx="390">
                  <c:v>109.45699999999999</c:v>
                </c:pt>
                <c:pt idx="391">
                  <c:v>109.47799999999999</c:v>
                </c:pt>
                <c:pt idx="392">
                  <c:v>109.422</c:v>
                </c:pt>
                <c:pt idx="393">
                  <c:v>109.41200000000001</c:v>
                </c:pt>
                <c:pt idx="394">
                  <c:v>109.477</c:v>
                </c:pt>
                <c:pt idx="395">
                  <c:v>109.477</c:v>
                </c:pt>
                <c:pt idx="396">
                  <c:v>109.392</c:v>
                </c:pt>
                <c:pt idx="397">
                  <c:v>109.56100000000001</c:v>
                </c:pt>
                <c:pt idx="398">
                  <c:v>109.52500000000001</c:v>
                </c:pt>
                <c:pt idx="399">
                  <c:v>109.602</c:v>
                </c:pt>
                <c:pt idx="400">
                  <c:v>109.7</c:v>
                </c:pt>
                <c:pt idx="401">
                  <c:v>109.703</c:v>
                </c:pt>
                <c:pt idx="402">
                  <c:v>109.709</c:v>
                </c:pt>
                <c:pt idx="403">
                  <c:v>109.694</c:v>
                </c:pt>
                <c:pt idx="404">
                  <c:v>109.611</c:v>
                </c:pt>
                <c:pt idx="405">
                  <c:v>109.61499999999999</c:v>
                </c:pt>
                <c:pt idx="406">
                  <c:v>109.596</c:v>
                </c:pt>
                <c:pt idx="407">
                  <c:v>109.563</c:v>
                </c:pt>
                <c:pt idx="408">
                  <c:v>109.57299999999999</c:v>
                </c:pt>
                <c:pt idx="409">
                  <c:v>109.56699999999999</c:v>
                </c:pt>
                <c:pt idx="410">
                  <c:v>109.482</c:v>
                </c:pt>
                <c:pt idx="411">
                  <c:v>109.566</c:v>
                </c:pt>
                <c:pt idx="412">
                  <c:v>109.547</c:v>
                </c:pt>
                <c:pt idx="413">
                  <c:v>109.535</c:v>
                </c:pt>
                <c:pt idx="414">
                  <c:v>109.55800000000001</c:v>
                </c:pt>
                <c:pt idx="415">
                  <c:v>109.617</c:v>
                </c:pt>
                <c:pt idx="416">
                  <c:v>109.621</c:v>
                </c:pt>
                <c:pt idx="417">
                  <c:v>109.601</c:v>
                </c:pt>
                <c:pt idx="418">
                  <c:v>109.54600000000001</c:v>
                </c:pt>
                <c:pt idx="419">
                  <c:v>109.536</c:v>
                </c:pt>
                <c:pt idx="420">
                  <c:v>109.508</c:v>
                </c:pt>
                <c:pt idx="421">
                  <c:v>109.604</c:v>
                </c:pt>
                <c:pt idx="422">
                  <c:v>109.467</c:v>
                </c:pt>
                <c:pt idx="423">
                  <c:v>109.483</c:v>
                </c:pt>
                <c:pt idx="424">
                  <c:v>109.465</c:v>
                </c:pt>
                <c:pt idx="425">
                  <c:v>109.57599999999999</c:v>
                </c:pt>
                <c:pt idx="426">
                  <c:v>109.533</c:v>
                </c:pt>
                <c:pt idx="427">
                  <c:v>109.554</c:v>
                </c:pt>
                <c:pt idx="428">
                  <c:v>109.488</c:v>
                </c:pt>
                <c:pt idx="429">
                  <c:v>109.518</c:v>
                </c:pt>
                <c:pt idx="430">
                  <c:v>109.55800000000001</c:v>
                </c:pt>
                <c:pt idx="431">
                  <c:v>109.578</c:v>
                </c:pt>
                <c:pt idx="432">
                  <c:v>109.598</c:v>
                </c:pt>
                <c:pt idx="433">
                  <c:v>109.60899999999999</c:v>
                </c:pt>
                <c:pt idx="434">
                  <c:v>109.602</c:v>
                </c:pt>
                <c:pt idx="435">
                  <c:v>109.616</c:v>
                </c:pt>
                <c:pt idx="436">
                  <c:v>109.59399999999999</c:v>
                </c:pt>
                <c:pt idx="437">
                  <c:v>109.649</c:v>
                </c:pt>
                <c:pt idx="438">
                  <c:v>109.627</c:v>
                </c:pt>
                <c:pt idx="439">
                  <c:v>109.616</c:v>
                </c:pt>
                <c:pt idx="440">
                  <c:v>109.688</c:v>
                </c:pt>
                <c:pt idx="441">
                  <c:v>109.595</c:v>
                </c:pt>
                <c:pt idx="442">
                  <c:v>109.59399999999999</c:v>
                </c:pt>
                <c:pt idx="443">
                  <c:v>109.619</c:v>
                </c:pt>
                <c:pt idx="444">
                  <c:v>109.637</c:v>
                </c:pt>
                <c:pt idx="445">
                  <c:v>109.68300000000001</c:v>
                </c:pt>
                <c:pt idx="446">
                  <c:v>109.702</c:v>
                </c:pt>
                <c:pt idx="447">
                  <c:v>109.72499999999999</c:v>
                </c:pt>
                <c:pt idx="448">
                  <c:v>109.75</c:v>
                </c:pt>
                <c:pt idx="449">
                  <c:v>109.744</c:v>
                </c:pt>
                <c:pt idx="450">
                  <c:v>109.712</c:v>
                </c:pt>
                <c:pt idx="451">
                  <c:v>109.721</c:v>
                </c:pt>
                <c:pt idx="452">
                  <c:v>109.70699999999999</c:v>
                </c:pt>
                <c:pt idx="453">
                  <c:v>109.721</c:v>
                </c:pt>
                <c:pt idx="454">
                  <c:v>109.904</c:v>
                </c:pt>
                <c:pt idx="455">
                  <c:v>109.952</c:v>
                </c:pt>
                <c:pt idx="456">
                  <c:v>110.027</c:v>
                </c:pt>
                <c:pt idx="457">
                  <c:v>109.99</c:v>
                </c:pt>
                <c:pt idx="458">
                  <c:v>109.785</c:v>
                </c:pt>
                <c:pt idx="459">
                  <c:v>109.767</c:v>
                </c:pt>
                <c:pt idx="460">
                  <c:v>109.733</c:v>
                </c:pt>
                <c:pt idx="461">
                  <c:v>109.71299999999999</c:v>
                </c:pt>
                <c:pt idx="462">
                  <c:v>109.72</c:v>
                </c:pt>
                <c:pt idx="463">
                  <c:v>109.69199999999999</c:v>
                </c:pt>
                <c:pt idx="464">
                  <c:v>109.63800000000001</c:v>
                </c:pt>
                <c:pt idx="465">
                  <c:v>109.569</c:v>
                </c:pt>
                <c:pt idx="466">
                  <c:v>109.417</c:v>
                </c:pt>
                <c:pt idx="467">
                  <c:v>109.315</c:v>
                </c:pt>
                <c:pt idx="468">
                  <c:v>109.28700000000001</c:v>
                </c:pt>
                <c:pt idx="469">
                  <c:v>109.09699999999999</c:v>
                </c:pt>
                <c:pt idx="470">
                  <c:v>108.949</c:v>
                </c:pt>
                <c:pt idx="471">
                  <c:v>108.964</c:v>
                </c:pt>
                <c:pt idx="472">
                  <c:v>108.946</c:v>
                </c:pt>
                <c:pt idx="473">
                  <c:v>108.92</c:v>
                </c:pt>
                <c:pt idx="474">
                  <c:v>108.908</c:v>
                </c:pt>
                <c:pt idx="475">
                  <c:v>108.861</c:v>
                </c:pt>
                <c:pt idx="476">
                  <c:v>108.908</c:v>
                </c:pt>
                <c:pt idx="477">
                  <c:v>108.971</c:v>
                </c:pt>
                <c:pt idx="478">
                  <c:v>108.938</c:v>
                </c:pt>
                <c:pt idx="479">
                  <c:v>108.938</c:v>
                </c:pt>
                <c:pt idx="480">
                  <c:v>108.87</c:v>
                </c:pt>
                <c:pt idx="481">
                  <c:v>108.887</c:v>
                </c:pt>
                <c:pt idx="482">
                  <c:v>108.952</c:v>
                </c:pt>
                <c:pt idx="483">
                  <c:v>108.932</c:v>
                </c:pt>
                <c:pt idx="484">
                  <c:v>108.983</c:v>
                </c:pt>
                <c:pt idx="485">
                  <c:v>108.965</c:v>
                </c:pt>
                <c:pt idx="486">
                  <c:v>108.94799999999999</c:v>
                </c:pt>
                <c:pt idx="487">
                  <c:v>108.952</c:v>
                </c:pt>
                <c:pt idx="488">
                  <c:v>108.96</c:v>
                </c:pt>
                <c:pt idx="489">
                  <c:v>108.958</c:v>
                </c:pt>
                <c:pt idx="490">
                  <c:v>108.983</c:v>
                </c:pt>
                <c:pt idx="491">
                  <c:v>108.94199999999999</c:v>
                </c:pt>
                <c:pt idx="492">
                  <c:v>108.94199999999999</c:v>
                </c:pt>
                <c:pt idx="493">
                  <c:v>108.952</c:v>
                </c:pt>
                <c:pt idx="494">
                  <c:v>108.919</c:v>
                </c:pt>
                <c:pt idx="495">
                  <c:v>108.83499999999999</c:v>
                </c:pt>
                <c:pt idx="496">
                  <c:v>108.813</c:v>
                </c:pt>
                <c:pt idx="497">
                  <c:v>108.78700000000001</c:v>
                </c:pt>
                <c:pt idx="498">
                  <c:v>108.804</c:v>
                </c:pt>
                <c:pt idx="499">
                  <c:v>108.767</c:v>
                </c:pt>
                <c:pt idx="500">
                  <c:v>108.747</c:v>
                </c:pt>
                <c:pt idx="501">
                  <c:v>108.65600000000001</c:v>
                </c:pt>
                <c:pt idx="502">
                  <c:v>108.68899999999999</c:v>
                </c:pt>
                <c:pt idx="503">
                  <c:v>108.675</c:v>
                </c:pt>
                <c:pt idx="504">
                  <c:v>108.68</c:v>
                </c:pt>
                <c:pt idx="505">
                  <c:v>108.69</c:v>
                </c:pt>
                <c:pt idx="506">
                  <c:v>108.70699999999999</c:v>
                </c:pt>
                <c:pt idx="507">
                  <c:v>108.726</c:v>
                </c:pt>
                <c:pt idx="508">
                  <c:v>108.736</c:v>
                </c:pt>
                <c:pt idx="509">
                  <c:v>108.755</c:v>
                </c:pt>
                <c:pt idx="510">
                  <c:v>108.76300000000001</c:v>
                </c:pt>
                <c:pt idx="511">
                  <c:v>108.748</c:v>
                </c:pt>
                <c:pt idx="512">
                  <c:v>108.68</c:v>
                </c:pt>
                <c:pt idx="513">
                  <c:v>108.762</c:v>
                </c:pt>
                <c:pt idx="514">
                  <c:v>108.72499999999999</c:v>
                </c:pt>
                <c:pt idx="515">
                  <c:v>108.702</c:v>
                </c:pt>
                <c:pt idx="516">
                  <c:v>108.72499999999999</c:v>
                </c:pt>
                <c:pt idx="517">
                  <c:v>108.759</c:v>
                </c:pt>
                <c:pt idx="518">
                  <c:v>108.61</c:v>
                </c:pt>
                <c:pt idx="519">
                  <c:v>108.607</c:v>
                </c:pt>
                <c:pt idx="520">
                  <c:v>108.53</c:v>
                </c:pt>
                <c:pt idx="521">
                  <c:v>108.47199999999999</c:v>
                </c:pt>
                <c:pt idx="522">
                  <c:v>108.399</c:v>
                </c:pt>
                <c:pt idx="523">
                  <c:v>108.425</c:v>
                </c:pt>
                <c:pt idx="524">
                  <c:v>108.425</c:v>
                </c:pt>
                <c:pt idx="525">
                  <c:v>108.43899999999999</c:v>
                </c:pt>
                <c:pt idx="526">
                  <c:v>108.389</c:v>
                </c:pt>
                <c:pt idx="527">
                  <c:v>108.482</c:v>
                </c:pt>
                <c:pt idx="528">
                  <c:v>108.477</c:v>
                </c:pt>
                <c:pt idx="529">
                  <c:v>108.438</c:v>
                </c:pt>
                <c:pt idx="530">
                  <c:v>108.483</c:v>
                </c:pt>
                <c:pt idx="531">
                  <c:v>108.417</c:v>
                </c:pt>
                <c:pt idx="532">
                  <c:v>108.417</c:v>
                </c:pt>
                <c:pt idx="533">
                  <c:v>108.504</c:v>
                </c:pt>
              </c:numCache>
            </c:numRef>
          </c:val>
          <c:extLst>
            <c:ext xmlns:c16="http://schemas.microsoft.com/office/drawing/2014/chart" uri="{C3380CC4-5D6E-409C-BE32-E72D297353CC}">
              <c16:uniqueId val="{00000000-275D-43A0-8A2E-81CC86E0B7E5}"/>
            </c:ext>
          </c:extLst>
        </c:ser>
        <c:dLbls>
          <c:showLegendKey val="0"/>
          <c:showVal val="0"/>
          <c:showCatName val="0"/>
          <c:showSerName val="0"/>
          <c:showPercent val="0"/>
          <c:showBubbleSize val="0"/>
        </c:dLbls>
        <c:axId val="1377869472"/>
        <c:axId val="1377870560"/>
      </c:areaChart>
      <c:lineChart>
        <c:grouping val="standard"/>
        <c:varyColors val="0"/>
        <c:ser>
          <c:idx val="1"/>
          <c:order val="1"/>
          <c:tx>
            <c:strRef>
              <c:f>'EUROBOND 2021 offline'!$C$4</c:f>
              <c:strCache>
                <c:ptCount val="1"/>
                <c:pt idx="0">
                  <c:v>Срењни принос до доспећа</c:v>
                </c:pt>
              </c:strCache>
            </c:strRef>
          </c:tx>
          <c:marker>
            <c:symbol val="none"/>
          </c:marker>
          <c:dLbls>
            <c:dLbl>
              <c:idx val="572"/>
              <c:layout>
                <c:manualLayout>
                  <c:x val="-6.4560639070442988E-2"/>
                  <c:y val="2.35185185185185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5D-43A0-8A2E-81CC86E0B7E5}"/>
                </c:ext>
              </c:extLst>
            </c:dLbl>
            <c:dLbl>
              <c:idx val="595"/>
              <c:layout>
                <c:manualLayout>
                  <c:x val="-6.4560639070442988E-2"/>
                  <c:y val="-3.5278395061728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75D-43A0-8A2E-81CC86E0B7E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'EUROBOND 2021 offline'!$A$25:$A$558</c:f>
              <c:numCache>
                <c:formatCode>dd\/mm\/yy</c:formatCode>
                <c:ptCount val="534"/>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pt idx="88">
                  <c:v>44160</c:v>
                </c:pt>
                <c:pt idx="89">
                  <c:v>44159</c:v>
                </c:pt>
                <c:pt idx="90">
                  <c:v>44158</c:v>
                </c:pt>
                <c:pt idx="91">
                  <c:v>44155</c:v>
                </c:pt>
                <c:pt idx="92">
                  <c:v>44154</c:v>
                </c:pt>
                <c:pt idx="93">
                  <c:v>44153</c:v>
                </c:pt>
                <c:pt idx="94">
                  <c:v>44152</c:v>
                </c:pt>
                <c:pt idx="95">
                  <c:v>44151</c:v>
                </c:pt>
                <c:pt idx="96">
                  <c:v>44148</c:v>
                </c:pt>
                <c:pt idx="97">
                  <c:v>44147</c:v>
                </c:pt>
                <c:pt idx="98">
                  <c:v>44146</c:v>
                </c:pt>
                <c:pt idx="99">
                  <c:v>44145</c:v>
                </c:pt>
                <c:pt idx="100">
                  <c:v>44144</c:v>
                </c:pt>
                <c:pt idx="101">
                  <c:v>44141</c:v>
                </c:pt>
                <c:pt idx="102">
                  <c:v>44140</c:v>
                </c:pt>
                <c:pt idx="103">
                  <c:v>44139</c:v>
                </c:pt>
                <c:pt idx="104">
                  <c:v>44138</c:v>
                </c:pt>
                <c:pt idx="105">
                  <c:v>44137</c:v>
                </c:pt>
                <c:pt idx="106">
                  <c:v>44134</c:v>
                </c:pt>
                <c:pt idx="107">
                  <c:v>44133</c:v>
                </c:pt>
                <c:pt idx="108">
                  <c:v>44132</c:v>
                </c:pt>
                <c:pt idx="109">
                  <c:v>44131</c:v>
                </c:pt>
                <c:pt idx="110">
                  <c:v>44130</c:v>
                </c:pt>
                <c:pt idx="111">
                  <c:v>44127</c:v>
                </c:pt>
                <c:pt idx="112">
                  <c:v>44126</c:v>
                </c:pt>
                <c:pt idx="113">
                  <c:v>44125</c:v>
                </c:pt>
                <c:pt idx="114">
                  <c:v>44124</c:v>
                </c:pt>
                <c:pt idx="115">
                  <c:v>44123</c:v>
                </c:pt>
                <c:pt idx="116">
                  <c:v>44120</c:v>
                </c:pt>
                <c:pt idx="117">
                  <c:v>44119</c:v>
                </c:pt>
                <c:pt idx="118">
                  <c:v>44118</c:v>
                </c:pt>
                <c:pt idx="119">
                  <c:v>44117</c:v>
                </c:pt>
                <c:pt idx="120">
                  <c:v>44116</c:v>
                </c:pt>
                <c:pt idx="121">
                  <c:v>44113</c:v>
                </c:pt>
                <c:pt idx="122">
                  <c:v>44112</c:v>
                </c:pt>
                <c:pt idx="123">
                  <c:v>44111</c:v>
                </c:pt>
                <c:pt idx="124">
                  <c:v>44110</c:v>
                </c:pt>
                <c:pt idx="125">
                  <c:v>44109</c:v>
                </c:pt>
                <c:pt idx="126">
                  <c:v>44106</c:v>
                </c:pt>
                <c:pt idx="127">
                  <c:v>44105</c:v>
                </c:pt>
                <c:pt idx="128">
                  <c:v>44104</c:v>
                </c:pt>
                <c:pt idx="129">
                  <c:v>44103</c:v>
                </c:pt>
                <c:pt idx="130">
                  <c:v>44102</c:v>
                </c:pt>
                <c:pt idx="131">
                  <c:v>44099</c:v>
                </c:pt>
                <c:pt idx="132">
                  <c:v>44098</c:v>
                </c:pt>
                <c:pt idx="133">
                  <c:v>44097</c:v>
                </c:pt>
                <c:pt idx="134">
                  <c:v>44096</c:v>
                </c:pt>
                <c:pt idx="135">
                  <c:v>44095</c:v>
                </c:pt>
                <c:pt idx="136">
                  <c:v>44092</c:v>
                </c:pt>
                <c:pt idx="137">
                  <c:v>44091</c:v>
                </c:pt>
                <c:pt idx="138">
                  <c:v>44090</c:v>
                </c:pt>
                <c:pt idx="139">
                  <c:v>44089</c:v>
                </c:pt>
                <c:pt idx="140">
                  <c:v>44088</c:v>
                </c:pt>
                <c:pt idx="141">
                  <c:v>44085</c:v>
                </c:pt>
                <c:pt idx="142">
                  <c:v>44084</c:v>
                </c:pt>
                <c:pt idx="143">
                  <c:v>44083</c:v>
                </c:pt>
                <c:pt idx="144">
                  <c:v>44082</c:v>
                </c:pt>
                <c:pt idx="145">
                  <c:v>44081</c:v>
                </c:pt>
                <c:pt idx="146">
                  <c:v>44078</c:v>
                </c:pt>
                <c:pt idx="147">
                  <c:v>44077</c:v>
                </c:pt>
                <c:pt idx="148">
                  <c:v>44076</c:v>
                </c:pt>
                <c:pt idx="149">
                  <c:v>44075</c:v>
                </c:pt>
                <c:pt idx="150">
                  <c:v>44074</c:v>
                </c:pt>
                <c:pt idx="151">
                  <c:v>44071</c:v>
                </c:pt>
                <c:pt idx="152">
                  <c:v>44070</c:v>
                </c:pt>
                <c:pt idx="153">
                  <c:v>44069</c:v>
                </c:pt>
                <c:pt idx="154">
                  <c:v>44068</c:v>
                </c:pt>
                <c:pt idx="155">
                  <c:v>44067</c:v>
                </c:pt>
                <c:pt idx="156">
                  <c:v>44064</c:v>
                </c:pt>
                <c:pt idx="157">
                  <c:v>44063</c:v>
                </c:pt>
                <c:pt idx="158">
                  <c:v>44062</c:v>
                </c:pt>
                <c:pt idx="159">
                  <c:v>44061</c:v>
                </c:pt>
                <c:pt idx="160">
                  <c:v>44060</c:v>
                </c:pt>
                <c:pt idx="161">
                  <c:v>44057</c:v>
                </c:pt>
                <c:pt idx="162">
                  <c:v>44056</c:v>
                </c:pt>
                <c:pt idx="163">
                  <c:v>44055</c:v>
                </c:pt>
                <c:pt idx="164">
                  <c:v>44054</c:v>
                </c:pt>
                <c:pt idx="165">
                  <c:v>44053</c:v>
                </c:pt>
                <c:pt idx="166">
                  <c:v>44050</c:v>
                </c:pt>
                <c:pt idx="167">
                  <c:v>44049</c:v>
                </c:pt>
                <c:pt idx="168">
                  <c:v>44048</c:v>
                </c:pt>
                <c:pt idx="169">
                  <c:v>44047</c:v>
                </c:pt>
                <c:pt idx="170">
                  <c:v>44046</c:v>
                </c:pt>
                <c:pt idx="171">
                  <c:v>44043</c:v>
                </c:pt>
                <c:pt idx="172">
                  <c:v>44042</c:v>
                </c:pt>
                <c:pt idx="173">
                  <c:v>44041</c:v>
                </c:pt>
                <c:pt idx="174">
                  <c:v>44040</c:v>
                </c:pt>
                <c:pt idx="175">
                  <c:v>44039</c:v>
                </c:pt>
                <c:pt idx="176">
                  <c:v>44036</c:v>
                </c:pt>
                <c:pt idx="177">
                  <c:v>44035</c:v>
                </c:pt>
                <c:pt idx="178">
                  <c:v>44034</c:v>
                </c:pt>
                <c:pt idx="179">
                  <c:v>44033</c:v>
                </c:pt>
                <c:pt idx="180">
                  <c:v>44032</c:v>
                </c:pt>
                <c:pt idx="181">
                  <c:v>44029</c:v>
                </c:pt>
                <c:pt idx="182">
                  <c:v>44028</c:v>
                </c:pt>
                <c:pt idx="183">
                  <c:v>44027</c:v>
                </c:pt>
                <c:pt idx="184">
                  <c:v>44026</c:v>
                </c:pt>
                <c:pt idx="185">
                  <c:v>44025</c:v>
                </c:pt>
                <c:pt idx="186">
                  <c:v>44022</c:v>
                </c:pt>
                <c:pt idx="187">
                  <c:v>44021</c:v>
                </c:pt>
                <c:pt idx="188">
                  <c:v>44020</c:v>
                </c:pt>
                <c:pt idx="189">
                  <c:v>44019</c:v>
                </c:pt>
                <c:pt idx="190">
                  <c:v>44018</c:v>
                </c:pt>
                <c:pt idx="191">
                  <c:v>44015</c:v>
                </c:pt>
                <c:pt idx="192">
                  <c:v>44014</c:v>
                </c:pt>
                <c:pt idx="193">
                  <c:v>44013</c:v>
                </c:pt>
                <c:pt idx="194">
                  <c:v>44012</c:v>
                </c:pt>
                <c:pt idx="195">
                  <c:v>44011</c:v>
                </c:pt>
                <c:pt idx="196">
                  <c:v>44008</c:v>
                </c:pt>
                <c:pt idx="197">
                  <c:v>44007</c:v>
                </c:pt>
                <c:pt idx="198">
                  <c:v>44006</c:v>
                </c:pt>
                <c:pt idx="199">
                  <c:v>44005</c:v>
                </c:pt>
                <c:pt idx="200">
                  <c:v>44004</c:v>
                </c:pt>
                <c:pt idx="201">
                  <c:v>44001</c:v>
                </c:pt>
                <c:pt idx="202">
                  <c:v>44000</c:v>
                </c:pt>
                <c:pt idx="203">
                  <c:v>43999</c:v>
                </c:pt>
                <c:pt idx="204">
                  <c:v>43998</c:v>
                </c:pt>
                <c:pt idx="205">
                  <c:v>43997</c:v>
                </c:pt>
                <c:pt idx="206">
                  <c:v>43994</c:v>
                </c:pt>
                <c:pt idx="207">
                  <c:v>43993</c:v>
                </c:pt>
                <c:pt idx="208">
                  <c:v>43992</c:v>
                </c:pt>
                <c:pt idx="209">
                  <c:v>43991</c:v>
                </c:pt>
                <c:pt idx="210">
                  <c:v>43990</c:v>
                </c:pt>
                <c:pt idx="211">
                  <c:v>43987</c:v>
                </c:pt>
                <c:pt idx="212">
                  <c:v>43986</c:v>
                </c:pt>
                <c:pt idx="213">
                  <c:v>43985</c:v>
                </c:pt>
                <c:pt idx="214">
                  <c:v>43984</c:v>
                </c:pt>
                <c:pt idx="215">
                  <c:v>43983</c:v>
                </c:pt>
                <c:pt idx="216">
                  <c:v>43980</c:v>
                </c:pt>
                <c:pt idx="217">
                  <c:v>43979</c:v>
                </c:pt>
                <c:pt idx="218">
                  <c:v>43978</c:v>
                </c:pt>
                <c:pt idx="219">
                  <c:v>43977</c:v>
                </c:pt>
                <c:pt idx="220">
                  <c:v>43976</c:v>
                </c:pt>
                <c:pt idx="221">
                  <c:v>43973</c:v>
                </c:pt>
                <c:pt idx="222">
                  <c:v>43972</c:v>
                </c:pt>
                <c:pt idx="223">
                  <c:v>43971</c:v>
                </c:pt>
                <c:pt idx="224">
                  <c:v>43970</c:v>
                </c:pt>
                <c:pt idx="225">
                  <c:v>43969</c:v>
                </c:pt>
                <c:pt idx="226">
                  <c:v>43966</c:v>
                </c:pt>
                <c:pt idx="227">
                  <c:v>43965</c:v>
                </c:pt>
                <c:pt idx="228">
                  <c:v>43964</c:v>
                </c:pt>
                <c:pt idx="229">
                  <c:v>43963</c:v>
                </c:pt>
                <c:pt idx="230">
                  <c:v>43962</c:v>
                </c:pt>
                <c:pt idx="231">
                  <c:v>43959</c:v>
                </c:pt>
                <c:pt idx="232">
                  <c:v>43958</c:v>
                </c:pt>
                <c:pt idx="233">
                  <c:v>43957</c:v>
                </c:pt>
                <c:pt idx="234">
                  <c:v>43956</c:v>
                </c:pt>
                <c:pt idx="235">
                  <c:v>43955</c:v>
                </c:pt>
                <c:pt idx="236">
                  <c:v>43952</c:v>
                </c:pt>
                <c:pt idx="237">
                  <c:v>43951</c:v>
                </c:pt>
                <c:pt idx="238">
                  <c:v>43950</c:v>
                </c:pt>
                <c:pt idx="239">
                  <c:v>43949</c:v>
                </c:pt>
                <c:pt idx="240">
                  <c:v>43948</c:v>
                </c:pt>
                <c:pt idx="241">
                  <c:v>43945</c:v>
                </c:pt>
                <c:pt idx="242">
                  <c:v>43944</c:v>
                </c:pt>
                <c:pt idx="243">
                  <c:v>43943</c:v>
                </c:pt>
                <c:pt idx="244">
                  <c:v>43942</c:v>
                </c:pt>
                <c:pt idx="245">
                  <c:v>43941</c:v>
                </c:pt>
                <c:pt idx="246">
                  <c:v>43938</c:v>
                </c:pt>
                <c:pt idx="247">
                  <c:v>43937</c:v>
                </c:pt>
                <c:pt idx="248">
                  <c:v>43936</c:v>
                </c:pt>
                <c:pt idx="249">
                  <c:v>43935</c:v>
                </c:pt>
                <c:pt idx="250">
                  <c:v>43930</c:v>
                </c:pt>
                <c:pt idx="251">
                  <c:v>43929</c:v>
                </c:pt>
                <c:pt idx="252">
                  <c:v>43928</c:v>
                </c:pt>
                <c:pt idx="253">
                  <c:v>43927</c:v>
                </c:pt>
                <c:pt idx="254">
                  <c:v>43924</c:v>
                </c:pt>
                <c:pt idx="255">
                  <c:v>43923</c:v>
                </c:pt>
                <c:pt idx="256">
                  <c:v>43922</c:v>
                </c:pt>
                <c:pt idx="257">
                  <c:v>43921</c:v>
                </c:pt>
                <c:pt idx="258">
                  <c:v>43920</c:v>
                </c:pt>
                <c:pt idx="259">
                  <c:v>43917</c:v>
                </c:pt>
                <c:pt idx="260">
                  <c:v>43916</c:v>
                </c:pt>
                <c:pt idx="261">
                  <c:v>43915</c:v>
                </c:pt>
                <c:pt idx="262">
                  <c:v>43914</c:v>
                </c:pt>
                <c:pt idx="263">
                  <c:v>43913</c:v>
                </c:pt>
                <c:pt idx="264">
                  <c:v>43910</c:v>
                </c:pt>
                <c:pt idx="265">
                  <c:v>43909</c:v>
                </c:pt>
                <c:pt idx="266">
                  <c:v>43908</c:v>
                </c:pt>
                <c:pt idx="267">
                  <c:v>43907</c:v>
                </c:pt>
                <c:pt idx="268">
                  <c:v>43906</c:v>
                </c:pt>
                <c:pt idx="269">
                  <c:v>43903</c:v>
                </c:pt>
                <c:pt idx="270">
                  <c:v>43902</c:v>
                </c:pt>
                <c:pt idx="271">
                  <c:v>43901</c:v>
                </c:pt>
                <c:pt idx="272">
                  <c:v>43900</c:v>
                </c:pt>
                <c:pt idx="273">
                  <c:v>43899</c:v>
                </c:pt>
                <c:pt idx="274">
                  <c:v>43896</c:v>
                </c:pt>
                <c:pt idx="275">
                  <c:v>43895</c:v>
                </c:pt>
                <c:pt idx="276">
                  <c:v>43894</c:v>
                </c:pt>
                <c:pt idx="277">
                  <c:v>43893</c:v>
                </c:pt>
                <c:pt idx="278">
                  <c:v>43892</c:v>
                </c:pt>
                <c:pt idx="279">
                  <c:v>43889</c:v>
                </c:pt>
                <c:pt idx="280">
                  <c:v>43888</c:v>
                </c:pt>
                <c:pt idx="281">
                  <c:v>43887</c:v>
                </c:pt>
                <c:pt idx="282">
                  <c:v>43886</c:v>
                </c:pt>
                <c:pt idx="283">
                  <c:v>43885</c:v>
                </c:pt>
                <c:pt idx="284">
                  <c:v>43882</c:v>
                </c:pt>
                <c:pt idx="285">
                  <c:v>43881</c:v>
                </c:pt>
                <c:pt idx="286">
                  <c:v>43880</c:v>
                </c:pt>
                <c:pt idx="287">
                  <c:v>43879</c:v>
                </c:pt>
                <c:pt idx="288">
                  <c:v>43878</c:v>
                </c:pt>
                <c:pt idx="289">
                  <c:v>43875</c:v>
                </c:pt>
                <c:pt idx="290">
                  <c:v>43874</c:v>
                </c:pt>
                <c:pt idx="291">
                  <c:v>43873</c:v>
                </c:pt>
                <c:pt idx="292">
                  <c:v>43872</c:v>
                </c:pt>
                <c:pt idx="293">
                  <c:v>43871</c:v>
                </c:pt>
                <c:pt idx="294">
                  <c:v>43868</c:v>
                </c:pt>
                <c:pt idx="295">
                  <c:v>43867</c:v>
                </c:pt>
                <c:pt idx="296">
                  <c:v>43866</c:v>
                </c:pt>
                <c:pt idx="297">
                  <c:v>43865</c:v>
                </c:pt>
                <c:pt idx="298">
                  <c:v>43864</c:v>
                </c:pt>
                <c:pt idx="299">
                  <c:v>43861</c:v>
                </c:pt>
                <c:pt idx="300">
                  <c:v>43860</c:v>
                </c:pt>
                <c:pt idx="301">
                  <c:v>43859</c:v>
                </c:pt>
                <c:pt idx="302">
                  <c:v>43858</c:v>
                </c:pt>
                <c:pt idx="303">
                  <c:v>43857</c:v>
                </c:pt>
                <c:pt idx="304">
                  <c:v>43854</c:v>
                </c:pt>
                <c:pt idx="305">
                  <c:v>43853</c:v>
                </c:pt>
                <c:pt idx="306">
                  <c:v>43852</c:v>
                </c:pt>
                <c:pt idx="307">
                  <c:v>43851</c:v>
                </c:pt>
                <c:pt idx="308">
                  <c:v>43850</c:v>
                </c:pt>
                <c:pt idx="309">
                  <c:v>43847</c:v>
                </c:pt>
                <c:pt idx="310">
                  <c:v>43846</c:v>
                </c:pt>
                <c:pt idx="311">
                  <c:v>43845</c:v>
                </c:pt>
                <c:pt idx="312">
                  <c:v>43844</c:v>
                </c:pt>
                <c:pt idx="313">
                  <c:v>43843</c:v>
                </c:pt>
                <c:pt idx="314">
                  <c:v>43840</c:v>
                </c:pt>
                <c:pt idx="315">
                  <c:v>43839</c:v>
                </c:pt>
                <c:pt idx="316">
                  <c:v>43838</c:v>
                </c:pt>
                <c:pt idx="317">
                  <c:v>43837</c:v>
                </c:pt>
                <c:pt idx="318">
                  <c:v>43836</c:v>
                </c:pt>
                <c:pt idx="319">
                  <c:v>43833</c:v>
                </c:pt>
                <c:pt idx="320">
                  <c:v>43832</c:v>
                </c:pt>
                <c:pt idx="321">
                  <c:v>43830</c:v>
                </c:pt>
                <c:pt idx="322">
                  <c:v>43829</c:v>
                </c:pt>
                <c:pt idx="323">
                  <c:v>43826</c:v>
                </c:pt>
                <c:pt idx="324">
                  <c:v>43823</c:v>
                </c:pt>
                <c:pt idx="325">
                  <c:v>43822</c:v>
                </c:pt>
                <c:pt idx="326">
                  <c:v>43819</c:v>
                </c:pt>
                <c:pt idx="327">
                  <c:v>43818</c:v>
                </c:pt>
                <c:pt idx="328">
                  <c:v>43817</c:v>
                </c:pt>
                <c:pt idx="329">
                  <c:v>43816</c:v>
                </c:pt>
                <c:pt idx="330">
                  <c:v>43815</c:v>
                </c:pt>
                <c:pt idx="331">
                  <c:v>43812</c:v>
                </c:pt>
                <c:pt idx="332">
                  <c:v>43811</c:v>
                </c:pt>
                <c:pt idx="333">
                  <c:v>43810</c:v>
                </c:pt>
                <c:pt idx="334">
                  <c:v>43809</c:v>
                </c:pt>
                <c:pt idx="335">
                  <c:v>43808</c:v>
                </c:pt>
                <c:pt idx="336">
                  <c:v>43805</c:v>
                </c:pt>
                <c:pt idx="337">
                  <c:v>43804</c:v>
                </c:pt>
                <c:pt idx="338">
                  <c:v>43803</c:v>
                </c:pt>
                <c:pt idx="339">
                  <c:v>43802</c:v>
                </c:pt>
                <c:pt idx="340">
                  <c:v>43801</c:v>
                </c:pt>
                <c:pt idx="341">
                  <c:v>43798</c:v>
                </c:pt>
                <c:pt idx="342">
                  <c:v>43797</c:v>
                </c:pt>
                <c:pt idx="343">
                  <c:v>43796</c:v>
                </c:pt>
                <c:pt idx="344">
                  <c:v>43795</c:v>
                </c:pt>
                <c:pt idx="345">
                  <c:v>43794</c:v>
                </c:pt>
                <c:pt idx="346">
                  <c:v>43791</c:v>
                </c:pt>
                <c:pt idx="347">
                  <c:v>43790</c:v>
                </c:pt>
                <c:pt idx="348">
                  <c:v>43789</c:v>
                </c:pt>
                <c:pt idx="349">
                  <c:v>43788</c:v>
                </c:pt>
                <c:pt idx="350">
                  <c:v>43787</c:v>
                </c:pt>
                <c:pt idx="351">
                  <c:v>43784</c:v>
                </c:pt>
                <c:pt idx="352">
                  <c:v>43783</c:v>
                </c:pt>
                <c:pt idx="353">
                  <c:v>43782</c:v>
                </c:pt>
                <c:pt idx="354">
                  <c:v>43781</c:v>
                </c:pt>
                <c:pt idx="355">
                  <c:v>43780</c:v>
                </c:pt>
                <c:pt idx="356">
                  <c:v>43777</c:v>
                </c:pt>
                <c:pt idx="357">
                  <c:v>43776</c:v>
                </c:pt>
                <c:pt idx="358">
                  <c:v>43775</c:v>
                </c:pt>
                <c:pt idx="359">
                  <c:v>43774</c:v>
                </c:pt>
                <c:pt idx="360">
                  <c:v>43773</c:v>
                </c:pt>
                <c:pt idx="361">
                  <c:v>43770</c:v>
                </c:pt>
                <c:pt idx="362">
                  <c:v>43769</c:v>
                </c:pt>
                <c:pt idx="363">
                  <c:v>43768</c:v>
                </c:pt>
                <c:pt idx="364">
                  <c:v>43767</c:v>
                </c:pt>
                <c:pt idx="365">
                  <c:v>43766</c:v>
                </c:pt>
                <c:pt idx="366">
                  <c:v>43763</c:v>
                </c:pt>
                <c:pt idx="367">
                  <c:v>43762</c:v>
                </c:pt>
                <c:pt idx="368">
                  <c:v>43761</c:v>
                </c:pt>
                <c:pt idx="369">
                  <c:v>43760</c:v>
                </c:pt>
                <c:pt idx="370">
                  <c:v>43759</c:v>
                </c:pt>
                <c:pt idx="371">
                  <c:v>43756</c:v>
                </c:pt>
                <c:pt idx="372">
                  <c:v>43755</c:v>
                </c:pt>
                <c:pt idx="373">
                  <c:v>43754</c:v>
                </c:pt>
                <c:pt idx="374">
                  <c:v>43753</c:v>
                </c:pt>
                <c:pt idx="375">
                  <c:v>43752</c:v>
                </c:pt>
                <c:pt idx="376">
                  <c:v>43749</c:v>
                </c:pt>
                <c:pt idx="377">
                  <c:v>43748</c:v>
                </c:pt>
                <c:pt idx="378">
                  <c:v>43747</c:v>
                </c:pt>
                <c:pt idx="379">
                  <c:v>43746</c:v>
                </c:pt>
                <c:pt idx="380">
                  <c:v>43745</c:v>
                </c:pt>
                <c:pt idx="381">
                  <c:v>43742</c:v>
                </c:pt>
                <c:pt idx="382">
                  <c:v>43741</c:v>
                </c:pt>
                <c:pt idx="383">
                  <c:v>43740</c:v>
                </c:pt>
                <c:pt idx="384">
                  <c:v>43739</c:v>
                </c:pt>
                <c:pt idx="385">
                  <c:v>43738</c:v>
                </c:pt>
                <c:pt idx="386">
                  <c:v>43735</c:v>
                </c:pt>
                <c:pt idx="387">
                  <c:v>43734</c:v>
                </c:pt>
                <c:pt idx="388">
                  <c:v>43733</c:v>
                </c:pt>
                <c:pt idx="389">
                  <c:v>43732</c:v>
                </c:pt>
                <c:pt idx="390">
                  <c:v>43731</c:v>
                </c:pt>
                <c:pt idx="391">
                  <c:v>43728</c:v>
                </c:pt>
                <c:pt idx="392">
                  <c:v>43727</c:v>
                </c:pt>
                <c:pt idx="393">
                  <c:v>43726</c:v>
                </c:pt>
                <c:pt idx="394">
                  <c:v>43725</c:v>
                </c:pt>
                <c:pt idx="395">
                  <c:v>43724</c:v>
                </c:pt>
                <c:pt idx="396">
                  <c:v>43721</c:v>
                </c:pt>
                <c:pt idx="397">
                  <c:v>43720</c:v>
                </c:pt>
                <c:pt idx="398">
                  <c:v>43719</c:v>
                </c:pt>
                <c:pt idx="399">
                  <c:v>43718</c:v>
                </c:pt>
                <c:pt idx="400">
                  <c:v>43717</c:v>
                </c:pt>
                <c:pt idx="401">
                  <c:v>43714</c:v>
                </c:pt>
                <c:pt idx="402">
                  <c:v>43713</c:v>
                </c:pt>
                <c:pt idx="403">
                  <c:v>43712</c:v>
                </c:pt>
                <c:pt idx="404">
                  <c:v>43711</c:v>
                </c:pt>
                <c:pt idx="405">
                  <c:v>43710</c:v>
                </c:pt>
                <c:pt idx="406">
                  <c:v>43707</c:v>
                </c:pt>
                <c:pt idx="407">
                  <c:v>43706</c:v>
                </c:pt>
                <c:pt idx="408">
                  <c:v>43705</c:v>
                </c:pt>
                <c:pt idx="409">
                  <c:v>43704</c:v>
                </c:pt>
                <c:pt idx="410">
                  <c:v>43703</c:v>
                </c:pt>
                <c:pt idx="411">
                  <c:v>43700</c:v>
                </c:pt>
                <c:pt idx="412">
                  <c:v>43699</c:v>
                </c:pt>
                <c:pt idx="413">
                  <c:v>43698</c:v>
                </c:pt>
                <c:pt idx="414">
                  <c:v>43697</c:v>
                </c:pt>
                <c:pt idx="415">
                  <c:v>43696</c:v>
                </c:pt>
                <c:pt idx="416">
                  <c:v>43693</c:v>
                </c:pt>
                <c:pt idx="417">
                  <c:v>43692</c:v>
                </c:pt>
                <c:pt idx="418">
                  <c:v>43691</c:v>
                </c:pt>
                <c:pt idx="419">
                  <c:v>43690</c:v>
                </c:pt>
                <c:pt idx="420">
                  <c:v>43689</c:v>
                </c:pt>
                <c:pt idx="421">
                  <c:v>43686</c:v>
                </c:pt>
                <c:pt idx="422">
                  <c:v>43685</c:v>
                </c:pt>
                <c:pt idx="423">
                  <c:v>43684</c:v>
                </c:pt>
                <c:pt idx="424">
                  <c:v>43683</c:v>
                </c:pt>
                <c:pt idx="425">
                  <c:v>43682</c:v>
                </c:pt>
                <c:pt idx="426">
                  <c:v>43679</c:v>
                </c:pt>
                <c:pt idx="427">
                  <c:v>43678</c:v>
                </c:pt>
                <c:pt idx="428">
                  <c:v>43677</c:v>
                </c:pt>
                <c:pt idx="429">
                  <c:v>43676</c:v>
                </c:pt>
                <c:pt idx="430">
                  <c:v>43675</c:v>
                </c:pt>
                <c:pt idx="431">
                  <c:v>43672</c:v>
                </c:pt>
                <c:pt idx="432">
                  <c:v>43671</c:v>
                </c:pt>
                <c:pt idx="433">
                  <c:v>43670</c:v>
                </c:pt>
                <c:pt idx="434">
                  <c:v>43669</c:v>
                </c:pt>
                <c:pt idx="435">
                  <c:v>43668</c:v>
                </c:pt>
                <c:pt idx="436">
                  <c:v>43665</c:v>
                </c:pt>
                <c:pt idx="437">
                  <c:v>43664</c:v>
                </c:pt>
                <c:pt idx="438">
                  <c:v>43663</c:v>
                </c:pt>
                <c:pt idx="439">
                  <c:v>43662</c:v>
                </c:pt>
                <c:pt idx="440">
                  <c:v>43661</c:v>
                </c:pt>
                <c:pt idx="441">
                  <c:v>43658</c:v>
                </c:pt>
                <c:pt idx="442">
                  <c:v>43657</c:v>
                </c:pt>
                <c:pt idx="443">
                  <c:v>43656</c:v>
                </c:pt>
                <c:pt idx="444">
                  <c:v>43655</c:v>
                </c:pt>
                <c:pt idx="445">
                  <c:v>43654</c:v>
                </c:pt>
                <c:pt idx="446">
                  <c:v>43651</c:v>
                </c:pt>
                <c:pt idx="447">
                  <c:v>43650</c:v>
                </c:pt>
                <c:pt idx="448">
                  <c:v>43649</c:v>
                </c:pt>
                <c:pt idx="449">
                  <c:v>43648</c:v>
                </c:pt>
                <c:pt idx="450">
                  <c:v>43647</c:v>
                </c:pt>
                <c:pt idx="451">
                  <c:v>43644</c:v>
                </c:pt>
                <c:pt idx="452">
                  <c:v>43643</c:v>
                </c:pt>
                <c:pt idx="453">
                  <c:v>43642</c:v>
                </c:pt>
                <c:pt idx="454">
                  <c:v>43641</c:v>
                </c:pt>
                <c:pt idx="455">
                  <c:v>43640</c:v>
                </c:pt>
                <c:pt idx="456">
                  <c:v>43637</c:v>
                </c:pt>
                <c:pt idx="457">
                  <c:v>43636</c:v>
                </c:pt>
                <c:pt idx="458">
                  <c:v>43635</c:v>
                </c:pt>
                <c:pt idx="459">
                  <c:v>43634</c:v>
                </c:pt>
                <c:pt idx="460">
                  <c:v>43633</c:v>
                </c:pt>
                <c:pt idx="461">
                  <c:v>43630</c:v>
                </c:pt>
                <c:pt idx="462">
                  <c:v>43629</c:v>
                </c:pt>
                <c:pt idx="463">
                  <c:v>43628</c:v>
                </c:pt>
                <c:pt idx="464">
                  <c:v>43627</c:v>
                </c:pt>
                <c:pt idx="465">
                  <c:v>43626</c:v>
                </c:pt>
                <c:pt idx="466">
                  <c:v>43623</c:v>
                </c:pt>
                <c:pt idx="467">
                  <c:v>43622</c:v>
                </c:pt>
                <c:pt idx="468">
                  <c:v>43621</c:v>
                </c:pt>
                <c:pt idx="469">
                  <c:v>43620</c:v>
                </c:pt>
                <c:pt idx="470">
                  <c:v>43619</c:v>
                </c:pt>
                <c:pt idx="471">
                  <c:v>43616</c:v>
                </c:pt>
                <c:pt idx="472">
                  <c:v>43615</c:v>
                </c:pt>
                <c:pt idx="473">
                  <c:v>43614</c:v>
                </c:pt>
                <c:pt idx="474">
                  <c:v>43613</c:v>
                </c:pt>
                <c:pt idx="475">
                  <c:v>43612</c:v>
                </c:pt>
                <c:pt idx="476">
                  <c:v>43609</c:v>
                </c:pt>
                <c:pt idx="477">
                  <c:v>43608</c:v>
                </c:pt>
                <c:pt idx="478">
                  <c:v>43607</c:v>
                </c:pt>
                <c:pt idx="479">
                  <c:v>43606</c:v>
                </c:pt>
                <c:pt idx="480">
                  <c:v>43605</c:v>
                </c:pt>
                <c:pt idx="481">
                  <c:v>43602</c:v>
                </c:pt>
                <c:pt idx="482">
                  <c:v>43601</c:v>
                </c:pt>
                <c:pt idx="483">
                  <c:v>43600</c:v>
                </c:pt>
                <c:pt idx="484">
                  <c:v>43599</c:v>
                </c:pt>
                <c:pt idx="485">
                  <c:v>43598</c:v>
                </c:pt>
                <c:pt idx="486">
                  <c:v>43595</c:v>
                </c:pt>
                <c:pt idx="487">
                  <c:v>43594</c:v>
                </c:pt>
                <c:pt idx="488">
                  <c:v>43593</c:v>
                </c:pt>
                <c:pt idx="489">
                  <c:v>43592</c:v>
                </c:pt>
                <c:pt idx="490">
                  <c:v>43591</c:v>
                </c:pt>
                <c:pt idx="491">
                  <c:v>43588</c:v>
                </c:pt>
                <c:pt idx="492">
                  <c:v>43587</c:v>
                </c:pt>
                <c:pt idx="493">
                  <c:v>43586</c:v>
                </c:pt>
                <c:pt idx="494">
                  <c:v>43585</c:v>
                </c:pt>
                <c:pt idx="495">
                  <c:v>43584</c:v>
                </c:pt>
                <c:pt idx="496">
                  <c:v>43581</c:v>
                </c:pt>
                <c:pt idx="497">
                  <c:v>43580</c:v>
                </c:pt>
                <c:pt idx="498">
                  <c:v>43579</c:v>
                </c:pt>
                <c:pt idx="499">
                  <c:v>43578</c:v>
                </c:pt>
                <c:pt idx="500">
                  <c:v>43573</c:v>
                </c:pt>
                <c:pt idx="501">
                  <c:v>43572</c:v>
                </c:pt>
                <c:pt idx="502">
                  <c:v>43571</c:v>
                </c:pt>
                <c:pt idx="503">
                  <c:v>43570</c:v>
                </c:pt>
                <c:pt idx="504">
                  <c:v>43567</c:v>
                </c:pt>
                <c:pt idx="505">
                  <c:v>43566</c:v>
                </c:pt>
                <c:pt idx="506">
                  <c:v>43565</c:v>
                </c:pt>
                <c:pt idx="507">
                  <c:v>43564</c:v>
                </c:pt>
                <c:pt idx="508">
                  <c:v>43563</c:v>
                </c:pt>
                <c:pt idx="509">
                  <c:v>43560</c:v>
                </c:pt>
                <c:pt idx="510">
                  <c:v>43559</c:v>
                </c:pt>
                <c:pt idx="511">
                  <c:v>43558</c:v>
                </c:pt>
                <c:pt idx="512">
                  <c:v>43557</c:v>
                </c:pt>
                <c:pt idx="513">
                  <c:v>43556</c:v>
                </c:pt>
                <c:pt idx="514">
                  <c:v>43553</c:v>
                </c:pt>
                <c:pt idx="515">
                  <c:v>43552</c:v>
                </c:pt>
                <c:pt idx="516">
                  <c:v>43551</c:v>
                </c:pt>
                <c:pt idx="517">
                  <c:v>43550</c:v>
                </c:pt>
                <c:pt idx="518">
                  <c:v>43549</c:v>
                </c:pt>
                <c:pt idx="519">
                  <c:v>43546</c:v>
                </c:pt>
                <c:pt idx="520">
                  <c:v>43545</c:v>
                </c:pt>
                <c:pt idx="521">
                  <c:v>43544</c:v>
                </c:pt>
                <c:pt idx="522">
                  <c:v>43543</c:v>
                </c:pt>
                <c:pt idx="523">
                  <c:v>43542</c:v>
                </c:pt>
                <c:pt idx="524">
                  <c:v>43539</c:v>
                </c:pt>
                <c:pt idx="525">
                  <c:v>43538</c:v>
                </c:pt>
                <c:pt idx="526">
                  <c:v>43537</c:v>
                </c:pt>
                <c:pt idx="527">
                  <c:v>43536</c:v>
                </c:pt>
                <c:pt idx="528">
                  <c:v>43535</c:v>
                </c:pt>
                <c:pt idx="529">
                  <c:v>43532</c:v>
                </c:pt>
                <c:pt idx="530">
                  <c:v>43531</c:v>
                </c:pt>
                <c:pt idx="531">
                  <c:v>43530</c:v>
                </c:pt>
                <c:pt idx="532">
                  <c:v>43529</c:v>
                </c:pt>
                <c:pt idx="533">
                  <c:v>43528</c:v>
                </c:pt>
              </c:numCache>
            </c:numRef>
          </c:cat>
          <c:val>
            <c:numRef>
              <c:f>'EUROBOND 2021 offline'!$C$25:$C$558</c:f>
              <c:numCache>
                <c:formatCode>#,##0.000</c:formatCode>
                <c:ptCount val="534"/>
                <c:pt idx="0">
                  <c:v>0.624</c:v>
                </c:pt>
                <c:pt idx="1">
                  <c:v>0.51700000000000002</c:v>
                </c:pt>
                <c:pt idx="2">
                  <c:v>0.51200000000000001</c:v>
                </c:pt>
                <c:pt idx="3">
                  <c:v>0.48499999999999999</c:v>
                </c:pt>
                <c:pt idx="4">
                  <c:v>0.41399999999999998</c:v>
                </c:pt>
                <c:pt idx="5">
                  <c:v>0.53</c:v>
                </c:pt>
                <c:pt idx="6">
                  <c:v>0.55800000000000005</c:v>
                </c:pt>
                <c:pt idx="7">
                  <c:v>0.60499999999999998</c:v>
                </c:pt>
                <c:pt idx="8">
                  <c:v>0.59</c:v>
                </c:pt>
                <c:pt idx="9">
                  <c:v>0.59299999999999997</c:v>
                </c:pt>
                <c:pt idx="10">
                  <c:v>0.55300000000000005</c:v>
                </c:pt>
                <c:pt idx="11">
                  <c:v>0.59</c:v>
                </c:pt>
                <c:pt idx="12">
                  <c:v>0.41899999999999998</c:v>
                </c:pt>
                <c:pt idx="13">
                  <c:v>0.72199999999999998</c:v>
                </c:pt>
                <c:pt idx="14">
                  <c:v>0.42599999999999999</c:v>
                </c:pt>
                <c:pt idx="15">
                  <c:v>-1.4E-2</c:v>
                </c:pt>
                <c:pt idx="16">
                  <c:v>-0.01</c:v>
                </c:pt>
                <c:pt idx="17">
                  <c:v>0.22</c:v>
                </c:pt>
                <c:pt idx="18">
                  <c:v>0.215</c:v>
                </c:pt>
                <c:pt idx="19">
                  <c:v>0.183</c:v>
                </c:pt>
                <c:pt idx="20">
                  <c:v>0.23599999999999999</c:v>
                </c:pt>
                <c:pt idx="21">
                  <c:v>0.26700000000000002</c:v>
                </c:pt>
                <c:pt idx="22">
                  <c:v>0.29699999999999999</c:v>
                </c:pt>
                <c:pt idx="23">
                  <c:v>0.378</c:v>
                </c:pt>
                <c:pt idx="24">
                  <c:v>0.314</c:v>
                </c:pt>
                <c:pt idx="25">
                  <c:v>0.46300000000000002</c:v>
                </c:pt>
                <c:pt idx="26">
                  <c:v>0.46600000000000003</c:v>
                </c:pt>
                <c:pt idx="27">
                  <c:v>0.47499999999999998</c:v>
                </c:pt>
                <c:pt idx="28">
                  <c:v>0.46899999999999997</c:v>
                </c:pt>
                <c:pt idx="29">
                  <c:v>0.44900000000000001</c:v>
                </c:pt>
                <c:pt idx="30">
                  <c:v>0.52900000000000003</c:v>
                </c:pt>
                <c:pt idx="31">
                  <c:v>0.51200000000000001</c:v>
                </c:pt>
                <c:pt idx="32">
                  <c:v>0.46500000000000002</c:v>
                </c:pt>
                <c:pt idx="33">
                  <c:v>0.54600000000000004</c:v>
                </c:pt>
                <c:pt idx="34">
                  <c:v>0.52700000000000002</c:v>
                </c:pt>
                <c:pt idx="35">
                  <c:v>0.59199999999999997</c:v>
                </c:pt>
                <c:pt idx="36">
                  <c:v>0.54500000000000004</c:v>
                </c:pt>
                <c:pt idx="37">
                  <c:v>0.54</c:v>
                </c:pt>
                <c:pt idx="38">
                  <c:v>0.57099999999999995</c:v>
                </c:pt>
                <c:pt idx="39">
                  <c:v>0.57599999999999996</c:v>
                </c:pt>
                <c:pt idx="40">
                  <c:v>0.65800000000000003</c:v>
                </c:pt>
                <c:pt idx="41">
                  <c:v>0.67900000000000005</c:v>
                </c:pt>
                <c:pt idx="42">
                  <c:v>0.70499999999999996</c:v>
                </c:pt>
                <c:pt idx="43">
                  <c:v>0.72799999999999998</c:v>
                </c:pt>
                <c:pt idx="44">
                  <c:v>0.69199999999999995</c:v>
                </c:pt>
                <c:pt idx="45">
                  <c:v>0.72499999999999998</c:v>
                </c:pt>
                <c:pt idx="46">
                  <c:v>0.76700000000000002</c:v>
                </c:pt>
                <c:pt idx="47">
                  <c:v>0.83599999999999997</c:v>
                </c:pt>
                <c:pt idx="48">
                  <c:v>0.86899999999999999</c:v>
                </c:pt>
                <c:pt idx="49">
                  <c:v>0.81799999999999995</c:v>
                </c:pt>
                <c:pt idx="50">
                  <c:v>0.85199999999999998</c:v>
                </c:pt>
                <c:pt idx="51">
                  <c:v>0.81399999999999995</c:v>
                </c:pt>
                <c:pt idx="52">
                  <c:v>0.85099999999999998</c:v>
                </c:pt>
                <c:pt idx="53">
                  <c:v>0.72</c:v>
                </c:pt>
                <c:pt idx="54">
                  <c:v>0.67800000000000005</c:v>
                </c:pt>
                <c:pt idx="55">
                  <c:v>0.69899999999999995</c:v>
                </c:pt>
                <c:pt idx="56">
                  <c:v>0.69099999999999995</c:v>
                </c:pt>
                <c:pt idx="57">
                  <c:v>0.627</c:v>
                </c:pt>
                <c:pt idx="58">
                  <c:v>0.63200000000000001</c:v>
                </c:pt>
                <c:pt idx="59">
                  <c:v>0.65</c:v>
                </c:pt>
                <c:pt idx="60">
                  <c:v>0.53500000000000003</c:v>
                </c:pt>
                <c:pt idx="61">
                  <c:v>0.49399999999999999</c:v>
                </c:pt>
                <c:pt idx="62">
                  <c:v>0.47499999999999998</c:v>
                </c:pt>
                <c:pt idx="63">
                  <c:v>0.499</c:v>
                </c:pt>
                <c:pt idx="64">
                  <c:v>0.496</c:v>
                </c:pt>
                <c:pt idx="65">
                  <c:v>0.59499999999999997</c:v>
                </c:pt>
                <c:pt idx="66">
                  <c:v>0.69899999999999995</c:v>
                </c:pt>
                <c:pt idx="67">
                  <c:v>0.65600000000000003</c:v>
                </c:pt>
                <c:pt idx="68">
                  <c:v>0.61599999999999999</c:v>
                </c:pt>
                <c:pt idx="69">
                  <c:v>0.70099999999999996</c:v>
                </c:pt>
                <c:pt idx="70">
                  <c:v>0.65300000000000002</c:v>
                </c:pt>
                <c:pt idx="71">
                  <c:v>0.496</c:v>
                </c:pt>
                <c:pt idx="72">
                  <c:v>0.52800000000000002</c:v>
                </c:pt>
                <c:pt idx="73">
                  <c:v>0.56599999999999995</c:v>
                </c:pt>
                <c:pt idx="74">
                  <c:v>0.57499999999999996</c:v>
                </c:pt>
                <c:pt idx="75">
                  <c:v>0.60099999999999998</c:v>
                </c:pt>
                <c:pt idx="76">
                  <c:v>0.65600000000000003</c:v>
                </c:pt>
                <c:pt idx="77">
                  <c:v>0.67600000000000005</c:v>
                </c:pt>
                <c:pt idx="78">
                  <c:v>0.70399999999999996</c:v>
                </c:pt>
                <c:pt idx="79">
                  <c:v>0.67900000000000005</c:v>
                </c:pt>
                <c:pt idx="80">
                  <c:v>0.70599999999999996</c:v>
                </c:pt>
                <c:pt idx="81">
                  <c:v>0.53200000000000003</c:v>
                </c:pt>
                <c:pt idx="82">
                  <c:v>0.51400000000000001</c:v>
                </c:pt>
                <c:pt idx="83">
                  <c:v>0.47699999999999998</c:v>
                </c:pt>
                <c:pt idx="84">
                  <c:v>0.497</c:v>
                </c:pt>
                <c:pt idx="85">
                  <c:v>0.51700000000000002</c:v>
                </c:pt>
                <c:pt idx="86">
                  <c:v>0.50600000000000001</c:v>
                </c:pt>
                <c:pt idx="87">
                  <c:v>0.55700000000000005</c:v>
                </c:pt>
                <c:pt idx="88">
                  <c:v>0.55800000000000005</c:v>
                </c:pt>
                <c:pt idx="89">
                  <c:v>0.61599999999999999</c:v>
                </c:pt>
                <c:pt idx="90">
                  <c:v>0.64200000000000002</c:v>
                </c:pt>
                <c:pt idx="91">
                  <c:v>0.56299999999999994</c:v>
                </c:pt>
                <c:pt idx="92">
                  <c:v>0.66</c:v>
                </c:pt>
                <c:pt idx="93">
                  <c:v>0.72099999999999997</c:v>
                </c:pt>
                <c:pt idx="94">
                  <c:v>0.73899999999999999</c:v>
                </c:pt>
                <c:pt idx="95">
                  <c:v>0.76400000000000001</c:v>
                </c:pt>
                <c:pt idx="96">
                  <c:v>0.92200000000000004</c:v>
                </c:pt>
                <c:pt idx="97">
                  <c:v>0.88700000000000001</c:v>
                </c:pt>
                <c:pt idx="98">
                  <c:v>0.92300000000000004</c:v>
                </c:pt>
                <c:pt idx="99">
                  <c:v>0.85299999999999998</c:v>
                </c:pt>
                <c:pt idx="100">
                  <c:v>0.83</c:v>
                </c:pt>
                <c:pt idx="101">
                  <c:v>0.88500000000000001</c:v>
                </c:pt>
                <c:pt idx="102">
                  <c:v>0.84799999999999998</c:v>
                </c:pt>
                <c:pt idx="103">
                  <c:v>0.90300000000000002</c:v>
                </c:pt>
                <c:pt idx="104">
                  <c:v>0.92</c:v>
                </c:pt>
                <c:pt idx="105">
                  <c:v>0.92400000000000004</c:v>
                </c:pt>
                <c:pt idx="106">
                  <c:v>0.89500000000000002</c:v>
                </c:pt>
                <c:pt idx="107">
                  <c:v>0.85599999999999998</c:v>
                </c:pt>
                <c:pt idx="108">
                  <c:v>0.85399999999999998</c:v>
                </c:pt>
                <c:pt idx="109">
                  <c:v>0.85699999999999998</c:v>
                </c:pt>
                <c:pt idx="110">
                  <c:v>0.873</c:v>
                </c:pt>
                <c:pt idx="111">
                  <c:v>0.96899999999999997</c:v>
                </c:pt>
                <c:pt idx="112">
                  <c:v>0.90300000000000002</c:v>
                </c:pt>
                <c:pt idx="113">
                  <c:v>0.94399999999999995</c:v>
                </c:pt>
                <c:pt idx="114">
                  <c:v>0.94099999999999995</c:v>
                </c:pt>
                <c:pt idx="115">
                  <c:v>0.99399999999999999</c:v>
                </c:pt>
                <c:pt idx="116">
                  <c:v>0.93899999999999995</c:v>
                </c:pt>
                <c:pt idx="117">
                  <c:v>0.95699999999999996</c:v>
                </c:pt>
                <c:pt idx="118">
                  <c:v>1.022</c:v>
                </c:pt>
                <c:pt idx="119">
                  <c:v>0.98699999999999999</c:v>
                </c:pt>
                <c:pt idx="120">
                  <c:v>1.0089999999999999</c:v>
                </c:pt>
                <c:pt idx="121">
                  <c:v>1.0129999999999999</c:v>
                </c:pt>
                <c:pt idx="122">
                  <c:v>1.0389999999999999</c:v>
                </c:pt>
                <c:pt idx="123">
                  <c:v>1.079</c:v>
                </c:pt>
                <c:pt idx="124">
                  <c:v>1.0900000000000001</c:v>
                </c:pt>
                <c:pt idx="125">
                  <c:v>1.111</c:v>
                </c:pt>
                <c:pt idx="126">
                  <c:v>1.1259999999999999</c:v>
                </c:pt>
                <c:pt idx="127">
                  <c:v>1.127</c:v>
                </c:pt>
                <c:pt idx="128">
                  <c:v>1.1719999999999999</c:v>
                </c:pt>
                <c:pt idx="129">
                  <c:v>1.169</c:v>
                </c:pt>
                <c:pt idx="130">
                  <c:v>1.1599999999999999</c:v>
                </c:pt>
                <c:pt idx="131">
                  <c:v>1.2110000000000001</c:v>
                </c:pt>
                <c:pt idx="132">
                  <c:v>1.1879999999999999</c:v>
                </c:pt>
                <c:pt idx="133">
                  <c:v>1.1850000000000001</c:v>
                </c:pt>
                <c:pt idx="134">
                  <c:v>1.238</c:v>
                </c:pt>
                <c:pt idx="135">
                  <c:v>1.2509999999999999</c:v>
                </c:pt>
                <c:pt idx="136">
                  <c:v>1.2450000000000001</c:v>
                </c:pt>
                <c:pt idx="137">
                  <c:v>1.169</c:v>
                </c:pt>
                <c:pt idx="138">
                  <c:v>1.268</c:v>
                </c:pt>
                <c:pt idx="139">
                  <c:v>1.246</c:v>
                </c:pt>
                <c:pt idx="140">
                  <c:v>1.2530000000000001</c:v>
                </c:pt>
                <c:pt idx="141">
                  <c:v>1.234</c:v>
                </c:pt>
                <c:pt idx="142">
                  <c:v>1.244</c:v>
                </c:pt>
                <c:pt idx="143">
                  <c:v>1.32</c:v>
                </c:pt>
                <c:pt idx="144">
                  <c:v>1.3280000000000001</c:v>
                </c:pt>
                <c:pt idx="145">
                  <c:v>1.3860000000000001</c:v>
                </c:pt>
                <c:pt idx="146">
                  <c:v>1.2929999999999999</c:v>
                </c:pt>
                <c:pt idx="147">
                  <c:v>1.337</c:v>
                </c:pt>
                <c:pt idx="148">
                  <c:v>1.395</c:v>
                </c:pt>
                <c:pt idx="149">
                  <c:v>1.4179999999999999</c:v>
                </c:pt>
                <c:pt idx="150">
                  <c:v>1.3240000000000001</c:v>
                </c:pt>
                <c:pt idx="151">
                  <c:v>1.38</c:v>
                </c:pt>
                <c:pt idx="152">
                  <c:v>1.246</c:v>
                </c:pt>
                <c:pt idx="153">
                  <c:v>1.258</c:v>
                </c:pt>
                <c:pt idx="154">
                  <c:v>1.2749999999999999</c:v>
                </c:pt>
                <c:pt idx="155">
                  <c:v>1.2709999999999999</c:v>
                </c:pt>
                <c:pt idx="156">
                  <c:v>1.2969999999999999</c:v>
                </c:pt>
                <c:pt idx="157">
                  <c:v>1.2929999999999999</c:v>
                </c:pt>
                <c:pt idx="158">
                  <c:v>1.333</c:v>
                </c:pt>
                <c:pt idx="159">
                  <c:v>1.365</c:v>
                </c:pt>
                <c:pt idx="160">
                  <c:v>1.3420000000000001</c:v>
                </c:pt>
                <c:pt idx="161">
                  <c:v>1.3149999999999999</c:v>
                </c:pt>
                <c:pt idx="162">
                  <c:v>1.3439999999999999</c:v>
                </c:pt>
                <c:pt idx="163">
                  <c:v>1.3719999999999999</c:v>
                </c:pt>
                <c:pt idx="164">
                  <c:v>1.3220000000000001</c:v>
                </c:pt>
                <c:pt idx="165">
                  <c:v>1.379</c:v>
                </c:pt>
                <c:pt idx="166">
                  <c:v>1.389</c:v>
                </c:pt>
                <c:pt idx="167">
                  <c:v>1.429</c:v>
                </c:pt>
                <c:pt idx="168">
                  <c:v>1.4330000000000001</c:v>
                </c:pt>
                <c:pt idx="169">
                  <c:v>1.452</c:v>
                </c:pt>
                <c:pt idx="170">
                  <c:v>1.4809999999999999</c:v>
                </c:pt>
                <c:pt idx="171">
                  <c:v>1.444</c:v>
                </c:pt>
                <c:pt idx="172">
                  <c:v>1.4490000000000001</c:v>
                </c:pt>
                <c:pt idx="173">
                  <c:v>1.472</c:v>
                </c:pt>
                <c:pt idx="174">
                  <c:v>1.4729999999999999</c:v>
                </c:pt>
                <c:pt idx="175">
                  <c:v>1.4790000000000001</c:v>
                </c:pt>
                <c:pt idx="176">
                  <c:v>1.486</c:v>
                </c:pt>
                <c:pt idx="177">
                  <c:v>1.4550000000000001</c:v>
                </c:pt>
                <c:pt idx="178">
                  <c:v>1.534</c:v>
                </c:pt>
                <c:pt idx="179">
                  <c:v>1.5629999999999999</c:v>
                </c:pt>
                <c:pt idx="180">
                  <c:v>1.5760000000000001</c:v>
                </c:pt>
                <c:pt idx="181">
                  <c:v>1.605</c:v>
                </c:pt>
                <c:pt idx="182">
                  <c:v>1.629</c:v>
                </c:pt>
                <c:pt idx="183">
                  <c:v>1.667</c:v>
                </c:pt>
                <c:pt idx="184">
                  <c:v>1.6779999999999999</c:v>
                </c:pt>
                <c:pt idx="185">
                  <c:v>1.6989999999999998</c:v>
                </c:pt>
                <c:pt idx="186">
                  <c:v>1.7109999999999999</c:v>
                </c:pt>
                <c:pt idx="187">
                  <c:v>1.673</c:v>
                </c:pt>
                <c:pt idx="188">
                  <c:v>1.6659999999999999</c:v>
                </c:pt>
                <c:pt idx="189">
                  <c:v>1.6739999999999999</c:v>
                </c:pt>
                <c:pt idx="190">
                  <c:v>1.6890000000000001</c:v>
                </c:pt>
                <c:pt idx="191">
                  <c:v>1.736</c:v>
                </c:pt>
                <c:pt idx="192">
                  <c:v>1.72</c:v>
                </c:pt>
                <c:pt idx="193">
                  <c:v>1.756</c:v>
                </c:pt>
                <c:pt idx="194">
                  <c:v>1.7970000000000002</c:v>
                </c:pt>
                <c:pt idx="195">
                  <c:v>1.8479999999999999</c:v>
                </c:pt>
                <c:pt idx="196">
                  <c:v>1.883</c:v>
                </c:pt>
                <c:pt idx="197">
                  <c:v>1.921</c:v>
                </c:pt>
                <c:pt idx="198">
                  <c:v>1.9430000000000001</c:v>
                </c:pt>
                <c:pt idx="199">
                  <c:v>2.0049999999999999</c:v>
                </c:pt>
                <c:pt idx="200">
                  <c:v>2.0169999999999999</c:v>
                </c:pt>
                <c:pt idx="201">
                  <c:v>2.036</c:v>
                </c:pt>
                <c:pt idx="202">
                  <c:v>2.044</c:v>
                </c:pt>
                <c:pt idx="203">
                  <c:v>2.0760000000000001</c:v>
                </c:pt>
                <c:pt idx="204">
                  <c:v>2.1150000000000002</c:v>
                </c:pt>
                <c:pt idx="205">
                  <c:v>2.17</c:v>
                </c:pt>
                <c:pt idx="206">
                  <c:v>2.0979999999999999</c:v>
                </c:pt>
                <c:pt idx="207">
                  <c:v>2.121</c:v>
                </c:pt>
                <c:pt idx="208">
                  <c:v>2.1539999999999999</c:v>
                </c:pt>
                <c:pt idx="209">
                  <c:v>2.12</c:v>
                </c:pt>
                <c:pt idx="210">
                  <c:v>2.1189999999999998</c:v>
                </c:pt>
                <c:pt idx="211">
                  <c:v>2.1360000000000001</c:v>
                </c:pt>
                <c:pt idx="212">
                  <c:v>2.16</c:v>
                </c:pt>
                <c:pt idx="213">
                  <c:v>2.1179999999999999</c:v>
                </c:pt>
                <c:pt idx="214">
                  <c:v>2.1040000000000001</c:v>
                </c:pt>
                <c:pt idx="215">
                  <c:v>2.14</c:v>
                </c:pt>
                <c:pt idx="216">
                  <c:v>2.1709999999999998</c:v>
                </c:pt>
                <c:pt idx="217">
                  <c:v>2.335</c:v>
                </c:pt>
                <c:pt idx="218">
                  <c:v>2.4689999999999999</c:v>
                </c:pt>
                <c:pt idx="219">
                  <c:v>2.552</c:v>
                </c:pt>
                <c:pt idx="220">
                  <c:v>2.7519999999999998</c:v>
                </c:pt>
                <c:pt idx="221">
                  <c:v>2.7029999999999998</c:v>
                </c:pt>
                <c:pt idx="222">
                  <c:v>2.7679999999999998</c:v>
                </c:pt>
                <c:pt idx="223">
                  <c:v>2.8570000000000002</c:v>
                </c:pt>
                <c:pt idx="224">
                  <c:v>2.8970000000000002</c:v>
                </c:pt>
                <c:pt idx="225">
                  <c:v>2.9159999999999999</c:v>
                </c:pt>
                <c:pt idx="226">
                  <c:v>2.99</c:v>
                </c:pt>
                <c:pt idx="227">
                  <c:v>2.9870000000000001</c:v>
                </c:pt>
                <c:pt idx="228">
                  <c:v>2.9740000000000002</c:v>
                </c:pt>
                <c:pt idx="229">
                  <c:v>2.976</c:v>
                </c:pt>
                <c:pt idx="230">
                  <c:v>3.0739999999999998</c:v>
                </c:pt>
                <c:pt idx="231">
                  <c:v>3.262</c:v>
                </c:pt>
                <c:pt idx="232">
                  <c:v>3.3810000000000002</c:v>
                </c:pt>
                <c:pt idx="233">
                  <c:v>3.49</c:v>
                </c:pt>
                <c:pt idx="234">
                  <c:v>3.3980000000000001</c:v>
                </c:pt>
                <c:pt idx="235">
                  <c:v>3.5249999999999999</c:v>
                </c:pt>
                <c:pt idx="236">
                  <c:v>3.5190000000000001</c:v>
                </c:pt>
                <c:pt idx="237">
                  <c:v>3.6259999999999999</c:v>
                </c:pt>
                <c:pt idx="238">
                  <c:v>3.6970000000000001</c:v>
                </c:pt>
                <c:pt idx="239">
                  <c:v>3.8559999999999999</c:v>
                </c:pt>
                <c:pt idx="240">
                  <c:v>3.7890000000000001</c:v>
                </c:pt>
                <c:pt idx="241">
                  <c:v>3.7450000000000001</c:v>
                </c:pt>
                <c:pt idx="242">
                  <c:v>3.7439999999999998</c:v>
                </c:pt>
                <c:pt idx="243">
                  <c:v>3.7650000000000001</c:v>
                </c:pt>
                <c:pt idx="244">
                  <c:v>3.7490000000000001</c:v>
                </c:pt>
                <c:pt idx="245">
                  <c:v>3.706</c:v>
                </c:pt>
                <c:pt idx="246">
                  <c:v>3.625</c:v>
                </c:pt>
                <c:pt idx="247">
                  <c:v>3.6269999999999998</c:v>
                </c:pt>
                <c:pt idx="248">
                  <c:v>3.6520000000000001</c:v>
                </c:pt>
                <c:pt idx="249">
                  <c:v>3.7810000000000001</c:v>
                </c:pt>
                <c:pt idx="250">
                  <c:v>3.9420000000000002</c:v>
                </c:pt>
                <c:pt idx="251">
                  <c:v>3.94</c:v>
                </c:pt>
                <c:pt idx="252">
                  <c:v>3.9569999999999999</c:v>
                </c:pt>
                <c:pt idx="253">
                  <c:v>3.9459999999999997</c:v>
                </c:pt>
                <c:pt idx="254">
                  <c:v>3.7949999999999999</c:v>
                </c:pt>
                <c:pt idx="255">
                  <c:v>3.806</c:v>
                </c:pt>
                <c:pt idx="256">
                  <c:v>3.7909999999999999</c:v>
                </c:pt>
                <c:pt idx="257">
                  <c:v>3.7690000000000001</c:v>
                </c:pt>
                <c:pt idx="258">
                  <c:v>3.74</c:v>
                </c:pt>
                <c:pt idx="259">
                  <c:v>3.6829999999999998</c:v>
                </c:pt>
                <c:pt idx="260">
                  <c:v>3.6680000000000001</c:v>
                </c:pt>
                <c:pt idx="261">
                  <c:v>3.665</c:v>
                </c:pt>
                <c:pt idx="262">
                  <c:v>3.5640000000000001</c:v>
                </c:pt>
                <c:pt idx="263">
                  <c:v>3.177</c:v>
                </c:pt>
                <c:pt idx="264">
                  <c:v>3.0270000000000001</c:v>
                </c:pt>
                <c:pt idx="265">
                  <c:v>2.7970000000000002</c:v>
                </c:pt>
                <c:pt idx="266">
                  <c:v>2.669</c:v>
                </c:pt>
                <c:pt idx="267">
                  <c:v>2.4630000000000001</c:v>
                </c:pt>
                <c:pt idx="268">
                  <c:v>2.246</c:v>
                </c:pt>
                <c:pt idx="269">
                  <c:v>1.9390000000000001</c:v>
                </c:pt>
                <c:pt idx="270">
                  <c:v>1.784</c:v>
                </c:pt>
                <c:pt idx="271">
                  <c:v>1.734</c:v>
                </c:pt>
                <c:pt idx="272">
                  <c:v>1.6280000000000001</c:v>
                </c:pt>
                <c:pt idx="273">
                  <c:v>1.6040000000000001</c:v>
                </c:pt>
                <c:pt idx="274">
                  <c:v>1.6219999999999999</c:v>
                </c:pt>
                <c:pt idx="275">
                  <c:v>1.597</c:v>
                </c:pt>
                <c:pt idx="276">
                  <c:v>1.665</c:v>
                </c:pt>
                <c:pt idx="277">
                  <c:v>1.7429999999999999</c:v>
                </c:pt>
                <c:pt idx="278">
                  <c:v>1.87</c:v>
                </c:pt>
                <c:pt idx="279">
                  <c:v>1.8359999999999999</c:v>
                </c:pt>
                <c:pt idx="280">
                  <c:v>1.831</c:v>
                </c:pt>
                <c:pt idx="281">
                  <c:v>1.8439999999999999</c:v>
                </c:pt>
                <c:pt idx="282">
                  <c:v>1.847</c:v>
                </c:pt>
                <c:pt idx="283">
                  <c:v>1.855</c:v>
                </c:pt>
                <c:pt idx="284">
                  <c:v>1.8719999999999999</c:v>
                </c:pt>
                <c:pt idx="285">
                  <c:v>1.873</c:v>
                </c:pt>
                <c:pt idx="286">
                  <c:v>1.887</c:v>
                </c:pt>
                <c:pt idx="287">
                  <c:v>1.8959999999999999</c:v>
                </c:pt>
                <c:pt idx="288">
                  <c:v>1.9260000000000002</c:v>
                </c:pt>
                <c:pt idx="289">
                  <c:v>1.9039999999999999</c:v>
                </c:pt>
                <c:pt idx="290">
                  <c:v>1.911</c:v>
                </c:pt>
                <c:pt idx="291">
                  <c:v>1.9470000000000001</c:v>
                </c:pt>
                <c:pt idx="292">
                  <c:v>1.9470000000000001</c:v>
                </c:pt>
                <c:pt idx="293">
                  <c:v>1.9260000000000002</c:v>
                </c:pt>
                <c:pt idx="294">
                  <c:v>1.9350000000000001</c:v>
                </c:pt>
                <c:pt idx="295">
                  <c:v>1.929</c:v>
                </c:pt>
                <c:pt idx="296">
                  <c:v>1.95</c:v>
                </c:pt>
                <c:pt idx="297">
                  <c:v>1.9330000000000001</c:v>
                </c:pt>
                <c:pt idx="298">
                  <c:v>1.948</c:v>
                </c:pt>
                <c:pt idx="299">
                  <c:v>1.9239999999999999</c:v>
                </c:pt>
                <c:pt idx="300">
                  <c:v>1.9430000000000001</c:v>
                </c:pt>
                <c:pt idx="301">
                  <c:v>1.968</c:v>
                </c:pt>
                <c:pt idx="302">
                  <c:v>1.9750000000000001</c:v>
                </c:pt>
                <c:pt idx="303">
                  <c:v>1.9710000000000001</c:v>
                </c:pt>
                <c:pt idx="304">
                  <c:v>1.9379999999999999</c:v>
                </c:pt>
                <c:pt idx="305">
                  <c:v>1.927</c:v>
                </c:pt>
                <c:pt idx="306">
                  <c:v>1.952</c:v>
                </c:pt>
                <c:pt idx="307">
                  <c:v>1.9449999999999998</c:v>
                </c:pt>
                <c:pt idx="308">
                  <c:v>1.99</c:v>
                </c:pt>
                <c:pt idx="309">
                  <c:v>1.9529999999999998</c:v>
                </c:pt>
                <c:pt idx="310">
                  <c:v>1.9279999999999999</c:v>
                </c:pt>
                <c:pt idx="311">
                  <c:v>1.9510000000000001</c:v>
                </c:pt>
                <c:pt idx="312">
                  <c:v>1.9590000000000001</c:v>
                </c:pt>
                <c:pt idx="313">
                  <c:v>1.9670000000000001</c:v>
                </c:pt>
                <c:pt idx="314">
                  <c:v>1.9470000000000001</c:v>
                </c:pt>
                <c:pt idx="315">
                  <c:v>1.9220000000000002</c:v>
                </c:pt>
                <c:pt idx="316">
                  <c:v>1.9489999999999998</c:v>
                </c:pt>
                <c:pt idx="317">
                  <c:v>1.9419999999999999</c:v>
                </c:pt>
                <c:pt idx="318">
                  <c:v>1.966</c:v>
                </c:pt>
                <c:pt idx="319">
                  <c:v>1.974</c:v>
                </c:pt>
                <c:pt idx="320">
                  <c:v>1.9279999999999999</c:v>
                </c:pt>
                <c:pt idx="321">
                  <c:v>1.9529999999999998</c:v>
                </c:pt>
                <c:pt idx="322">
                  <c:v>1.9609999999999999</c:v>
                </c:pt>
                <c:pt idx="323">
                  <c:v>1.9100000000000001</c:v>
                </c:pt>
                <c:pt idx="324">
                  <c:v>1.917</c:v>
                </c:pt>
                <c:pt idx="325">
                  <c:v>1.9569999999999999</c:v>
                </c:pt>
                <c:pt idx="326">
                  <c:v>1.968</c:v>
                </c:pt>
                <c:pt idx="327">
                  <c:v>1.996</c:v>
                </c:pt>
                <c:pt idx="328">
                  <c:v>2.016</c:v>
                </c:pt>
                <c:pt idx="329">
                  <c:v>2.0249999999999999</c:v>
                </c:pt>
                <c:pt idx="330">
                  <c:v>2.0329999999999999</c:v>
                </c:pt>
                <c:pt idx="331">
                  <c:v>2.1</c:v>
                </c:pt>
                <c:pt idx="332">
                  <c:v>2.1070000000000002</c:v>
                </c:pt>
                <c:pt idx="333">
                  <c:v>2.0459999999999998</c:v>
                </c:pt>
                <c:pt idx="334">
                  <c:v>2.0760000000000001</c:v>
                </c:pt>
                <c:pt idx="335">
                  <c:v>2.0499999999999998</c:v>
                </c:pt>
                <c:pt idx="336">
                  <c:v>2.0430000000000001</c:v>
                </c:pt>
                <c:pt idx="337">
                  <c:v>2.0510000000000002</c:v>
                </c:pt>
                <c:pt idx="338">
                  <c:v>2.0739999999999998</c:v>
                </c:pt>
                <c:pt idx="339">
                  <c:v>2.085</c:v>
                </c:pt>
                <c:pt idx="340">
                  <c:v>2.08</c:v>
                </c:pt>
                <c:pt idx="341">
                  <c:v>2.0590000000000002</c:v>
                </c:pt>
                <c:pt idx="342">
                  <c:v>2.0539999999999998</c:v>
                </c:pt>
                <c:pt idx="343">
                  <c:v>2.0590000000000002</c:v>
                </c:pt>
                <c:pt idx="344">
                  <c:v>2.077</c:v>
                </c:pt>
                <c:pt idx="345">
                  <c:v>2.0870000000000002</c:v>
                </c:pt>
                <c:pt idx="346">
                  <c:v>2.085</c:v>
                </c:pt>
                <c:pt idx="347">
                  <c:v>2.0979999999999999</c:v>
                </c:pt>
                <c:pt idx="348">
                  <c:v>2.117</c:v>
                </c:pt>
                <c:pt idx="349">
                  <c:v>2.1240000000000001</c:v>
                </c:pt>
                <c:pt idx="350">
                  <c:v>2.1619999999999999</c:v>
                </c:pt>
                <c:pt idx="351">
                  <c:v>2.21</c:v>
                </c:pt>
                <c:pt idx="352">
                  <c:v>2.2160000000000002</c:v>
                </c:pt>
                <c:pt idx="353">
                  <c:v>2.2410000000000001</c:v>
                </c:pt>
                <c:pt idx="354">
                  <c:v>2.2410000000000001</c:v>
                </c:pt>
                <c:pt idx="355">
                  <c:v>2.2519999999999998</c:v>
                </c:pt>
                <c:pt idx="356">
                  <c:v>2.2290000000000001</c:v>
                </c:pt>
                <c:pt idx="357">
                  <c:v>2.1880000000000002</c:v>
                </c:pt>
                <c:pt idx="358">
                  <c:v>2.198</c:v>
                </c:pt>
                <c:pt idx="359">
                  <c:v>2.2109999999999999</c:v>
                </c:pt>
                <c:pt idx="360">
                  <c:v>2.2170000000000001</c:v>
                </c:pt>
                <c:pt idx="361">
                  <c:v>2.2080000000000002</c:v>
                </c:pt>
                <c:pt idx="362">
                  <c:v>2.2229999999999999</c:v>
                </c:pt>
                <c:pt idx="363">
                  <c:v>2.2490000000000001</c:v>
                </c:pt>
                <c:pt idx="364">
                  <c:v>2.2599999999999998</c:v>
                </c:pt>
                <c:pt idx="365">
                  <c:v>2.2789999999999999</c:v>
                </c:pt>
                <c:pt idx="366">
                  <c:v>2.29</c:v>
                </c:pt>
                <c:pt idx="367">
                  <c:v>2.27</c:v>
                </c:pt>
                <c:pt idx="368">
                  <c:v>2.2839999999999998</c:v>
                </c:pt>
                <c:pt idx="369">
                  <c:v>2.306</c:v>
                </c:pt>
                <c:pt idx="370">
                  <c:v>2.2890000000000001</c:v>
                </c:pt>
                <c:pt idx="371">
                  <c:v>2.2949999999999999</c:v>
                </c:pt>
                <c:pt idx="372">
                  <c:v>2.2690000000000001</c:v>
                </c:pt>
                <c:pt idx="373">
                  <c:v>2.2890000000000001</c:v>
                </c:pt>
                <c:pt idx="374">
                  <c:v>2.286</c:v>
                </c:pt>
                <c:pt idx="375">
                  <c:v>2.238</c:v>
                </c:pt>
                <c:pt idx="376">
                  <c:v>2.2519999999999998</c:v>
                </c:pt>
                <c:pt idx="377">
                  <c:v>2.2629999999999999</c:v>
                </c:pt>
                <c:pt idx="378">
                  <c:v>2.2869999999999999</c:v>
                </c:pt>
                <c:pt idx="379">
                  <c:v>2.2869999999999999</c:v>
                </c:pt>
                <c:pt idx="380">
                  <c:v>2.3029999999999999</c:v>
                </c:pt>
                <c:pt idx="381">
                  <c:v>2.2850000000000001</c:v>
                </c:pt>
                <c:pt idx="382">
                  <c:v>2.3140000000000001</c:v>
                </c:pt>
                <c:pt idx="383">
                  <c:v>2.3439999999999999</c:v>
                </c:pt>
                <c:pt idx="384">
                  <c:v>2.363</c:v>
                </c:pt>
                <c:pt idx="385">
                  <c:v>2.359</c:v>
                </c:pt>
                <c:pt idx="386">
                  <c:v>2.3679999999999999</c:v>
                </c:pt>
                <c:pt idx="387">
                  <c:v>2.375</c:v>
                </c:pt>
                <c:pt idx="388">
                  <c:v>2.3839999999999999</c:v>
                </c:pt>
                <c:pt idx="389">
                  <c:v>2.363</c:v>
                </c:pt>
                <c:pt idx="390">
                  <c:v>2.3980000000000001</c:v>
                </c:pt>
                <c:pt idx="391">
                  <c:v>2.3940000000000001</c:v>
                </c:pt>
                <c:pt idx="392">
                  <c:v>2.4279999999999999</c:v>
                </c:pt>
                <c:pt idx="393">
                  <c:v>2.4510000000000001</c:v>
                </c:pt>
                <c:pt idx="394">
                  <c:v>2.4249999999999998</c:v>
                </c:pt>
                <c:pt idx="395">
                  <c:v>2.431</c:v>
                </c:pt>
                <c:pt idx="396">
                  <c:v>2.4779999999999998</c:v>
                </c:pt>
                <c:pt idx="397">
                  <c:v>2.403</c:v>
                </c:pt>
                <c:pt idx="398">
                  <c:v>2.4380000000000002</c:v>
                </c:pt>
                <c:pt idx="399">
                  <c:v>2.4079999999999999</c:v>
                </c:pt>
                <c:pt idx="400">
                  <c:v>2.367</c:v>
                </c:pt>
                <c:pt idx="401">
                  <c:v>2.3719999999999999</c:v>
                </c:pt>
                <c:pt idx="402">
                  <c:v>2.375</c:v>
                </c:pt>
                <c:pt idx="403">
                  <c:v>2.4</c:v>
                </c:pt>
                <c:pt idx="404">
                  <c:v>2.4449999999999998</c:v>
                </c:pt>
                <c:pt idx="405">
                  <c:v>2.4489999999999998</c:v>
                </c:pt>
                <c:pt idx="406">
                  <c:v>2.4580000000000002</c:v>
                </c:pt>
                <c:pt idx="407">
                  <c:v>2.4790000000000001</c:v>
                </c:pt>
                <c:pt idx="408">
                  <c:v>2.492</c:v>
                </c:pt>
                <c:pt idx="409">
                  <c:v>2.5009999999999999</c:v>
                </c:pt>
                <c:pt idx="410">
                  <c:v>2.5460000000000003</c:v>
                </c:pt>
                <c:pt idx="411">
                  <c:v>2.5129999999999999</c:v>
                </c:pt>
                <c:pt idx="412">
                  <c:v>2.5270000000000001</c:v>
                </c:pt>
                <c:pt idx="413">
                  <c:v>2.5499999999999998</c:v>
                </c:pt>
                <c:pt idx="414">
                  <c:v>2.5449999999999999</c:v>
                </c:pt>
                <c:pt idx="415">
                  <c:v>2.5230000000000001</c:v>
                </c:pt>
                <c:pt idx="416">
                  <c:v>2.5270000000000001</c:v>
                </c:pt>
                <c:pt idx="417">
                  <c:v>2.5419999999999998</c:v>
                </c:pt>
                <c:pt idx="418">
                  <c:v>2.5840000000000001</c:v>
                </c:pt>
                <c:pt idx="419">
                  <c:v>2.5949999999999998</c:v>
                </c:pt>
                <c:pt idx="420">
                  <c:v>2.613</c:v>
                </c:pt>
                <c:pt idx="421">
                  <c:v>2.5750000000000002</c:v>
                </c:pt>
                <c:pt idx="422">
                  <c:v>2.6429999999999998</c:v>
                </c:pt>
                <c:pt idx="423">
                  <c:v>2.6520000000000001</c:v>
                </c:pt>
                <c:pt idx="424">
                  <c:v>2.6659999999999999</c:v>
                </c:pt>
                <c:pt idx="425">
                  <c:v>2.621</c:v>
                </c:pt>
                <c:pt idx="426">
                  <c:v>2.6459999999999999</c:v>
                </c:pt>
                <c:pt idx="427">
                  <c:v>2.641</c:v>
                </c:pt>
                <c:pt idx="428">
                  <c:v>2.6879999999999997</c:v>
                </c:pt>
                <c:pt idx="429">
                  <c:v>2.6790000000000003</c:v>
                </c:pt>
                <c:pt idx="430">
                  <c:v>2.6669999999999998</c:v>
                </c:pt>
                <c:pt idx="431">
                  <c:v>2.6579999999999999</c:v>
                </c:pt>
                <c:pt idx="432">
                  <c:v>2.6539999999999999</c:v>
                </c:pt>
                <c:pt idx="433">
                  <c:v>2.665</c:v>
                </c:pt>
                <c:pt idx="434">
                  <c:v>2.6739999999999999</c:v>
                </c:pt>
                <c:pt idx="435">
                  <c:v>2.673</c:v>
                </c:pt>
                <c:pt idx="436">
                  <c:v>2.6879999999999997</c:v>
                </c:pt>
                <c:pt idx="437">
                  <c:v>2.669</c:v>
                </c:pt>
                <c:pt idx="438">
                  <c:v>2.694</c:v>
                </c:pt>
                <c:pt idx="439">
                  <c:v>2.7039999999999997</c:v>
                </c:pt>
                <c:pt idx="440">
                  <c:v>2.6779999999999999</c:v>
                </c:pt>
                <c:pt idx="441">
                  <c:v>2.7240000000000002</c:v>
                </c:pt>
                <c:pt idx="442">
                  <c:v>2.73</c:v>
                </c:pt>
                <c:pt idx="443">
                  <c:v>2.734</c:v>
                </c:pt>
                <c:pt idx="444">
                  <c:v>2.7320000000000002</c:v>
                </c:pt>
                <c:pt idx="445">
                  <c:v>2.7160000000000002</c:v>
                </c:pt>
                <c:pt idx="446">
                  <c:v>2.7130000000000001</c:v>
                </c:pt>
                <c:pt idx="447">
                  <c:v>2.7080000000000002</c:v>
                </c:pt>
                <c:pt idx="448">
                  <c:v>2.6970000000000001</c:v>
                </c:pt>
                <c:pt idx="449">
                  <c:v>2.7160000000000002</c:v>
                </c:pt>
                <c:pt idx="450">
                  <c:v>2.74</c:v>
                </c:pt>
                <c:pt idx="451">
                  <c:v>2.7410000000000001</c:v>
                </c:pt>
                <c:pt idx="452">
                  <c:v>2.7519999999999998</c:v>
                </c:pt>
                <c:pt idx="453">
                  <c:v>2.7610000000000001</c:v>
                </c:pt>
                <c:pt idx="454">
                  <c:v>2.6870000000000003</c:v>
                </c:pt>
                <c:pt idx="455">
                  <c:v>2.6710000000000003</c:v>
                </c:pt>
                <c:pt idx="456">
                  <c:v>2.6440000000000001</c:v>
                </c:pt>
                <c:pt idx="457">
                  <c:v>2.665</c:v>
                </c:pt>
                <c:pt idx="458">
                  <c:v>2.7690000000000001</c:v>
                </c:pt>
                <c:pt idx="459">
                  <c:v>2.782</c:v>
                </c:pt>
                <c:pt idx="460">
                  <c:v>2.8010000000000002</c:v>
                </c:pt>
                <c:pt idx="461">
                  <c:v>2.8149999999999999</c:v>
                </c:pt>
                <c:pt idx="462">
                  <c:v>2.8170000000000002</c:v>
                </c:pt>
                <c:pt idx="463">
                  <c:v>2.843</c:v>
                </c:pt>
                <c:pt idx="464">
                  <c:v>2.871</c:v>
                </c:pt>
                <c:pt idx="465">
                  <c:v>2.9060000000000001</c:v>
                </c:pt>
                <c:pt idx="466">
                  <c:v>2.976</c:v>
                </c:pt>
                <c:pt idx="467">
                  <c:v>3.024</c:v>
                </c:pt>
                <c:pt idx="468">
                  <c:v>3.05</c:v>
                </c:pt>
                <c:pt idx="469">
                  <c:v>3.1360000000000001</c:v>
                </c:pt>
                <c:pt idx="470">
                  <c:v>3.2029999999999998</c:v>
                </c:pt>
                <c:pt idx="471">
                  <c:v>3.2010000000000001</c:v>
                </c:pt>
                <c:pt idx="472">
                  <c:v>3.214</c:v>
                </c:pt>
                <c:pt idx="473">
                  <c:v>3.238</c:v>
                </c:pt>
                <c:pt idx="474">
                  <c:v>3.2429999999999999</c:v>
                </c:pt>
                <c:pt idx="475">
                  <c:v>3.2669999999999999</c:v>
                </c:pt>
                <c:pt idx="476">
                  <c:v>3.2469999999999999</c:v>
                </c:pt>
                <c:pt idx="477">
                  <c:v>3.2250000000000001</c:v>
                </c:pt>
                <c:pt idx="478">
                  <c:v>3.2560000000000002</c:v>
                </c:pt>
                <c:pt idx="479">
                  <c:v>3.2610000000000001</c:v>
                </c:pt>
                <c:pt idx="480">
                  <c:v>3.294</c:v>
                </c:pt>
                <c:pt idx="481">
                  <c:v>3.2909999999999999</c:v>
                </c:pt>
                <c:pt idx="482">
                  <c:v>3.2679999999999998</c:v>
                </c:pt>
                <c:pt idx="483">
                  <c:v>3.2890000000000001</c:v>
                </c:pt>
                <c:pt idx="484">
                  <c:v>3.2720000000000002</c:v>
                </c:pt>
                <c:pt idx="485">
                  <c:v>3.2839999999999998</c:v>
                </c:pt>
                <c:pt idx="486">
                  <c:v>3.2949999999999999</c:v>
                </c:pt>
                <c:pt idx="487">
                  <c:v>3.298</c:v>
                </c:pt>
                <c:pt idx="488">
                  <c:v>3.3069999999999999</c:v>
                </c:pt>
                <c:pt idx="489">
                  <c:v>3.3119999999999998</c:v>
                </c:pt>
                <c:pt idx="490">
                  <c:v>3.306</c:v>
                </c:pt>
                <c:pt idx="491">
                  <c:v>3.327</c:v>
                </c:pt>
                <c:pt idx="492">
                  <c:v>3.331</c:v>
                </c:pt>
                <c:pt idx="493">
                  <c:v>3.34</c:v>
                </c:pt>
                <c:pt idx="494">
                  <c:v>3.3580000000000001</c:v>
                </c:pt>
                <c:pt idx="495">
                  <c:v>3.3959999999999999</c:v>
                </c:pt>
                <c:pt idx="496">
                  <c:v>3.41</c:v>
                </c:pt>
                <c:pt idx="497">
                  <c:v>3.4239999999999999</c:v>
                </c:pt>
                <c:pt idx="498">
                  <c:v>3.4289999999999998</c:v>
                </c:pt>
                <c:pt idx="499">
                  <c:v>3.4489999999999998</c:v>
                </c:pt>
                <c:pt idx="500">
                  <c:v>3.4649999999999999</c:v>
                </c:pt>
                <c:pt idx="501">
                  <c:v>3.5060000000000002</c:v>
                </c:pt>
                <c:pt idx="502">
                  <c:v>3.508</c:v>
                </c:pt>
                <c:pt idx="503">
                  <c:v>3.5179999999999998</c:v>
                </c:pt>
                <c:pt idx="504">
                  <c:v>3.52</c:v>
                </c:pt>
                <c:pt idx="505">
                  <c:v>3.52</c:v>
                </c:pt>
                <c:pt idx="506">
                  <c:v>3.524</c:v>
                </c:pt>
                <c:pt idx="507">
                  <c:v>3.5209999999999999</c:v>
                </c:pt>
                <c:pt idx="508">
                  <c:v>3.52</c:v>
                </c:pt>
                <c:pt idx="509">
                  <c:v>3.5169999999999999</c:v>
                </c:pt>
                <c:pt idx="510">
                  <c:v>3.5169999999999999</c:v>
                </c:pt>
                <c:pt idx="511">
                  <c:v>3.5350000000000001</c:v>
                </c:pt>
                <c:pt idx="512">
                  <c:v>3.5659999999999998</c:v>
                </c:pt>
                <c:pt idx="513">
                  <c:v>3.5369999999999999</c:v>
                </c:pt>
                <c:pt idx="514">
                  <c:v>3.556</c:v>
                </c:pt>
                <c:pt idx="515">
                  <c:v>3.569</c:v>
                </c:pt>
                <c:pt idx="516">
                  <c:v>3.5670000000000002</c:v>
                </c:pt>
                <c:pt idx="517">
                  <c:v>3.5569999999999999</c:v>
                </c:pt>
                <c:pt idx="518">
                  <c:v>3.621</c:v>
                </c:pt>
                <c:pt idx="519">
                  <c:v>3.625</c:v>
                </c:pt>
                <c:pt idx="520">
                  <c:v>3.66</c:v>
                </c:pt>
                <c:pt idx="521">
                  <c:v>3.6930000000000001</c:v>
                </c:pt>
                <c:pt idx="522">
                  <c:v>3.726</c:v>
                </c:pt>
                <c:pt idx="523">
                  <c:v>3.7189999999999999</c:v>
                </c:pt>
                <c:pt idx="524">
                  <c:v>3.722</c:v>
                </c:pt>
                <c:pt idx="525">
                  <c:v>3.7199999999999998</c:v>
                </c:pt>
                <c:pt idx="526">
                  <c:v>3.7509999999999999</c:v>
                </c:pt>
                <c:pt idx="527">
                  <c:v>3.7170000000000001</c:v>
                </c:pt>
                <c:pt idx="528">
                  <c:v>3.7229999999999999</c:v>
                </c:pt>
                <c:pt idx="529">
                  <c:v>3.7410000000000001</c:v>
                </c:pt>
                <c:pt idx="530">
                  <c:v>3.7269999999999999</c:v>
                </c:pt>
                <c:pt idx="531">
                  <c:v>3.7629999999999999</c:v>
                </c:pt>
                <c:pt idx="532">
                  <c:v>3.7669999999999999</c:v>
                </c:pt>
                <c:pt idx="533">
                  <c:v>3.7359999999999998</c:v>
                </c:pt>
              </c:numCache>
            </c:numRef>
          </c:val>
          <c:smooth val="0"/>
          <c:extLst>
            <c:ext xmlns:c16="http://schemas.microsoft.com/office/drawing/2014/chart" uri="{C3380CC4-5D6E-409C-BE32-E72D297353CC}">
              <c16:uniqueId val="{00000003-275D-43A0-8A2E-81CC86E0B7E5}"/>
            </c:ext>
          </c:extLst>
        </c:ser>
        <c:dLbls>
          <c:showLegendKey val="0"/>
          <c:showVal val="0"/>
          <c:showCatName val="0"/>
          <c:showSerName val="0"/>
          <c:showPercent val="0"/>
          <c:showBubbleSize val="0"/>
        </c:dLbls>
        <c:marker val="1"/>
        <c:smooth val="0"/>
        <c:axId val="1377872736"/>
        <c:axId val="1377872192"/>
      </c:lineChart>
      <c:dateAx>
        <c:axId val="1377869472"/>
        <c:scaling>
          <c:orientation val="minMax"/>
          <c:min val="43708"/>
        </c:scaling>
        <c:delete val="0"/>
        <c:axPos val="b"/>
        <c:numFmt formatCode="dd\/mm\/yy" sourceLinked="0"/>
        <c:majorTickMark val="out"/>
        <c:minorTickMark val="none"/>
        <c:tickLblPos val="nextTo"/>
        <c:spPr>
          <a:ln>
            <a:solidFill>
              <a:srgbClr val="44546A"/>
            </a:solidFill>
          </a:ln>
        </c:spPr>
        <c:txPr>
          <a:bodyPr rot="-2700000"/>
          <a:lstStyle/>
          <a:p>
            <a:pPr>
              <a:defRPr>
                <a:solidFill>
                  <a:srgbClr val="44546A"/>
                </a:solidFill>
              </a:defRPr>
            </a:pPr>
            <a:endParaRPr lang="sr-Latn-RS"/>
          </a:p>
        </c:txPr>
        <c:crossAx val="1377870560"/>
        <c:crosses val="autoZero"/>
        <c:auto val="1"/>
        <c:lblOffset val="100"/>
        <c:baseTimeUnit val="days"/>
        <c:majorUnit val="1"/>
        <c:majorTimeUnit val="months"/>
      </c:dateAx>
      <c:valAx>
        <c:axId val="1377870560"/>
        <c:scaling>
          <c:orientation val="minMax"/>
          <c:max val="121"/>
          <c:min val="96"/>
        </c:scaling>
        <c:delete val="0"/>
        <c:axPos val="l"/>
        <c:numFmt formatCode="#,##0\ [$$-409]"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69472"/>
        <c:crosses val="autoZero"/>
        <c:crossBetween val="between"/>
        <c:majorUnit val="2"/>
      </c:valAx>
      <c:valAx>
        <c:axId val="1377872192"/>
        <c:scaling>
          <c:orientation val="minMax"/>
          <c:max val="7"/>
          <c:min val="0"/>
        </c:scaling>
        <c:delete val="0"/>
        <c:axPos val="r"/>
        <c:numFmt formatCode="#,##0.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72736"/>
        <c:crosses val="max"/>
        <c:crossBetween val="between"/>
        <c:majorUnit val="0.4"/>
      </c:valAx>
      <c:dateAx>
        <c:axId val="1377872736"/>
        <c:scaling>
          <c:orientation val="minMax"/>
        </c:scaling>
        <c:delete val="1"/>
        <c:axPos val="b"/>
        <c:numFmt formatCode="dd\/mm\/yy" sourceLinked="1"/>
        <c:majorTickMark val="out"/>
        <c:minorTickMark val="none"/>
        <c:tickLblPos val="none"/>
        <c:crossAx val="1377872192"/>
        <c:crosses val="autoZero"/>
        <c:auto val="1"/>
        <c:lblOffset val="100"/>
        <c:baseTimeUnit val="days"/>
      </c:dateAx>
    </c:plotArea>
    <c:legend>
      <c:legendPos val="r"/>
      <c:layout>
        <c:manualLayout>
          <c:xMode val="edge"/>
          <c:yMode val="edge"/>
          <c:x val="6.3082531350247883E-2"/>
          <c:y val="0.94025092592590431"/>
          <c:w val="0.87861293379994188"/>
          <c:h val="5.9446296296297024E-2"/>
        </c:manualLayout>
      </c:layout>
      <c:overlay val="0"/>
      <c:txPr>
        <a:bodyPr/>
        <a:lstStyle/>
        <a:p>
          <a:pPr>
            <a:defRPr>
              <a:solidFill>
                <a:srgbClr val="44546A"/>
              </a:solidFill>
            </a:defRPr>
          </a:pPr>
          <a:endParaRPr lang="sr-Latn-RS"/>
        </a:p>
      </c:txPr>
    </c:legend>
    <c:plotVisOnly val="1"/>
    <c:dispBlanksAs val="gap"/>
    <c:showDLblsOverMax val="0"/>
  </c:chart>
  <c:spPr>
    <a:ln>
      <a:noFill/>
    </a:ln>
  </c:spPr>
  <c:txPr>
    <a:bodyPr/>
    <a:lstStyle/>
    <a:p>
      <a:pPr>
        <a:defRPr sz="600">
          <a:latin typeface="+mn-lt"/>
          <a:cs typeface="Times New Roman" pitchFamily="18" charset="0"/>
        </a:defRPr>
      </a:pPr>
      <a:endParaRPr lang="sr-Latn-RS"/>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2131390552925074E-2"/>
          <c:y val="9.835122882366977E-2"/>
          <c:w val="0.80728885257806826"/>
          <c:h val="0.6924024691358025"/>
        </c:manualLayout>
      </c:layout>
      <c:areaChart>
        <c:grouping val="standard"/>
        <c:varyColors val="0"/>
        <c:ser>
          <c:idx val="0"/>
          <c:order val="0"/>
          <c:tx>
            <c:strRef>
              <c:f>'EUROBOND 2029 offline'!$B$4</c:f>
              <c:strCache>
                <c:ptCount val="1"/>
                <c:pt idx="0">
                  <c:v>Цена на затварању</c:v>
                </c:pt>
              </c:strCache>
            </c:strRef>
          </c:tx>
          <c:spPr>
            <a:ln w="25400">
              <a:noFill/>
            </a:ln>
          </c:spPr>
          <c:cat>
            <c:numRef>
              <c:f>'EUROBOND 2029'!$A$23:$A$474</c:f>
              <c:numCache>
                <c:formatCode>dd\/mm\/yy</c:formatCode>
                <c:ptCount val="452"/>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pt idx="88">
                  <c:v>44160</c:v>
                </c:pt>
                <c:pt idx="89">
                  <c:v>44159</c:v>
                </c:pt>
                <c:pt idx="90">
                  <c:v>44158</c:v>
                </c:pt>
                <c:pt idx="91">
                  <c:v>44155</c:v>
                </c:pt>
                <c:pt idx="92">
                  <c:v>44154</c:v>
                </c:pt>
                <c:pt idx="93">
                  <c:v>44153</c:v>
                </c:pt>
                <c:pt idx="94">
                  <c:v>44152</c:v>
                </c:pt>
                <c:pt idx="95">
                  <c:v>44151</c:v>
                </c:pt>
                <c:pt idx="96">
                  <c:v>44148</c:v>
                </c:pt>
                <c:pt idx="97">
                  <c:v>44147</c:v>
                </c:pt>
                <c:pt idx="98">
                  <c:v>44146</c:v>
                </c:pt>
                <c:pt idx="99">
                  <c:v>44145</c:v>
                </c:pt>
                <c:pt idx="100">
                  <c:v>44144</c:v>
                </c:pt>
                <c:pt idx="101">
                  <c:v>44141</c:v>
                </c:pt>
                <c:pt idx="102">
                  <c:v>44140</c:v>
                </c:pt>
                <c:pt idx="103">
                  <c:v>44139</c:v>
                </c:pt>
                <c:pt idx="104">
                  <c:v>44138</c:v>
                </c:pt>
                <c:pt idx="105">
                  <c:v>44137</c:v>
                </c:pt>
                <c:pt idx="106">
                  <c:v>44134</c:v>
                </c:pt>
                <c:pt idx="107">
                  <c:v>44133</c:v>
                </c:pt>
                <c:pt idx="108">
                  <c:v>44132</c:v>
                </c:pt>
                <c:pt idx="109">
                  <c:v>44131</c:v>
                </c:pt>
                <c:pt idx="110">
                  <c:v>44130</c:v>
                </c:pt>
                <c:pt idx="111">
                  <c:v>44127</c:v>
                </c:pt>
                <c:pt idx="112">
                  <c:v>44126</c:v>
                </c:pt>
                <c:pt idx="113">
                  <c:v>44125</c:v>
                </c:pt>
                <c:pt idx="114">
                  <c:v>44124</c:v>
                </c:pt>
                <c:pt idx="115">
                  <c:v>44123</c:v>
                </c:pt>
                <c:pt idx="116">
                  <c:v>44120</c:v>
                </c:pt>
                <c:pt idx="117">
                  <c:v>44119</c:v>
                </c:pt>
                <c:pt idx="118">
                  <c:v>44118</c:v>
                </c:pt>
                <c:pt idx="119">
                  <c:v>44117</c:v>
                </c:pt>
                <c:pt idx="120">
                  <c:v>44116</c:v>
                </c:pt>
                <c:pt idx="121">
                  <c:v>44113</c:v>
                </c:pt>
                <c:pt idx="122">
                  <c:v>44112</c:v>
                </c:pt>
                <c:pt idx="123">
                  <c:v>44111</c:v>
                </c:pt>
                <c:pt idx="124">
                  <c:v>44110</c:v>
                </c:pt>
                <c:pt idx="125">
                  <c:v>44109</c:v>
                </c:pt>
                <c:pt idx="126">
                  <c:v>44106</c:v>
                </c:pt>
                <c:pt idx="127">
                  <c:v>44105</c:v>
                </c:pt>
                <c:pt idx="128">
                  <c:v>44104</c:v>
                </c:pt>
                <c:pt idx="129">
                  <c:v>44103</c:v>
                </c:pt>
                <c:pt idx="130">
                  <c:v>44102</c:v>
                </c:pt>
                <c:pt idx="131">
                  <c:v>44099</c:v>
                </c:pt>
                <c:pt idx="132">
                  <c:v>44098</c:v>
                </c:pt>
                <c:pt idx="133">
                  <c:v>44097</c:v>
                </c:pt>
                <c:pt idx="134">
                  <c:v>44096</c:v>
                </c:pt>
                <c:pt idx="135">
                  <c:v>44095</c:v>
                </c:pt>
                <c:pt idx="136">
                  <c:v>44092</c:v>
                </c:pt>
                <c:pt idx="137">
                  <c:v>44091</c:v>
                </c:pt>
                <c:pt idx="138">
                  <c:v>44090</c:v>
                </c:pt>
                <c:pt idx="139">
                  <c:v>44089</c:v>
                </c:pt>
                <c:pt idx="140">
                  <c:v>44088</c:v>
                </c:pt>
                <c:pt idx="141">
                  <c:v>44085</c:v>
                </c:pt>
                <c:pt idx="142">
                  <c:v>44084</c:v>
                </c:pt>
                <c:pt idx="143">
                  <c:v>44083</c:v>
                </c:pt>
                <c:pt idx="144">
                  <c:v>44082</c:v>
                </c:pt>
                <c:pt idx="145">
                  <c:v>44081</c:v>
                </c:pt>
                <c:pt idx="146">
                  <c:v>44078</c:v>
                </c:pt>
                <c:pt idx="147">
                  <c:v>44077</c:v>
                </c:pt>
                <c:pt idx="148">
                  <c:v>44076</c:v>
                </c:pt>
                <c:pt idx="149">
                  <c:v>44075</c:v>
                </c:pt>
                <c:pt idx="150">
                  <c:v>44074</c:v>
                </c:pt>
                <c:pt idx="151">
                  <c:v>44071</c:v>
                </c:pt>
                <c:pt idx="152">
                  <c:v>44070</c:v>
                </c:pt>
                <c:pt idx="153">
                  <c:v>44069</c:v>
                </c:pt>
                <c:pt idx="154">
                  <c:v>44068</c:v>
                </c:pt>
                <c:pt idx="155">
                  <c:v>44067</c:v>
                </c:pt>
                <c:pt idx="156">
                  <c:v>44064</c:v>
                </c:pt>
                <c:pt idx="157">
                  <c:v>44063</c:v>
                </c:pt>
                <c:pt idx="158">
                  <c:v>44062</c:v>
                </c:pt>
                <c:pt idx="159">
                  <c:v>44061</c:v>
                </c:pt>
                <c:pt idx="160">
                  <c:v>44060</c:v>
                </c:pt>
                <c:pt idx="161">
                  <c:v>44057</c:v>
                </c:pt>
                <c:pt idx="162">
                  <c:v>44056</c:v>
                </c:pt>
                <c:pt idx="163">
                  <c:v>44055</c:v>
                </c:pt>
                <c:pt idx="164">
                  <c:v>44054</c:v>
                </c:pt>
                <c:pt idx="165">
                  <c:v>44053</c:v>
                </c:pt>
                <c:pt idx="166">
                  <c:v>44050</c:v>
                </c:pt>
                <c:pt idx="167">
                  <c:v>44049</c:v>
                </c:pt>
                <c:pt idx="168">
                  <c:v>44048</c:v>
                </c:pt>
                <c:pt idx="169">
                  <c:v>44047</c:v>
                </c:pt>
                <c:pt idx="170">
                  <c:v>44046</c:v>
                </c:pt>
                <c:pt idx="171">
                  <c:v>44043</c:v>
                </c:pt>
                <c:pt idx="172">
                  <c:v>44042</c:v>
                </c:pt>
                <c:pt idx="173">
                  <c:v>44041</c:v>
                </c:pt>
                <c:pt idx="174">
                  <c:v>44040</c:v>
                </c:pt>
                <c:pt idx="175">
                  <c:v>44039</c:v>
                </c:pt>
                <c:pt idx="176">
                  <c:v>44036</c:v>
                </c:pt>
                <c:pt idx="177">
                  <c:v>44035</c:v>
                </c:pt>
                <c:pt idx="178">
                  <c:v>44034</c:v>
                </c:pt>
                <c:pt idx="179">
                  <c:v>44033</c:v>
                </c:pt>
                <c:pt idx="180">
                  <c:v>44032</c:v>
                </c:pt>
                <c:pt idx="181">
                  <c:v>44029</c:v>
                </c:pt>
                <c:pt idx="182">
                  <c:v>44028</c:v>
                </c:pt>
                <c:pt idx="183">
                  <c:v>44027</c:v>
                </c:pt>
                <c:pt idx="184">
                  <c:v>44026</c:v>
                </c:pt>
                <c:pt idx="185">
                  <c:v>44025</c:v>
                </c:pt>
                <c:pt idx="186">
                  <c:v>44022</c:v>
                </c:pt>
                <c:pt idx="187">
                  <c:v>44021</c:v>
                </c:pt>
                <c:pt idx="188">
                  <c:v>44020</c:v>
                </c:pt>
                <c:pt idx="189">
                  <c:v>44019</c:v>
                </c:pt>
                <c:pt idx="190">
                  <c:v>44018</c:v>
                </c:pt>
                <c:pt idx="191">
                  <c:v>44015</c:v>
                </c:pt>
                <c:pt idx="192">
                  <c:v>44014</c:v>
                </c:pt>
                <c:pt idx="193">
                  <c:v>44013</c:v>
                </c:pt>
                <c:pt idx="194">
                  <c:v>44012</c:v>
                </c:pt>
                <c:pt idx="195">
                  <c:v>44011</c:v>
                </c:pt>
                <c:pt idx="196">
                  <c:v>44008</c:v>
                </c:pt>
                <c:pt idx="197">
                  <c:v>44007</c:v>
                </c:pt>
                <c:pt idx="198">
                  <c:v>44006</c:v>
                </c:pt>
                <c:pt idx="199">
                  <c:v>44005</c:v>
                </c:pt>
                <c:pt idx="200">
                  <c:v>44004</c:v>
                </c:pt>
                <c:pt idx="201">
                  <c:v>44001</c:v>
                </c:pt>
                <c:pt idx="202">
                  <c:v>44000</c:v>
                </c:pt>
                <c:pt idx="203">
                  <c:v>43999</c:v>
                </c:pt>
                <c:pt idx="204">
                  <c:v>43998</c:v>
                </c:pt>
                <c:pt idx="205">
                  <c:v>43997</c:v>
                </c:pt>
                <c:pt idx="206">
                  <c:v>43994</c:v>
                </c:pt>
                <c:pt idx="207">
                  <c:v>43993</c:v>
                </c:pt>
                <c:pt idx="208">
                  <c:v>43992</c:v>
                </c:pt>
                <c:pt idx="209">
                  <c:v>43991</c:v>
                </c:pt>
                <c:pt idx="210">
                  <c:v>43990</c:v>
                </c:pt>
                <c:pt idx="211">
                  <c:v>43987</c:v>
                </c:pt>
                <c:pt idx="212">
                  <c:v>43986</c:v>
                </c:pt>
                <c:pt idx="213">
                  <c:v>43985</c:v>
                </c:pt>
                <c:pt idx="214">
                  <c:v>43984</c:v>
                </c:pt>
                <c:pt idx="215">
                  <c:v>43983</c:v>
                </c:pt>
                <c:pt idx="216">
                  <c:v>43980</c:v>
                </c:pt>
                <c:pt idx="217">
                  <c:v>43979</c:v>
                </c:pt>
                <c:pt idx="218">
                  <c:v>43978</c:v>
                </c:pt>
                <c:pt idx="219">
                  <c:v>43977</c:v>
                </c:pt>
                <c:pt idx="220">
                  <c:v>43976</c:v>
                </c:pt>
                <c:pt idx="221">
                  <c:v>43973</c:v>
                </c:pt>
                <c:pt idx="222">
                  <c:v>43972</c:v>
                </c:pt>
                <c:pt idx="223">
                  <c:v>43971</c:v>
                </c:pt>
                <c:pt idx="224">
                  <c:v>43970</c:v>
                </c:pt>
                <c:pt idx="225">
                  <c:v>43969</c:v>
                </c:pt>
                <c:pt idx="226">
                  <c:v>43966</c:v>
                </c:pt>
                <c:pt idx="227">
                  <c:v>43965</c:v>
                </c:pt>
                <c:pt idx="228">
                  <c:v>43964</c:v>
                </c:pt>
                <c:pt idx="229">
                  <c:v>43963</c:v>
                </c:pt>
                <c:pt idx="230">
                  <c:v>43962</c:v>
                </c:pt>
                <c:pt idx="231">
                  <c:v>43959</c:v>
                </c:pt>
                <c:pt idx="232">
                  <c:v>43958</c:v>
                </c:pt>
                <c:pt idx="233">
                  <c:v>43957</c:v>
                </c:pt>
                <c:pt idx="234">
                  <c:v>43956</c:v>
                </c:pt>
                <c:pt idx="235">
                  <c:v>43955</c:v>
                </c:pt>
                <c:pt idx="236">
                  <c:v>43951</c:v>
                </c:pt>
                <c:pt idx="237">
                  <c:v>43950</c:v>
                </c:pt>
                <c:pt idx="238">
                  <c:v>43949</c:v>
                </c:pt>
                <c:pt idx="239">
                  <c:v>43948</c:v>
                </c:pt>
                <c:pt idx="240">
                  <c:v>43945</c:v>
                </c:pt>
                <c:pt idx="241">
                  <c:v>43944</c:v>
                </c:pt>
                <c:pt idx="242">
                  <c:v>43943</c:v>
                </c:pt>
                <c:pt idx="243">
                  <c:v>43942</c:v>
                </c:pt>
                <c:pt idx="244">
                  <c:v>43941</c:v>
                </c:pt>
                <c:pt idx="245">
                  <c:v>43938</c:v>
                </c:pt>
                <c:pt idx="246">
                  <c:v>43937</c:v>
                </c:pt>
                <c:pt idx="247">
                  <c:v>43936</c:v>
                </c:pt>
                <c:pt idx="248">
                  <c:v>43935</c:v>
                </c:pt>
                <c:pt idx="249">
                  <c:v>43930</c:v>
                </c:pt>
                <c:pt idx="250">
                  <c:v>43929</c:v>
                </c:pt>
                <c:pt idx="251">
                  <c:v>43928</c:v>
                </c:pt>
                <c:pt idx="252">
                  <c:v>43927</c:v>
                </c:pt>
                <c:pt idx="253">
                  <c:v>43924</c:v>
                </c:pt>
                <c:pt idx="254">
                  <c:v>43923</c:v>
                </c:pt>
                <c:pt idx="255">
                  <c:v>43922</c:v>
                </c:pt>
                <c:pt idx="256">
                  <c:v>43921</c:v>
                </c:pt>
                <c:pt idx="257">
                  <c:v>43920</c:v>
                </c:pt>
                <c:pt idx="258">
                  <c:v>43917</c:v>
                </c:pt>
                <c:pt idx="259">
                  <c:v>43916</c:v>
                </c:pt>
                <c:pt idx="260">
                  <c:v>43915</c:v>
                </c:pt>
                <c:pt idx="261">
                  <c:v>43914</c:v>
                </c:pt>
                <c:pt idx="262">
                  <c:v>43913</c:v>
                </c:pt>
                <c:pt idx="263">
                  <c:v>43910</c:v>
                </c:pt>
                <c:pt idx="264">
                  <c:v>43909</c:v>
                </c:pt>
                <c:pt idx="265">
                  <c:v>43908</c:v>
                </c:pt>
                <c:pt idx="266">
                  <c:v>43907</c:v>
                </c:pt>
                <c:pt idx="267">
                  <c:v>43906</c:v>
                </c:pt>
                <c:pt idx="268">
                  <c:v>43903</c:v>
                </c:pt>
                <c:pt idx="269">
                  <c:v>43902</c:v>
                </c:pt>
                <c:pt idx="270">
                  <c:v>43901</c:v>
                </c:pt>
                <c:pt idx="271">
                  <c:v>43900</c:v>
                </c:pt>
                <c:pt idx="272">
                  <c:v>43899</c:v>
                </c:pt>
                <c:pt idx="273">
                  <c:v>43896</c:v>
                </c:pt>
                <c:pt idx="274">
                  <c:v>43895</c:v>
                </c:pt>
                <c:pt idx="275">
                  <c:v>43894</c:v>
                </c:pt>
                <c:pt idx="276">
                  <c:v>43893</c:v>
                </c:pt>
                <c:pt idx="277">
                  <c:v>43892</c:v>
                </c:pt>
                <c:pt idx="278">
                  <c:v>43889</c:v>
                </c:pt>
                <c:pt idx="279">
                  <c:v>43888</c:v>
                </c:pt>
                <c:pt idx="280">
                  <c:v>43887</c:v>
                </c:pt>
                <c:pt idx="281">
                  <c:v>43886</c:v>
                </c:pt>
                <c:pt idx="282">
                  <c:v>43885</c:v>
                </c:pt>
                <c:pt idx="283">
                  <c:v>43882</c:v>
                </c:pt>
                <c:pt idx="284">
                  <c:v>43881</c:v>
                </c:pt>
                <c:pt idx="285">
                  <c:v>43880</c:v>
                </c:pt>
                <c:pt idx="286">
                  <c:v>43879</c:v>
                </c:pt>
                <c:pt idx="287">
                  <c:v>43878</c:v>
                </c:pt>
                <c:pt idx="288">
                  <c:v>43875</c:v>
                </c:pt>
                <c:pt idx="289">
                  <c:v>43874</c:v>
                </c:pt>
                <c:pt idx="290">
                  <c:v>43873</c:v>
                </c:pt>
                <c:pt idx="291">
                  <c:v>43872</c:v>
                </c:pt>
                <c:pt idx="292">
                  <c:v>43871</c:v>
                </c:pt>
                <c:pt idx="293">
                  <c:v>43868</c:v>
                </c:pt>
                <c:pt idx="294">
                  <c:v>43867</c:v>
                </c:pt>
                <c:pt idx="295">
                  <c:v>43866</c:v>
                </c:pt>
                <c:pt idx="296">
                  <c:v>43865</c:v>
                </c:pt>
                <c:pt idx="297">
                  <c:v>43864</c:v>
                </c:pt>
                <c:pt idx="298">
                  <c:v>43861</c:v>
                </c:pt>
                <c:pt idx="299">
                  <c:v>43860</c:v>
                </c:pt>
                <c:pt idx="300">
                  <c:v>43859</c:v>
                </c:pt>
                <c:pt idx="301">
                  <c:v>43858</c:v>
                </c:pt>
                <c:pt idx="302">
                  <c:v>43857</c:v>
                </c:pt>
                <c:pt idx="303">
                  <c:v>43854</c:v>
                </c:pt>
                <c:pt idx="304">
                  <c:v>43853</c:v>
                </c:pt>
                <c:pt idx="305">
                  <c:v>43852</c:v>
                </c:pt>
                <c:pt idx="306">
                  <c:v>43851</c:v>
                </c:pt>
                <c:pt idx="307">
                  <c:v>43850</c:v>
                </c:pt>
                <c:pt idx="308">
                  <c:v>43847</c:v>
                </c:pt>
                <c:pt idx="309">
                  <c:v>43846</c:v>
                </c:pt>
                <c:pt idx="310">
                  <c:v>43845</c:v>
                </c:pt>
                <c:pt idx="311">
                  <c:v>43844</c:v>
                </c:pt>
                <c:pt idx="312">
                  <c:v>43843</c:v>
                </c:pt>
                <c:pt idx="313">
                  <c:v>43840</c:v>
                </c:pt>
                <c:pt idx="314">
                  <c:v>43839</c:v>
                </c:pt>
                <c:pt idx="315">
                  <c:v>43838</c:v>
                </c:pt>
                <c:pt idx="316">
                  <c:v>43837</c:v>
                </c:pt>
                <c:pt idx="317">
                  <c:v>43836</c:v>
                </c:pt>
                <c:pt idx="318">
                  <c:v>43833</c:v>
                </c:pt>
                <c:pt idx="319">
                  <c:v>43832</c:v>
                </c:pt>
                <c:pt idx="320">
                  <c:v>43830</c:v>
                </c:pt>
                <c:pt idx="321">
                  <c:v>43829</c:v>
                </c:pt>
                <c:pt idx="322">
                  <c:v>43826</c:v>
                </c:pt>
                <c:pt idx="323">
                  <c:v>43823</c:v>
                </c:pt>
                <c:pt idx="324">
                  <c:v>43822</c:v>
                </c:pt>
                <c:pt idx="325">
                  <c:v>43819</c:v>
                </c:pt>
                <c:pt idx="326">
                  <c:v>43818</c:v>
                </c:pt>
                <c:pt idx="327">
                  <c:v>43817</c:v>
                </c:pt>
                <c:pt idx="328">
                  <c:v>43816</c:v>
                </c:pt>
                <c:pt idx="329">
                  <c:v>43815</c:v>
                </c:pt>
                <c:pt idx="330">
                  <c:v>43812</c:v>
                </c:pt>
                <c:pt idx="331">
                  <c:v>43811</c:v>
                </c:pt>
                <c:pt idx="332">
                  <c:v>43810</c:v>
                </c:pt>
                <c:pt idx="333">
                  <c:v>43809</c:v>
                </c:pt>
                <c:pt idx="334">
                  <c:v>43808</c:v>
                </c:pt>
                <c:pt idx="335">
                  <c:v>43805</c:v>
                </c:pt>
                <c:pt idx="336">
                  <c:v>43804</c:v>
                </c:pt>
                <c:pt idx="337">
                  <c:v>43803</c:v>
                </c:pt>
                <c:pt idx="338">
                  <c:v>43802</c:v>
                </c:pt>
                <c:pt idx="339">
                  <c:v>43801</c:v>
                </c:pt>
                <c:pt idx="340">
                  <c:v>43798</c:v>
                </c:pt>
                <c:pt idx="341">
                  <c:v>43797</c:v>
                </c:pt>
                <c:pt idx="342">
                  <c:v>43796</c:v>
                </c:pt>
                <c:pt idx="343">
                  <c:v>43795</c:v>
                </c:pt>
                <c:pt idx="344">
                  <c:v>43794</c:v>
                </c:pt>
                <c:pt idx="345">
                  <c:v>43791</c:v>
                </c:pt>
                <c:pt idx="346">
                  <c:v>43790</c:v>
                </c:pt>
                <c:pt idx="347">
                  <c:v>43789</c:v>
                </c:pt>
                <c:pt idx="348">
                  <c:v>43788</c:v>
                </c:pt>
                <c:pt idx="349">
                  <c:v>43787</c:v>
                </c:pt>
                <c:pt idx="350">
                  <c:v>43784</c:v>
                </c:pt>
                <c:pt idx="351">
                  <c:v>43783</c:v>
                </c:pt>
                <c:pt idx="352">
                  <c:v>43782</c:v>
                </c:pt>
                <c:pt idx="353">
                  <c:v>43781</c:v>
                </c:pt>
                <c:pt idx="354">
                  <c:v>43780</c:v>
                </c:pt>
                <c:pt idx="355">
                  <c:v>43777</c:v>
                </c:pt>
                <c:pt idx="356">
                  <c:v>43776</c:v>
                </c:pt>
                <c:pt idx="357">
                  <c:v>43775</c:v>
                </c:pt>
                <c:pt idx="358">
                  <c:v>43774</c:v>
                </c:pt>
                <c:pt idx="359">
                  <c:v>43773</c:v>
                </c:pt>
                <c:pt idx="360">
                  <c:v>43770</c:v>
                </c:pt>
                <c:pt idx="361">
                  <c:v>43769</c:v>
                </c:pt>
                <c:pt idx="362">
                  <c:v>43768</c:v>
                </c:pt>
                <c:pt idx="363">
                  <c:v>43767</c:v>
                </c:pt>
                <c:pt idx="364">
                  <c:v>43766</c:v>
                </c:pt>
                <c:pt idx="365">
                  <c:v>43763</c:v>
                </c:pt>
                <c:pt idx="366">
                  <c:v>43762</c:v>
                </c:pt>
                <c:pt idx="367">
                  <c:v>43761</c:v>
                </c:pt>
                <c:pt idx="368">
                  <c:v>43760</c:v>
                </c:pt>
                <c:pt idx="369">
                  <c:v>43759</c:v>
                </c:pt>
                <c:pt idx="370">
                  <c:v>43756</c:v>
                </c:pt>
                <c:pt idx="371">
                  <c:v>43755</c:v>
                </c:pt>
                <c:pt idx="372">
                  <c:v>43754</c:v>
                </c:pt>
                <c:pt idx="373">
                  <c:v>43753</c:v>
                </c:pt>
                <c:pt idx="374">
                  <c:v>43752</c:v>
                </c:pt>
                <c:pt idx="375">
                  <c:v>43749</c:v>
                </c:pt>
                <c:pt idx="376">
                  <c:v>43748</c:v>
                </c:pt>
                <c:pt idx="377">
                  <c:v>43747</c:v>
                </c:pt>
                <c:pt idx="378">
                  <c:v>43746</c:v>
                </c:pt>
                <c:pt idx="379">
                  <c:v>43745</c:v>
                </c:pt>
                <c:pt idx="380">
                  <c:v>43742</c:v>
                </c:pt>
                <c:pt idx="381">
                  <c:v>43741</c:v>
                </c:pt>
                <c:pt idx="382">
                  <c:v>43740</c:v>
                </c:pt>
                <c:pt idx="383">
                  <c:v>43739</c:v>
                </c:pt>
                <c:pt idx="384">
                  <c:v>43738</c:v>
                </c:pt>
                <c:pt idx="385">
                  <c:v>43735</c:v>
                </c:pt>
                <c:pt idx="386">
                  <c:v>43734</c:v>
                </c:pt>
                <c:pt idx="387">
                  <c:v>43733</c:v>
                </c:pt>
                <c:pt idx="388">
                  <c:v>43732</c:v>
                </c:pt>
                <c:pt idx="389">
                  <c:v>43731</c:v>
                </c:pt>
                <c:pt idx="390">
                  <c:v>43728</c:v>
                </c:pt>
                <c:pt idx="391">
                  <c:v>43727</c:v>
                </c:pt>
                <c:pt idx="392">
                  <c:v>43726</c:v>
                </c:pt>
                <c:pt idx="393">
                  <c:v>43725</c:v>
                </c:pt>
                <c:pt idx="394">
                  <c:v>43724</c:v>
                </c:pt>
                <c:pt idx="395">
                  <c:v>43721</c:v>
                </c:pt>
                <c:pt idx="396">
                  <c:v>43720</c:v>
                </c:pt>
                <c:pt idx="397">
                  <c:v>43719</c:v>
                </c:pt>
                <c:pt idx="398">
                  <c:v>43718</c:v>
                </c:pt>
                <c:pt idx="399">
                  <c:v>43717</c:v>
                </c:pt>
                <c:pt idx="400">
                  <c:v>43714</c:v>
                </c:pt>
                <c:pt idx="401">
                  <c:v>43713</c:v>
                </c:pt>
                <c:pt idx="402">
                  <c:v>43712</c:v>
                </c:pt>
                <c:pt idx="403">
                  <c:v>43711</c:v>
                </c:pt>
                <c:pt idx="404">
                  <c:v>43710</c:v>
                </c:pt>
                <c:pt idx="405">
                  <c:v>43707</c:v>
                </c:pt>
                <c:pt idx="406">
                  <c:v>43706</c:v>
                </c:pt>
                <c:pt idx="407">
                  <c:v>43705</c:v>
                </c:pt>
                <c:pt idx="408">
                  <c:v>43704</c:v>
                </c:pt>
                <c:pt idx="409">
                  <c:v>43703</c:v>
                </c:pt>
                <c:pt idx="410">
                  <c:v>43700</c:v>
                </c:pt>
                <c:pt idx="411">
                  <c:v>43699</c:v>
                </c:pt>
                <c:pt idx="412">
                  <c:v>43698</c:v>
                </c:pt>
                <c:pt idx="413">
                  <c:v>43697</c:v>
                </c:pt>
                <c:pt idx="414">
                  <c:v>43696</c:v>
                </c:pt>
                <c:pt idx="415">
                  <c:v>43693</c:v>
                </c:pt>
                <c:pt idx="416">
                  <c:v>43692</c:v>
                </c:pt>
                <c:pt idx="417">
                  <c:v>43691</c:v>
                </c:pt>
                <c:pt idx="418">
                  <c:v>43690</c:v>
                </c:pt>
                <c:pt idx="419">
                  <c:v>43689</c:v>
                </c:pt>
                <c:pt idx="420">
                  <c:v>43686</c:v>
                </c:pt>
                <c:pt idx="421">
                  <c:v>43685</c:v>
                </c:pt>
                <c:pt idx="422">
                  <c:v>43684</c:v>
                </c:pt>
                <c:pt idx="423">
                  <c:v>43683</c:v>
                </c:pt>
                <c:pt idx="424">
                  <c:v>43682</c:v>
                </c:pt>
                <c:pt idx="425">
                  <c:v>43679</c:v>
                </c:pt>
                <c:pt idx="426">
                  <c:v>43678</c:v>
                </c:pt>
                <c:pt idx="427">
                  <c:v>43677</c:v>
                </c:pt>
                <c:pt idx="428">
                  <c:v>43676</c:v>
                </c:pt>
                <c:pt idx="429">
                  <c:v>43675</c:v>
                </c:pt>
                <c:pt idx="430">
                  <c:v>43672</c:v>
                </c:pt>
                <c:pt idx="431">
                  <c:v>43671</c:v>
                </c:pt>
                <c:pt idx="432">
                  <c:v>43670</c:v>
                </c:pt>
                <c:pt idx="433">
                  <c:v>43669</c:v>
                </c:pt>
                <c:pt idx="434">
                  <c:v>43668</c:v>
                </c:pt>
                <c:pt idx="435">
                  <c:v>43665</c:v>
                </c:pt>
                <c:pt idx="436">
                  <c:v>43664</c:v>
                </c:pt>
                <c:pt idx="437">
                  <c:v>43663</c:v>
                </c:pt>
                <c:pt idx="438">
                  <c:v>43662</c:v>
                </c:pt>
                <c:pt idx="439">
                  <c:v>43661</c:v>
                </c:pt>
                <c:pt idx="440">
                  <c:v>43658</c:v>
                </c:pt>
                <c:pt idx="441">
                  <c:v>43657</c:v>
                </c:pt>
                <c:pt idx="442">
                  <c:v>43656</c:v>
                </c:pt>
                <c:pt idx="443">
                  <c:v>43655</c:v>
                </c:pt>
                <c:pt idx="444">
                  <c:v>43654</c:v>
                </c:pt>
                <c:pt idx="445">
                  <c:v>43651</c:v>
                </c:pt>
                <c:pt idx="446">
                  <c:v>43650</c:v>
                </c:pt>
                <c:pt idx="447">
                  <c:v>43649</c:v>
                </c:pt>
                <c:pt idx="448">
                  <c:v>43648</c:v>
                </c:pt>
                <c:pt idx="449">
                  <c:v>43647</c:v>
                </c:pt>
                <c:pt idx="450">
                  <c:v>43644</c:v>
                </c:pt>
                <c:pt idx="451">
                  <c:v>43643</c:v>
                </c:pt>
              </c:numCache>
            </c:numRef>
          </c:cat>
          <c:val>
            <c:numRef>
              <c:f>'EUROBOND 2029 offline'!$B$23:$B$478</c:f>
              <c:numCache>
                <c:formatCode>#,##0.000</c:formatCode>
                <c:ptCount val="456"/>
                <c:pt idx="0">
                  <c:v>100.36</c:v>
                </c:pt>
                <c:pt idx="1">
                  <c:v>100.36</c:v>
                </c:pt>
                <c:pt idx="2">
                  <c:v>100.505</c:v>
                </c:pt>
                <c:pt idx="3">
                  <c:v>100.53700000000001</c:v>
                </c:pt>
                <c:pt idx="4">
                  <c:v>100.55500000000001</c:v>
                </c:pt>
                <c:pt idx="5">
                  <c:v>100.58199999999999</c:v>
                </c:pt>
                <c:pt idx="6">
                  <c:v>100.57</c:v>
                </c:pt>
                <c:pt idx="7">
                  <c:v>100.562</c:v>
                </c:pt>
                <c:pt idx="8">
                  <c:v>100.539</c:v>
                </c:pt>
                <c:pt idx="9">
                  <c:v>100.54</c:v>
                </c:pt>
                <c:pt idx="10">
                  <c:v>100.664</c:v>
                </c:pt>
                <c:pt idx="11">
                  <c:v>100.74</c:v>
                </c:pt>
                <c:pt idx="12">
                  <c:v>100.64700000000001</c:v>
                </c:pt>
                <c:pt idx="13">
                  <c:v>100.58799999999999</c:v>
                </c:pt>
                <c:pt idx="14">
                  <c:v>100.696</c:v>
                </c:pt>
                <c:pt idx="15">
                  <c:v>100.206</c:v>
                </c:pt>
                <c:pt idx="16">
                  <c:v>100.15900000000001</c:v>
                </c:pt>
                <c:pt idx="17">
                  <c:v>100.045</c:v>
                </c:pt>
                <c:pt idx="18">
                  <c:v>100.42400000000001</c:v>
                </c:pt>
                <c:pt idx="19">
                  <c:v>100.626</c:v>
                </c:pt>
                <c:pt idx="20">
                  <c:v>100.738</c:v>
                </c:pt>
                <c:pt idx="21">
                  <c:v>100.88500000000001</c:v>
                </c:pt>
                <c:pt idx="22">
                  <c:v>100.764</c:v>
                </c:pt>
                <c:pt idx="23">
                  <c:v>100.538</c:v>
                </c:pt>
                <c:pt idx="24">
                  <c:v>100.685</c:v>
                </c:pt>
                <c:pt idx="25">
                  <c:v>100.908</c:v>
                </c:pt>
                <c:pt idx="26">
                  <c:v>101.477</c:v>
                </c:pt>
                <c:pt idx="27">
                  <c:v>101.51600000000001</c:v>
                </c:pt>
                <c:pt idx="28">
                  <c:v>101.768</c:v>
                </c:pt>
                <c:pt idx="29">
                  <c:v>101.979</c:v>
                </c:pt>
                <c:pt idx="30">
                  <c:v>102.078</c:v>
                </c:pt>
                <c:pt idx="31">
                  <c:v>102.425</c:v>
                </c:pt>
                <c:pt idx="32">
                  <c:v>102.676</c:v>
                </c:pt>
                <c:pt idx="33">
                  <c:v>102.98099999999999</c:v>
                </c:pt>
                <c:pt idx="34">
                  <c:v>103.119</c:v>
                </c:pt>
                <c:pt idx="35">
                  <c:v>103.16500000000001</c:v>
                </c:pt>
                <c:pt idx="36">
                  <c:v>103.212</c:v>
                </c:pt>
                <c:pt idx="37">
                  <c:v>103.27800000000001</c:v>
                </c:pt>
                <c:pt idx="38">
                  <c:v>103.322</c:v>
                </c:pt>
                <c:pt idx="39">
                  <c:v>103.11799999999999</c:v>
                </c:pt>
                <c:pt idx="40">
                  <c:v>102.902</c:v>
                </c:pt>
                <c:pt idx="41">
                  <c:v>102.81699999999999</c:v>
                </c:pt>
                <c:pt idx="42">
                  <c:v>102.752</c:v>
                </c:pt>
                <c:pt idx="43">
                  <c:v>102.55</c:v>
                </c:pt>
                <c:pt idx="44">
                  <c:v>102.455</c:v>
                </c:pt>
                <c:pt idx="45">
                  <c:v>102.35599999999999</c:v>
                </c:pt>
                <c:pt idx="46">
                  <c:v>102.43899999999999</c:v>
                </c:pt>
                <c:pt idx="47">
                  <c:v>102.447</c:v>
                </c:pt>
                <c:pt idx="48">
                  <c:v>102.465</c:v>
                </c:pt>
                <c:pt idx="49">
                  <c:v>102.598</c:v>
                </c:pt>
                <c:pt idx="50">
                  <c:v>102.90600000000001</c:v>
                </c:pt>
                <c:pt idx="51">
                  <c:v>103.13</c:v>
                </c:pt>
                <c:pt idx="52">
                  <c:v>103.304</c:v>
                </c:pt>
                <c:pt idx="53">
                  <c:v>103.447</c:v>
                </c:pt>
                <c:pt idx="54">
                  <c:v>103.63</c:v>
                </c:pt>
                <c:pt idx="55">
                  <c:v>103.47799999999999</c:v>
                </c:pt>
                <c:pt idx="56">
                  <c:v>103.28400000000001</c:v>
                </c:pt>
                <c:pt idx="57">
                  <c:v>103.79900000000001</c:v>
                </c:pt>
                <c:pt idx="58">
                  <c:v>103.91500000000001</c:v>
                </c:pt>
                <c:pt idx="59">
                  <c:v>104.008</c:v>
                </c:pt>
                <c:pt idx="60">
                  <c:v>104.358</c:v>
                </c:pt>
                <c:pt idx="61">
                  <c:v>104.553</c:v>
                </c:pt>
                <c:pt idx="62">
                  <c:v>104.53100000000001</c:v>
                </c:pt>
                <c:pt idx="63">
                  <c:v>103.643</c:v>
                </c:pt>
                <c:pt idx="64">
                  <c:v>103.54</c:v>
                </c:pt>
                <c:pt idx="65">
                  <c:v>103.48699999999999</c:v>
                </c:pt>
                <c:pt idx="66">
                  <c:v>103.43899999999999</c:v>
                </c:pt>
                <c:pt idx="67">
                  <c:v>103.33799999999999</c:v>
                </c:pt>
                <c:pt idx="68">
                  <c:v>103.355</c:v>
                </c:pt>
                <c:pt idx="69">
                  <c:v>103.31699999999999</c:v>
                </c:pt>
                <c:pt idx="70">
                  <c:v>103.42700000000001</c:v>
                </c:pt>
                <c:pt idx="71">
                  <c:v>103.423</c:v>
                </c:pt>
                <c:pt idx="72">
                  <c:v>103.214</c:v>
                </c:pt>
                <c:pt idx="73">
                  <c:v>102.93300000000001</c:v>
                </c:pt>
                <c:pt idx="74">
                  <c:v>102.75700000000001</c:v>
                </c:pt>
                <c:pt idx="75">
                  <c:v>102.636</c:v>
                </c:pt>
                <c:pt idx="76">
                  <c:v>102.551</c:v>
                </c:pt>
                <c:pt idx="77">
                  <c:v>102.486</c:v>
                </c:pt>
                <c:pt idx="78">
                  <c:v>102.376</c:v>
                </c:pt>
                <c:pt idx="79">
                  <c:v>102.23099999999999</c:v>
                </c:pt>
                <c:pt idx="80">
                  <c:v>102.185</c:v>
                </c:pt>
                <c:pt idx="81">
                  <c:v>102.033</c:v>
                </c:pt>
                <c:pt idx="82">
                  <c:v>101.89700000000001</c:v>
                </c:pt>
                <c:pt idx="83">
                  <c:v>101.446</c:v>
                </c:pt>
                <c:pt idx="84">
                  <c:v>101.276</c:v>
                </c:pt>
                <c:pt idx="85">
                  <c:v>101.32299999999999</c:v>
                </c:pt>
                <c:pt idx="86">
                  <c:v>101.306</c:v>
                </c:pt>
                <c:pt idx="87">
                  <c:v>101.292</c:v>
                </c:pt>
                <c:pt idx="88">
                  <c:v>101.288</c:v>
                </c:pt>
                <c:pt idx="89">
                  <c:v>101.20099999999999</c:v>
                </c:pt>
                <c:pt idx="90">
                  <c:v>100.663</c:v>
                </c:pt>
                <c:pt idx="91">
                  <c:v>100.081</c:v>
                </c:pt>
                <c:pt idx="92">
                  <c:v>100.072</c:v>
                </c:pt>
                <c:pt idx="93">
                  <c:v>99.995999999999995</c:v>
                </c:pt>
                <c:pt idx="94">
                  <c:v>99.962999999999994</c:v>
                </c:pt>
                <c:pt idx="95">
                  <c:v>99.933999999999997</c:v>
                </c:pt>
                <c:pt idx="96">
                  <c:v>99.853999999999999</c:v>
                </c:pt>
                <c:pt idx="97">
                  <c:v>99.873999999999995</c:v>
                </c:pt>
                <c:pt idx="98">
                  <c:v>99.959000000000003</c:v>
                </c:pt>
                <c:pt idx="99">
                  <c:v>99.945999999999998</c:v>
                </c:pt>
                <c:pt idx="100">
                  <c:v>99.957999999999998</c:v>
                </c:pt>
                <c:pt idx="101">
                  <c:v>99.671000000000006</c:v>
                </c:pt>
                <c:pt idx="102">
                  <c:v>99.625</c:v>
                </c:pt>
                <c:pt idx="103">
                  <c:v>98.581999999999994</c:v>
                </c:pt>
                <c:pt idx="104">
                  <c:v>98.052000000000007</c:v>
                </c:pt>
                <c:pt idx="105">
                  <c:v>97.748000000000005</c:v>
                </c:pt>
                <c:pt idx="106">
                  <c:v>97.742000000000004</c:v>
                </c:pt>
                <c:pt idx="107">
                  <c:v>97.793999999999997</c:v>
                </c:pt>
                <c:pt idx="108">
                  <c:v>97.872</c:v>
                </c:pt>
                <c:pt idx="109">
                  <c:v>98.433000000000007</c:v>
                </c:pt>
                <c:pt idx="110">
                  <c:v>98.536000000000001</c:v>
                </c:pt>
                <c:pt idx="111">
                  <c:v>98.778999999999996</c:v>
                </c:pt>
                <c:pt idx="112">
                  <c:v>98.596000000000004</c:v>
                </c:pt>
                <c:pt idx="113">
                  <c:v>98.558000000000007</c:v>
                </c:pt>
                <c:pt idx="114">
                  <c:v>98.61</c:v>
                </c:pt>
                <c:pt idx="115">
                  <c:v>98.68</c:v>
                </c:pt>
                <c:pt idx="116">
                  <c:v>98.47</c:v>
                </c:pt>
                <c:pt idx="117">
                  <c:v>98.179000000000002</c:v>
                </c:pt>
                <c:pt idx="118">
                  <c:v>98.185000000000002</c:v>
                </c:pt>
                <c:pt idx="119">
                  <c:v>98.123999999999995</c:v>
                </c:pt>
                <c:pt idx="120">
                  <c:v>97.706999999999994</c:v>
                </c:pt>
                <c:pt idx="121">
                  <c:v>97.606999999999999</c:v>
                </c:pt>
                <c:pt idx="122">
                  <c:v>97.424999999999997</c:v>
                </c:pt>
                <c:pt idx="123">
                  <c:v>97.02</c:v>
                </c:pt>
                <c:pt idx="124">
                  <c:v>97.006</c:v>
                </c:pt>
                <c:pt idx="125">
                  <c:v>96.88</c:v>
                </c:pt>
                <c:pt idx="126">
                  <c:v>96.850999999999999</c:v>
                </c:pt>
                <c:pt idx="127">
                  <c:v>96.843999999999994</c:v>
                </c:pt>
                <c:pt idx="128">
                  <c:v>96.781000000000006</c:v>
                </c:pt>
                <c:pt idx="129">
                  <c:v>96.908000000000001</c:v>
                </c:pt>
                <c:pt idx="130">
                  <c:v>97.247</c:v>
                </c:pt>
                <c:pt idx="131">
                  <c:v>97.278000000000006</c:v>
                </c:pt>
                <c:pt idx="132">
                  <c:v>97.332999999999998</c:v>
                </c:pt>
                <c:pt idx="133">
                  <c:v>97.694000000000003</c:v>
                </c:pt>
                <c:pt idx="134">
                  <c:v>97.798000000000002</c:v>
                </c:pt>
                <c:pt idx="135">
                  <c:v>97.962999999999994</c:v>
                </c:pt>
                <c:pt idx="136">
                  <c:v>98.263999999999996</c:v>
                </c:pt>
                <c:pt idx="137">
                  <c:v>98.281999999999996</c:v>
                </c:pt>
                <c:pt idx="138">
                  <c:v>98.346000000000004</c:v>
                </c:pt>
                <c:pt idx="139">
                  <c:v>98.328000000000003</c:v>
                </c:pt>
                <c:pt idx="140">
                  <c:v>98.051000000000002</c:v>
                </c:pt>
                <c:pt idx="141">
                  <c:v>97.906000000000006</c:v>
                </c:pt>
                <c:pt idx="142">
                  <c:v>97.789000000000001</c:v>
                </c:pt>
                <c:pt idx="143">
                  <c:v>97.724000000000004</c:v>
                </c:pt>
                <c:pt idx="144">
                  <c:v>97.67</c:v>
                </c:pt>
                <c:pt idx="145">
                  <c:v>97.683000000000007</c:v>
                </c:pt>
                <c:pt idx="146">
                  <c:v>97.593000000000004</c:v>
                </c:pt>
                <c:pt idx="147">
                  <c:v>97.468999999999994</c:v>
                </c:pt>
                <c:pt idx="148">
                  <c:v>97.204999999999998</c:v>
                </c:pt>
                <c:pt idx="149">
                  <c:v>96.962999999999994</c:v>
                </c:pt>
                <c:pt idx="150">
                  <c:v>96.850999999999999</c:v>
                </c:pt>
                <c:pt idx="151">
                  <c:v>96.825000000000003</c:v>
                </c:pt>
                <c:pt idx="152">
                  <c:v>96.838999999999999</c:v>
                </c:pt>
                <c:pt idx="153">
                  <c:v>96.786000000000001</c:v>
                </c:pt>
                <c:pt idx="154">
                  <c:v>96.82</c:v>
                </c:pt>
                <c:pt idx="155">
                  <c:v>96.808000000000007</c:v>
                </c:pt>
                <c:pt idx="156">
                  <c:v>96.777000000000001</c:v>
                </c:pt>
                <c:pt idx="157">
                  <c:v>96.754000000000005</c:v>
                </c:pt>
                <c:pt idx="158">
                  <c:v>96.742000000000004</c:v>
                </c:pt>
                <c:pt idx="159">
                  <c:v>96.713999999999999</c:v>
                </c:pt>
                <c:pt idx="160">
                  <c:v>96.784999999999997</c:v>
                </c:pt>
                <c:pt idx="161">
                  <c:v>96.683999999999997</c:v>
                </c:pt>
                <c:pt idx="162">
                  <c:v>96.724000000000004</c:v>
                </c:pt>
                <c:pt idx="163">
                  <c:v>96.582999999999998</c:v>
                </c:pt>
                <c:pt idx="164">
                  <c:v>96.623999999999995</c:v>
                </c:pt>
                <c:pt idx="165">
                  <c:v>96.611000000000004</c:v>
                </c:pt>
                <c:pt idx="166">
                  <c:v>96.527000000000001</c:v>
                </c:pt>
                <c:pt idx="167">
                  <c:v>96.353999999999999</c:v>
                </c:pt>
                <c:pt idx="168">
                  <c:v>96.183000000000007</c:v>
                </c:pt>
                <c:pt idx="169">
                  <c:v>95.938999999999993</c:v>
                </c:pt>
                <c:pt idx="170">
                  <c:v>95.846000000000004</c:v>
                </c:pt>
                <c:pt idx="171">
                  <c:v>95.846999999999994</c:v>
                </c:pt>
                <c:pt idx="172">
                  <c:v>95.888000000000005</c:v>
                </c:pt>
                <c:pt idx="173">
                  <c:v>96.102000000000004</c:v>
                </c:pt>
                <c:pt idx="174">
                  <c:v>96.111999999999995</c:v>
                </c:pt>
                <c:pt idx="175">
                  <c:v>96.227000000000004</c:v>
                </c:pt>
                <c:pt idx="176">
                  <c:v>96.316000000000003</c:v>
                </c:pt>
                <c:pt idx="177">
                  <c:v>96.650999999999996</c:v>
                </c:pt>
                <c:pt idx="178">
                  <c:v>95.927000000000007</c:v>
                </c:pt>
                <c:pt idx="179">
                  <c:v>95.506</c:v>
                </c:pt>
                <c:pt idx="180">
                  <c:v>95.135999999999996</c:v>
                </c:pt>
                <c:pt idx="181">
                  <c:v>94.844999999999999</c:v>
                </c:pt>
                <c:pt idx="182">
                  <c:v>94.637</c:v>
                </c:pt>
                <c:pt idx="183">
                  <c:v>94.551000000000002</c:v>
                </c:pt>
                <c:pt idx="184">
                  <c:v>94.430999999999997</c:v>
                </c:pt>
                <c:pt idx="185">
                  <c:v>94.551000000000002</c:v>
                </c:pt>
                <c:pt idx="186">
                  <c:v>94.563999999999993</c:v>
                </c:pt>
                <c:pt idx="187">
                  <c:v>94.915999999999997</c:v>
                </c:pt>
                <c:pt idx="188">
                  <c:v>95.16</c:v>
                </c:pt>
                <c:pt idx="189">
                  <c:v>95.218000000000004</c:v>
                </c:pt>
                <c:pt idx="190">
                  <c:v>94.891999999999996</c:v>
                </c:pt>
                <c:pt idx="191">
                  <c:v>94.453999999999994</c:v>
                </c:pt>
                <c:pt idx="192">
                  <c:v>94.405000000000001</c:v>
                </c:pt>
                <c:pt idx="193">
                  <c:v>94.111000000000004</c:v>
                </c:pt>
                <c:pt idx="194">
                  <c:v>94.006</c:v>
                </c:pt>
                <c:pt idx="195">
                  <c:v>93.915999999999997</c:v>
                </c:pt>
                <c:pt idx="196">
                  <c:v>93.92</c:v>
                </c:pt>
                <c:pt idx="197">
                  <c:v>93.852000000000004</c:v>
                </c:pt>
                <c:pt idx="198">
                  <c:v>93.944999999999993</c:v>
                </c:pt>
                <c:pt idx="199">
                  <c:v>94.024000000000001</c:v>
                </c:pt>
                <c:pt idx="200">
                  <c:v>93.947000000000003</c:v>
                </c:pt>
                <c:pt idx="201">
                  <c:v>93.798000000000002</c:v>
                </c:pt>
                <c:pt idx="202">
                  <c:v>93.748999999999995</c:v>
                </c:pt>
                <c:pt idx="203">
                  <c:v>93.725999999999999</c:v>
                </c:pt>
                <c:pt idx="204">
                  <c:v>93.623000000000005</c:v>
                </c:pt>
                <c:pt idx="205">
                  <c:v>92.88</c:v>
                </c:pt>
                <c:pt idx="206">
                  <c:v>93.358000000000004</c:v>
                </c:pt>
                <c:pt idx="207">
                  <c:v>93.394000000000005</c:v>
                </c:pt>
                <c:pt idx="208">
                  <c:v>93.739000000000004</c:v>
                </c:pt>
                <c:pt idx="209">
                  <c:v>94.284999999999997</c:v>
                </c:pt>
                <c:pt idx="210">
                  <c:v>94.605000000000004</c:v>
                </c:pt>
                <c:pt idx="211">
                  <c:v>94.513000000000005</c:v>
                </c:pt>
                <c:pt idx="212">
                  <c:v>94.554000000000002</c:v>
                </c:pt>
                <c:pt idx="213">
                  <c:v>95.084000000000003</c:v>
                </c:pt>
                <c:pt idx="214">
                  <c:v>95.004999999999995</c:v>
                </c:pt>
                <c:pt idx="215">
                  <c:v>94.716999999999999</c:v>
                </c:pt>
                <c:pt idx="216">
                  <c:v>94.171000000000006</c:v>
                </c:pt>
                <c:pt idx="217">
                  <c:v>92.135000000000005</c:v>
                </c:pt>
                <c:pt idx="218">
                  <c:v>90.239000000000004</c:v>
                </c:pt>
                <c:pt idx="219">
                  <c:v>89.108000000000004</c:v>
                </c:pt>
                <c:pt idx="220">
                  <c:v>88.587000000000003</c:v>
                </c:pt>
                <c:pt idx="221">
                  <c:v>88.634</c:v>
                </c:pt>
                <c:pt idx="222">
                  <c:v>88.551000000000002</c:v>
                </c:pt>
                <c:pt idx="223">
                  <c:v>88.421999999999997</c:v>
                </c:pt>
                <c:pt idx="224">
                  <c:v>88.138000000000005</c:v>
                </c:pt>
                <c:pt idx="225">
                  <c:v>87.869</c:v>
                </c:pt>
                <c:pt idx="226">
                  <c:v>87.762</c:v>
                </c:pt>
                <c:pt idx="227">
                  <c:v>88.045000000000002</c:v>
                </c:pt>
                <c:pt idx="228">
                  <c:v>88.603999999999999</c:v>
                </c:pt>
                <c:pt idx="229">
                  <c:v>88.662000000000006</c:v>
                </c:pt>
                <c:pt idx="230">
                  <c:v>88.623999999999995</c:v>
                </c:pt>
                <c:pt idx="231">
                  <c:v>88.218000000000004</c:v>
                </c:pt>
                <c:pt idx="232">
                  <c:v>88.138000000000005</c:v>
                </c:pt>
                <c:pt idx="233">
                  <c:v>87.275999999999996</c:v>
                </c:pt>
                <c:pt idx="234">
                  <c:v>87.171999999999997</c:v>
                </c:pt>
                <c:pt idx="235">
                  <c:v>86.376999999999995</c:v>
                </c:pt>
                <c:pt idx="236">
                  <c:v>86.600999999999999</c:v>
                </c:pt>
                <c:pt idx="237">
                  <c:v>86.638000000000005</c:v>
                </c:pt>
                <c:pt idx="238">
                  <c:v>86.790999999999997</c:v>
                </c:pt>
                <c:pt idx="239">
                  <c:v>86.938999999999993</c:v>
                </c:pt>
                <c:pt idx="240">
                  <c:v>87.341999999999999</c:v>
                </c:pt>
                <c:pt idx="241">
                  <c:v>87.51</c:v>
                </c:pt>
                <c:pt idx="242">
                  <c:v>88.275999999999996</c:v>
                </c:pt>
                <c:pt idx="243">
                  <c:v>88.608999999999995</c:v>
                </c:pt>
                <c:pt idx="244">
                  <c:v>88.975999999999999</c:v>
                </c:pt>
                <c:pt idx="245">
                  <c:v>89.498000000000005</c:v>
                </c:pt>
                <c:pt idx="246">
                  <c:v>90.158000000000001</c:v>
                </c:pt>
                <c:pt idx="247">
                  <c:v>90.275999999999996</c:v>
                </c:pt>
                <c:pt idx="248">
                  <c:v>90.263999999999996</c:v>
                </c:pt>
                <c:pt idx="249">
                  <c:v>90.108000000000004</c:v>
                </c:pt>
                <c:pt idx="250">
                  <c:v>90.209000000000003</c:v>
                </c:pt>
                <c:pt idx="251">
                  <c:v>90.411000000000001</c:v>
                </c:pt>
                <c:pt idx="252">
                  <c:v>90.480999999999995</c:v>
                </c:pt>
                <c:pt idx="253">
                  <c:v>90.543999999999997</c:v>
                </c:pt>
                <c:pt idx="254">
                  <c:v>90.706999999999994</c:v>
                </c:pt>
                <c:pt idx="255">
                  <c:v>91.501999999999995</c:v>
                </c:pt>
                <c:pt idx="256">
                  <c:v>91.85</c:v>
                </c:pt>
                <c:pt idx="257">
                  <c:v>92.350999999999999</c:v>
                </c:pt>
                <c:pt idx="258">
                  <c:v>93.363</c:v>
                </c:pt>
                <c:pt idx="259">
                  <c:v>93.795000000000002</c:v>
                </c:pt>
                <c:pt idx="260">
                  <c:v>94.085999999999999</c:v>
                </c:pt>
                <c:pt idx="261">
                  <c:v>94.245999999999995</c:v>
                </c:pt>
                <c:pt idx="262">
                  <c:v>94.825000000000003</c:v>
                </c:pt>
                <c:pt idx="263">
                  <c:v>95.622</c:v>
                </c:pt>
                <c:pt idx="264">
                  <c:v>95.989000000000004</c:v>
                </c:pt>
                <c:pt idx="265">
                  <c:v>96.578000000000003</c:v>
                </c:pt>
                <c:pt idx="266">
                  <c:v>97.566000000000003</c:v>
                </c:pt>
                <c:pt idx="267">
                  <c:v>98.021000000000001</c:v>
                </c:pt>
                <c:pt idx="268">
                  <c:v>99.558999999999997</c:v>
                </c:pt>
                <c:pt idx="269">
                  <c:v>100.426</c:v>
                </c:pt>
                <c:pt idx="270">
                  <c:v>102.181</c:v>
                </c:pt>
                <c:pt idx="271">
                  <c:v>102.611</c:v>
                </c:pt>
                <c:pt idx="272">
                  <c:v>102.723</c:v>
                </c:pt>
                <c:pt idx="273">
                  <c:v>103.623</c:v>
                </c:pt>
                <c:pt idx="274">
                  <c:v>103.971</c:v>
                </c:pt>
                <c:pt idx="275">
                  <c:v>104.337</c:v>
                </c:pt>
                <c:pt idx="276">
                  <c:v>103.456</c:v>
                </c:pt>
                <c:pt idx="277">
                  <c:v>102.399</c:v>
                </c:pt>
                <c:pt idx="278">
                  <c:v>102.867</c:v>
                </c:pt>
                <c:pt idx="279">
                  <c:v>104.017</c:v>
                </c:pt>
                <c:pt idx="280">
                  <c:v>104.669</c:v>
                </c:pt>
                <c:pt idx="281">
                  <c:v>104.98399999999999</c:v>
                </c:pt>
                <c:pt idx="282">
                  <c:v>105.072</c:v>
                </c:pt>
                <c:pt idx="283">
                  <c:v>105.208</c:v>
                </c:pt>
                <c:pt idx="284">
                  <c:v>105.13500000000001</c:v>
                </c:pt>
                <c:pt idx="285">
                  <c:v>104.947</c:v>
                </c:pt>
                <c:pt idx="286">
                  <c:v>104.77500000000001</c:v>
                </c:pt>
                <c:pt idx="287">
                  <c:v>104.651</c:v>
                </c:pt>
                <c:pt idx="288">
                  <c:v>104.65</c:v>
                </c:pt>
                <c:pt idx="289">
                  <c:v>104.61499999999999</c:v>
                </c:pt>
                <c:pt idx="290">
                  <c:v>104.374</c:v>
                </c:pt>
                <c:pt idx="291">
                  <c:v>104.28100000000001</c:v>
                </c:pt>
                <c:pt idx="292">
                  <c:v>104.181</c:v>
                </c:pt>
                <c:pt idx="293">
                  <c:v>104.114</c:v>
                </c:pt>
                <c:pt idx="294">
                  <c:v>103.789</c:v>
                </c:pt>
                <c:pt idx="295">
                  <c:v>103.23699999999999</c:v>
                </c:pt>
                <c:pt idx="296">
                  <c:v>103.051</c:v>
                </c:pt>
                <c:pt idx="297">
                  <c:v>103.02800000000001</c:v>
                </c:pt>
                <c:pt idx="298">
                  <c:v>102.714</c:v>
                </c:pt>
                <c:pt idx="299">
                  <c:v>102.47799999999999</c:v>
                </c:pt>
                <c:pt idx="300">
                  <c:v>102.399</c:v>
                </c:pt>
                <c:pt idx="301">
                  <c:v>102.188</c:v>
                </c:pt>
                <c:pt idx="302">
                  <c:v>102.054</c:v>
                </c:pt>
                <c:pt idx="303">
                  <c:v>102.021</c:v>
                </c:pt>
                <c:pt idx="304">
                  <c:v>101.955</c:v>
                </c:pt>
                <c:pt idx="305">
                  <c:v>101.87</c:v>
                </c:pt>
                <c:pt idx="306">
                  <c:v>101.857</c:v>
                </c:pt>
                <c:pt idx="307">
                  <c:v>101.872</c:v>
                </c:pt>
                <c:pt idx="308">
                  <c:v>101.88</c:v>
                </c:pt>
                <c:pt idx="309">
                  <c:v>101.88500000000001</c:v>
                </c:pt>
                <c:pt idx="310">
                  <c:v>101.922</c:v>
                </c:pt>
                <c:pt idx="311">
                  <c:v>102.03100000000001</c:v>
                </c:pt>
                <c:pt idx="312">
                  <c:v>102.05</c:v>
                </c:pt>
                <c:pt idx="313">
                  <c:v>102.131</c:v>
                </c:pt>
                <c:pt idx="314">
                  <c:v>102.08</c:v>
                </c:pt>
                <c:pt idx="315">
                  <c:v>102.114</c:v>
                </c:pt>
                <c:pt idx="316">
                  <c:v>102.108</c:v>
                </c:pt>
                <c:pt idx="317">
                  <c:v>102.072</c:v>
                </c:pt>
                <c:pt idx="318">
                  <c:v>102.1</c:v>
                </c:pt>
                <c:pt idx="319">
                  <c:v>102.018</c:v>
                </c:pt>
                <c:pt idx="320">
                  <c:v>101.973</c:v>
                </c:pt>
                <c:pt idx="321">
                  <c:v>102.03400000000001</c:v>
                </c:pt>
                <c:pt idx="322">
                  <c:v>102.059</c:v>
                </c:pt>
                <c:pt idx="323">
                  <c:v>102.042</c:v>
                </c:pt>
                <c:pt idx="324">
                  <c:v>102.057</c:v>
                </c:pt>
                <c:pt idx="325">
                  <c:v>102.051</c:v>
                </c:pt>
                <c:pt idx="326">
                  <c:v>102.07</c:v>
                </c:pt>
                <c:pt idx="327">
                  <c:v>102.066</c:v>
                </c:pt>
                <c:pt idx="328">
                  <c:v>102</c:v>
                </c:pt>
                <c:pt idx="329">
                  <c:v>101.88</c:v>
                </c:pt>
                <c:pt idx="330">
                  <c:v>101.777</c:v>
                </c:pt>
                <c:pt idx="331">
                  <c:v>101.64100000000001</c:v>
                </c:pt>
                <c:pt idx="332">
                  <c:v>101.614</c:v>
                </c:pt>
                <c:pt idx="333">
                  <c:v>101.589</c:v>
                </c:pt>
                <c:pt idx="334">
                  <c:v>101.63</c:v>
                </c:pt>
                <c:pt idx="335">
                  <c:v>101.614</c:v>
                </c:pt>
                <c:pt idx="336">
                  <c:v>101.52500000000001</c:v>
                </c:pt>
                <c:pt idx="337">
                  <c:v>101.554</c:v>
                </c:pt>
                <c:pt idx="338">
                  <c:v>101.51600000000001</c:v>
                </c:pt>
                <c:pt idx="339">
                  <c:v>101.492</c:v>
                </c:pt>
                <c:pt idx="340">
                  <c:v>101.708</c:v>
                </c:pt>
                <c:pt idx="341">
                  <c:v>101.712</c:v>
                </c:pt>
                <c:pt idx="342">
                  <c:v>101.703</c:v>
                </c:pt>
                <c:pt idx="343">
                  <c:v>101.70099999999999</c:v>
                </c:pt>
                <c:pt idx="344">
                  <c:v>101.604</c:v>
                </c:pt>
                <c:pt idx="345">
                  <c:v>101.607</c:v>
                </c:pt>
                <c:pt idx="346">
                  <c:v>101.583</c:v>
                </c:pt>
                <c:pt idx="347">
                  <c:v>101.654</c:v>
                </c:pt>
                <c:pt idx="348">
                  <c:v>101.422</c:v>
                </c:pt>
                <c:pt idx="349">
                  <c:v>101.378</c:v>
                </c:pt>
                <c:pt idx="350">
                  <c:v>101.277</c:v>
                </c:pt>
                <c:pt idx="351">
                  <c:v>101.285</c:v>
                </c:pt>
                <c:pt idx="352">
                  <c:v>100.992</c:v>
                </c:pt>
                <c:pt idx="353">
                  <c:v>101.078</c:v>
                </c:pt>
                <c:pt idx="354">
                  <c:v>101.187</c:v>
                </c:pt>
                <c:pt idx="355">
                  <c:v>101.36499999999999</c:v>
                </c:pt>
                <c:pt idx="356">
                  <c:v>101.80800000000001</c:v>
                </c:pt>
                <c:pt idx="357">
                  <c:v>102.215</c:v>
                </c:pt>
                <c:pt idx="358">
                  <c:v>102.268</c:v>
                </c:pt>
                <c:pt idx="359">
                  <c:v>103.11799999999999</c:v>
                </c:pt>
                <c:pt idx="360">
                  <c:v>103.25700000000001</c:v>
                </c:pt>
                <c:pt idx="361">
                  <c:v>103.214</c:v>
                </c:pt>
                <c:pt idx="362">
                  <c:v>103.211</c:v>
                </c:pt>
                <c:pt idx="363">
                  <c:v>103.384</c:v>
                </c:pt>
                <c:pt idx="364">
                  <c:v>103.449</c:v>
                </c:pt>
                <c:pt idx="365">
                  <c:v>103.711</c:v>
                </c:pt>
                <c:pt idx="366">
                  <c:v>103.717</c:v>
                </c:pt>
                <c:pt idx="367">
                  <c:v>103.755</c:v>
                </c:pt>
                <c:pt idx="368">
                  <c:v>103.758</c:v>
                </c:pt>
                <c:pt idx="369">
                  <c:v>103.79900000000001</c:v>
                </c:pt>
                <c:pt idx="370">
                  <c:v>104</c:v>
                </c:pt>
                <c:pt idx="371">
                  <c:v>104.01600000000001</c:v>
                </c:pt>
                <c:pt idx="372">
                  <c:v>104.09099999999999</c:v>
                </c:pt>
                <c:pt idx="373">
                  <c:v>104.129</c:v>
                </c:pt>
                <c:pt idx="374">
                  <c:v>104.161</c:v>
                </c:pt>
                <c:pt idx="375">
                  <c:v>104.191</c:v>
                </c:pt>
                <c:pt idx="376">
                  <c:v>104.209</c:v>
                </c:pt>
                <c:pt idx="377">
                  <c:v>104.259</c:v>
                </c:pt>
                <c:pt idx="378">
                  <c:v>104.315</c:v>
                </c:pt>
                <c:pt idx="379">
                  <c:v>104.348</c:v>
                </c:pt>
                <c:pt idx="380">
                  <c:v>104.315</c:v>
                </c:pt>
                <c:pt idx="381">
                  <c:v>104.312</c:v>
                </c:pt>
                <c:pt idx="382">
                  <c:v>104.31399999999999</c:v>
                </c:pt>
                <c:pt idx="383">
                  <c:v>104.324</c:v>
                </c:pt>
                <c:pt idx="384">
                  <c:v>104.383</c:v>
                </c:pt>
                <c:pt idx="385">
                  <c:v>104.40600000000001</c:v>
                </c:pt>
                <c:pt idx="386">
                  <c:v>104.432</c:v>
                </c:pt>
                <c:pt idx="387">
                  <c:v>104.46299999999999</c:v>
                </c:pt>
                <c:pt idx="388">
                  <c:v>104.551</c:v>
                </c:pt>
                <c:pt idx="389">
                  <c:v>104.529</c:v>
                </c:pt>
                <c:pt idx="390">
                  <c:v>104.32299999999999</c:v>
                </c:pt>
                <c:pt idx="391">
                  <c:v>104.33799999999999</c:v>
                </c:pt>
                <c:pt idx="392">
                  <c:v>104.35</c:v>
                </c:pt>
                <c:pt idx="393">
                  <c:v>104.34699999999999</c:v>
                </c:pt>
                <c:pt idx="394">
                  <c:v>104.42400000000001</c:v>
                </c:pt>
                <c:pt idx="395">
                  <c:v>104.511</c:v>
                </c:pt>
                <c:pt idx="396">
                  <c:v>104.857</c:v>
                </c:pt>
                <c:pt idx="397">
                  <c:v>104.55</c:v>
                </c:pt>
                <c:pt idx="398">
                  <c:v>104.602</c:v>
                </c:pt>
                <c:pt idx="399">
                  <c:v>104.657</c:v>
                </c:pt>
                <c:pt idx="400">
                  <c:v>104.691</c:v>
                </c:pt>
                <c:pt idx="401">
                  <c:v>104.696</c:v>
                </c:pt>
                <c:pt idx="402">
                  <c:v>104.78</c:v>
                </c:pt>
                <c:pt idx="403">
                  <c:v>104.631</c:v>
                </c:pt>
                <c:pt idx="404">
                  <c:v>104.44799999999999</c:v>
                </c:pt>
                <c:pt idx="405">
                  <c:v>104.396</c:v>
                </c:pt>
                <c:pt idx="406">
                  <c:v>104.375</c:v>
                </c:pt>
                <c:pt idx="407">
                  <c:v>104.315</c:v>
                </c:pt>
                <c:pt idx="408">
                  <c:v>104.053</c:v>
                </c:pt>
                <c:pt idx="409">
                  <c:v>103.983</c:v>
                </c:pt>
                <c:pt idx="410">
                  <c:v>103.858</c:v>
                </c:pt>
                <c:pt idx="411">
                  <c:v>103.83</c:v>
                </c:pt>
                <c:pt idx="412">
                  <c:v>103.82299999999999</c:v>
                </c:pt>
                <c:pt idx="413">
                  <c:v>103.7</c:v>
                </c:pt>
                <c:pt idx="414">
                  <c:v>103.645</c:v>
                </c:pt>
                <c:pt idx="415">
                  <c:v>103.733</c:v>
                </c:pt>
                <c:pt idx="416">
                  <c:v>103.07599999999999</c:v>
                </c:pt>
                <c:pt idx="417">
                  <c:v>102.739</c:v>
                </c:pt>
                <c:pt idx="418">
                  <c:v>102.137</c:v>
                </c:pt>
                <c:pt idx="419">
                  <c:v>101.916</c:v>
                </c:pt>
                <c:pt idx="420">
                  <c:v>101.825</c:v>
                </c:pt>
                <c:pt idx="421">
                  <c:v>101.605</c:v>
                </c:pt>
                <c:pt idx="422">
                  <c:v>101.496</c:v>
                </c:pt>
                <c:pt idx="423">
                  <c:v>101.125</c:v>
                </c:pt>
                <c:pt idx="424">
                  <c:v>101.063</c:v>
                </c:pt>
                <c:pt idx="425">
                  <c:v>101.084</c:v>
                </c:pt>
                <c:pt idx="426">
                  <c:v>100.949</c:v>
                </c:pt>
                <c:pt idx="427">
                  <c:v>100.84399999999999</c:v>
                </c:pt>
                <c:pt idx="428">
                  <c:v>100.709</c:v>
                </c:pt>
                <c:pt idx="429">
                  <c:v>100.70099999999999</c:v>
                </c:pt>
                <c:pt idx="430">
                  <c:v>100.64</c:v>
                </c:pt>
                <c:pt idx="431">
                  <c:v>100.667</c:v>
                </c:pt>
                <c:pt idx="432">
                  <c:v>100.39700000000001</c:v>
                </c:pt>
                <c:pt idx="433">
                  <c:v>100.31699999999999</c:v>
                </c:pt>
                <c:pt idx="434">
                  <c:v>100.28400000000001</c:v>
                </c:pt>
                <c:pt idx="435">
                  <c:v>99.998999999999995</c:v>
                </c:pt>
                <c:pt idx="436">
                  <c:v>99.968999999999994</c:v>
                </c:pt>
                <c:pt idx="437">
                  <c:v>99.991</c:v>
                </c:pt>
                <c:pt idx="438">
                  <c:v>99.957999999999998</c:v>
                </c:pt>
                <c:pt idx="439">
                  <c:v>99.876999999999995</c:v>
                </c:pt>
                <c:pt idx="440">
                  <c:v>99.858999999999995</c:v>
                </c:pt>
                <c:pt idx="441">
                  <c:v>100.006</c:v>
                </c:pt>
                <c:pt idx="442">
                  <c:v>100.166</c:v>
                </c:pt>
                <c:pt idx="443">
                  <c:v>100.571</c:v>
                </c:pt>
                <c:pt idx="444">
                  <c:v>100.691</c:v>
                </c:pt>
                <c:pt idx="445">
                  <c:v>100.64100000000001</c:v>
                </c:pt>
                <c:pt idx="446">
                  <c:v>100.566</c:v>
                </c:pt>
                <c:pt idx="447">
                  <c:v>100.39100000000001</c:v>
                </c:pt>
                <c:pt idx="448">
                  <c:v>100.032</c:v>
                </c:pt>
                <c:pt idx="449">
                  <c:v>99.975999999999999</c:v>
                </c:pt>
                <c:pt idx="450">
                  <c:v>100.01600000000001</c:v>
                </c:pt>
                <c:pt idx="451">
                  <c:v>100.024</c:v>
                </c:pt>
                <c:pt idx="452">
                  <c:v>100.306</c:v>
                </c:pt>
                <c:pt idx="453">
                  <c:v>100.554</c:v>
                </c:pt>
                <c:pt idx="454">
                  <c:v>100.616</c:v>
                </c:pt>
                <c:pt idx="455">
                  <c:v>100.854</c:v>
                </c:pt>
              </c:numCache>
            </c:numRef>
          </c:val>
          <c:extLst>
            <c:ext xmlns:c16="http://schemas.microsoft.com/office/drawing/2014/chart" uri="{C3380CC4-5D6E-409C-BE32-E72D297353CC}">
              <c16:uniqueId val="{00000000-0A09-4FC7-8ABF-8079CEFC14D5}"/>
            </c:ext>
          </c:extLst>
        </c:ser>
        <c:dLbls>
          <c:showLegendKey val="0"/>
          <c:showVal val="0"/>
          <c:showCatName val="0"/>
          <c:showSerName val="0"/>
          <c:showPercent val="0"/>
          <c:showBubbleSize val="0"/>
        </c:dLbls>
        <c:axId val="1377858048"/>
        <c:axId val="1377860224"/>
      </c:areaChart>
      <c:lineChart>
        <c:grouping val="standard"/>
        <c:varyColors val="0"/>
        <c:ser>
          <c:idx val="1"/>
          <c:order val="1"/>
          <c:tx>
            <c:strRef>
              <c:f>'EUROBOND 2029 offline'!$C$4</c:f>
              <c:strCache>
                <c:ptCount val="1"/>
                <c:pt idx="0">
                  <c:v>Срењни принос до доспећа</c:v>
                </c:pt>
              </c:strCache>
            </c:strRef>
          </c:tx>
          <c:marker>
            <c:symbol val="none"/>
          </c:marker>
          <c:dLbls>
            <c:dLbl>
              <c:idx val="41"/>
              <c:layout>
                <c:manualLayout>
                  <c:x val="-6.4560820624546114E-2"/>
                  <c:y val="-3.9197530864197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A09-4FC7-8ABF-8079CEFC14D5}"/>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'EUROBOND 2029'!$A$7:$A$608</c:f>
              <c:numCache>
                <c:formatCode>dd\/mm\/yy</c:formatCode>
                <c:ptCount val="602"/>
                <c:pt idx="0">
                  <c:v>44312</c:v>
                </c:pt>
                <c:pt idx="1">
                  <c:v>44309</c:v>
                </c:pt>
                <c:pt idx="2">
                  <c:v>44308</c:v>
                </c:pt>
                <c:pt idx="3">
                  <c:v>44307</c:v>
                </c:pt>
                <c:pt idx="4">
                  <c:v>44306</c:v>
                </c:pt>
                <c:pt idx="5">
                  <c:v>44305</c:v>
                </c:pt>
                <c:pt idx="6">
                  <c:v>44302</c:v>
                </c:pt>
                <c:pt idx="7">
                  <c:v>44301</c:v>
                </c:pt>
                <c:pt idx="8">
                  <c:v>44300</c:v>
                </c:pt>
                <c:pt idx="9">
                  <c:v>44299</c:v>
                </c:pt>
                <c:pt idx="10">
                  <c:v>44298</c:v>
                </c:pt>
                <c:pt idx="11">
                  <c:v>44295</c:v>
                </c:pt>
                <c:pt idx="12">
                  <c:v>44294</c:v>
                </c:pt>
                <c:pt idx="13">
                  <c:v>44293</c:v>
                </c:pt>
                <c:pt idx="14">
                  <c:v>44292</c:v>
                </c:pt>
                <c:pt idx="15">
                  <c:v>44287</c:v>
                </c:pt>
                <c:pt idx="16">
                  <c:v>44286</c:v>
                </c:pt>
                <c:pt idx="17">
                  <c:v>44285</c:v>
                </c:pt>
                <c:pt idx="18">
                  <c:v>44284</c:v>
                </c:pt>
                <c:pt idx="19">
                  <c:v>44281</c:v>
                </c:pt>
                <c:pt idx="20">
                  <c:v>44280</c:v>
                </c:pt>
                <c:pt idx="21">
                  <c:v>44279</c:v>
                </c:pt>
                <c:pt idx="22">
                  <c:v>44278</c:v>
                </c:pt>
                <c:pt idx="23">
                  <c:v>44277</c:v>
                </c:pt>
                <c:pt idx="24">
                  <c:v>44274</c:v>
                </c:pt>
                <c:pt idx="25">
                  <c:v>44273</c:v>
                </c:pt>
                <c:pt idx="26">
                  <c:v>44272</c:v>
                </c:pt>
                <c:pt idx="27">
                  <c:v>44271</c:v>
                </c:pt>
                <c:pt idx="28">
                  <c:v>44270</c:v>
                </c:pt>
                <c:pt idx="29">
                  <c:v>44267</c:v>
                </c:pt>
                <c:pt idx="30">
                  <c:v>44266</c:v>
                </c:pt>
                <c:pt idx="31">
                  <c:v>44265</c:v>
                </c:pt>
                <c:pt idx="32">
                  <c:v>44264</c:v>
                </c:pt>
                <c:pt idx="33">
                  <c:v>44263</c:v>
                </c:pt>
                <c:pt idx="34">
                  <c:v>44260</c:v>
                </c:pt>
                <c:pt idx="35">
                  <c:v>44259</c:v>
                </c:pt>
                <c:pt idx="36">
                  <c:v>44258</c:v>
                </c:pt>
                <c:pt idx="37">
                  <c:v>44257</c:v>
                </c:pt>
                <c:pt idx="38">
                  <c:v>44256</c:v>
                </c:pt>
                <c:pt idx="39">
                  <c:v>44253</c:v>
                </c:pt>
                <c:pt idx="40">
                  <c:v>44252</c:v>
                </c:pt>
                <c:pt idx="41">
                  <c:v>44251</c:v>
                </c:pt>
                <c:pt idx="42">
                  <c:v>44250</c:v>
                </c:pt>
                <c:pt idx="43">
                  <c:v>44249</c:v>
                </c:pt>
                <c:pt idx="44">
                  <c:v>44246</c:v>
                </c:pt>
                <c:pt idx="45">
                  <c:v>44245</c:v>
                </c:pt>
                <c:pt idx="46">
                  <c:v>44244</c:v>
                </c:pt>
                <c:pt idx="47">
                  <c:v>44243</c:v>
                </c:pt>
                <c:pt idx="48">
                  <c:v>44242</c:v>
                </c:pt>
                <c:pt idx="49">
                  <c:v>44239</c:v>
                </c:pt>
                <c:pt idx="50">
                  <c:v>44238</c:v>
                </c:pt>
                <c:pt idx="51">
                  <c:v>44237</c:v>
                </c:pt>
                <c:pt idx="52">
                  <c:v>44236</c:v>
                </c:pt>
                <c:pt idx="53">
                  <c:v>44235</c:v>
                </c:pt>
                <c:pt idx="54">
                  <c:v>44232</c:v>
                </c:pt>
                <c:pt idx="55">
                  <c:v>44231</c:v>
                </c:pt>
                <c:pt idx="56">
                  <c:v>44230</c:v>
                </c:pt>
                <c:pt idx="57">
                  <c:v>44229</c:v>
                </c:pt>
                <c:pt idx="58">
                  <c:v>44228</c:v>
                </c:pt>
                <c:pt idx="59">
                  <c:v>44225</c:v>
                </c:pt>
                <c:pt idx="60">
                  <c:v>44224</c:v>
                </c:pt>
                <c:pt idx="61">
                  <c:v>44223</c:v>
                </c:pt>
                <c:pt idx="62">
                  <c:v>44222</c:v>
                </c:pt>
                <c:pt idx="63">
                  <c:v>44221</c:v>
                </c:pt>
                <c:pt idx="64">
                  <c:v>44218</c:v>
                </c:pt>
                <c:pt idx="65">
                  <c:v>44217</c:v>
                </c:pt>
                <c:pt idx="66">
                  <c:v>44216</c:v>
                </c:pt>
                <c:pt idx="67">
                  <c:v>44215</c:v>
                </c:pt>
                <c:pt idx="68">
                  <c:v>44214</c:v>
                </c:pt>
                <c:pt idx="69">
                  <c:v>44211</c:v>
                </c:pt>
                <c:pt idx="70">
                  <c:v>44210</c:v>
                </c:pt>
                <c:pt idx="71">
                  <c:v>44209</c:v>
                </c:pt>
                <c:pt idx="72">
                  <c:v>44208</c:v>
                </c:pt>
                <c:pt idx="73">
                  <c:v>44207</c:v>
                </c:pt>
                <c:pt idx="74">
                  <c:v>44204</c:v>
                </c:pt>
                <c:pt idx="75">
                  <c:v>44203</c:v>
                </c:pt>
                <c:pt idx="76">
                  <c:v>44202</c:v>
                </c:pt>
                <c:pt idx="77">
                  <c:v>44201</c:v>
                </c:pt>
                <c:pt idx="78">
                  <c:v>44200</c:v>
                </c:pt>
                <c:pt idx="79">
                  <c:v>44196</c:v>
                </c:pt>
                <c:pt idx="80">
                  <c:v>44195</c:v>
                </c:pt>
                <c:pt idx="81">
                  <c:v>44194</c:v>
                </c:pt>
                <c:pt idx="82">
                  <c:v>44193</c:v>
                </c:pt>
                <c:pt idx="83">
                  <c:v>44189</c:v>
                </c:pt>
                <c:pt idx="84">
                  <c:v>44188</c:v>
                </c:pt>
                <c:pt idx="85">
                  <c:v>44187</c:v>
                </c:pt>
                <c:pt idx="86">
                  <c:v>44186</c:v>
                </c:pt>
                <c:pt idx="87">
                  <c:v>44183</c:v>
                </c:pt>
                <c:pt idx="88">
                  <c:v>44182</c:v>
                </c:pt>
                <c:pt idx="89">
                  <c:v>44181</c:v>
                </c:pt>
                <c:pt idx="90">
                  <c:v>44180</c:v>
                </c:pt>
                <c:pt idx="91">
                  <c:v>44179</c:v>
                </c:pt>
                <c:pt idx="92">
                  <c:v>44176</c:v>
                </c:pt>
                <c:pt idx="93">
                  <c:v>44175</c:v>
                </c:pt>
                <c:pt idx="94">
                  <c:v>44174</c:v>
                </c:pt>
                <c:pt idx="95">
                  <c:v>44173</c:v>
                </c:pt>
                <c:pt idx="96">
                  <c:v>44172</c:v>
                </c:pt>
                <c:pt idx="97">
                  <c:v>44169</c:v>
                </c:pt>
                <c:pt idx="98">
                  <c:v>44168</c:v>
                </c:pt>
                <c:pt idx="99">
                  <c:v>44167</c:v>
                </c:pt>
                <c:pt idx="100">
                  <c:v>44166</c:v>
                </c:pt>
                <c:pt idx="101">
                  <c:v>44165</c:v>
                </c:pt>
                <c:pt idx="102">
                  <c:v>44162</c:v>
                </c:pt>
                <c:pt idx="103">
                  <c:v>44161</c:v>
                </c:pt>
                <c:pt idx="104">
                  <c:v>44160</c:v>
                </c:pt>
                <c:pt idx="105">
                  <c:v>44159</c:v>
                </c:pt>
                <c:pt idx="106">
                  <c:v>44158</c:v>
                </c:pt>
                <c:pt idx="107">
                  <c:v>44155</c:v>
                </c:pt>
                <c:pt idx="108">
                  <c:v>44154</c:v>
                </c:pt>
                <c:pt idx="109">
                  <c:v>44153</c:v>
                </c:pt>
                <c:pt idx="110">
                  <c:v>44152</c:v>
                </c:pt>
                <c:pt idx="111">
                  <c:v>44151</c:v>
                </c:pt>
                <c:pt idx="112">
                  <c:v>44148</c:v>
                </c:pt>
                <c:pt idx="113">
                  <c:v>44147</c:v>
                </c:pt>
                <c:pt idx="114">
                  <c:v>44146</c:v>
                </c:pt>
                <c:pt idx="115">
                  <c:v>44145</c:v>
                </c:pt>
                <c:pt idx="116">
                  <c:v>44144</c:v>
                </c:pt>
                <c:pt idx="117">
                  <c:v>44141</c:v>
                </c:pt>
                <c:pt idx="118">
                  <c:v>44140</c:v>
                </c:pt>
                <c:pt idx="119">
                  <c:v>44139</c:v>
                </c:pt>
                <c:pt idx="120">
                  <c:v>44138</c:v>
                </c:pt>
                <c:pt idx="121">
                  <c:v>44137</c:v>
                </c:pt>
                <c:pt idx="122">
                  <c:v>44134</c:v>
                </c:pt>
                <c:pt idx="123">
                  <c:v>44133</c:v>
                </c:pt>
                <c:pt idx="124">
                  <c:v>44132</c:v>
                </c:pt>
                <c:pt idx="125">
                  <c:v>44131</c:v>
                </c:pt>
                <c:pt idx="126">
                  <c:v>44130</c:v>
                </c:pt>
                <c:pt idx="127">
                  <c:v>44127</c:v>
                </c:pt>
                <c:pt idx="128">
                  <c:v>44126</c:v>
                </c:pt>
                <c:pt idx="129">
                  <c:v>44125</c:v>
                </c:pt>
                <c:pt idx="130">
                  <c:v>44124</c:v>
                </c:pt>
                <c:pt idx="131">
                  <c:v>44123</c:v>
                </c:pt>
                <c:pt idx="132">
                  <c:v>44120</c:v>
                </c:pt>
                <c:pt idx="133">
                  <c:v>44119</c:v>
                </c:pt>
                <c:pt idx="134">
                  <c:v>44118</c:v>
                </c:pt>
                <c:pt idx="135">
                  <c:v>44117</c:v>
                </c:pt>
                <c:pt idx="136">
                  <c:v>44116</c:v>
                </c:pt>
                <c:pt idx="137">
                  <c:v>44113</c:v>
                </c:pt>
                <c:pt idx="138">
                  <c:v>44112</c:v>
                </c:pt>
                <c:pt idx="139">
                  <c:v>44111</c:v>
                </c:pt>
                <c:pt idx="140">
                  <c:v>44110</c:v>
                </c:pt>
                <c:pt idx="141">
                  <c:v>44109</c:v>
                </c:pt>
                <c:pt idx="142">
                  <c:v>44106</c:v>
                </c:pt>
                <c:pt idx="143">
                  <c:v>44105</c:v>
                </c:pt>
                <c:pt idx="144">
                  <c:v>44104</c:v>
                </c:pt>
                <c:pt idx="145">
                  <c:v>44103</c:v>
                </c:pt>
                <c:pt idx="146">
                  <c:v>44102</c:v>
                </c:pt>
                <c:pt idx="147">
                  <c:v>44099</c:v>
                </c:pt>
                <c:pt idx="148">
                  <c:v>44098</c:v>
                </c:pt>
                <c:pt idx="149">
                  <c:v>44097</c:v>
                </c:pt>
                <c:pt idx="150">
                  <c:v>44096</c:v>
                </c:pt>
                <c:pt idx="151">
                  <c:v>44095</c:v>
                </c:pt>
                <c:pt idx="152">
                  <c:v>44092</c:v>
                </c:pt>
                <c:pt idx="153">
                  <c:v>44091</c:v>
                </c:pt>
                <c:pt idx="154">
                  <c:v>44090</c:v>
                </c:pt>
                <c:pt idx="155">
                  <c:v>44089</c:v>
                </c:pt>
                <c:pt idx="156">
                  <c:v>44088</c:v>
                </c:pt>
                <c:pt idx="157">
                  <c:v>44085</c:v>
                </c:pt>
                <c:pt idx="158">
                  <c:v>44084</c:v>
                </c:pt>
                <c:pt idx="159">
                  <c:v>44083</c:v>
                </c:pt>
                <c:pt idx="160">
                  <c:v>44082</c:v>
                </c:pt>
                <c:pt idx="161">
                  <c:v>44081</c:v>
                </c:pt>
                <c:pt idx="162">
                  <c:v>44078</c:v>
                </c:pt>
                <c:pt idx="163">
                  <c:v>44077</c:v>
                </c:pt>
                <c:pt idx="164">
                  <c:v>44076</c:v>
                </c:pt>
                <c:pt idx="165">
                  <c:v>44075</c:v>
                </c:pt>
                <c:pt idx="166">
                  <c:v>44074</c:v>
                </c:pt>
                <c:pt idx="167">
                  <c:v>44071</c:v>
                </c:pt>
                <c:pt idx="168">
                  <c:v>44070</c:v>
                </c:pt>
                <c:pt idx="169">
                  <c:v>44069</c:v>
                </c:pt>
                <c:pt idx="170">
                  <c:v>44068</c:v>
                </c:pt>
                <c:pt idx="171">
                  <c:v>44067</c:v>
                </c:pt>
                <c:pt idx="172">
                  <c:v>44064</c:v>
                </c:pt>
                <c:pt idx="173">
                  <c:v>44063</c:v>
                </c:pt>
                <c:pt idx="174">
                  <c:v>44062</c:v>
                </c:pt>
                <c:pt idx="175">
                  <c:v>44061</c:v>
                </c:pt>
                <c:pt idx="176">
                  <c:v>44060</c:v>
                </c:pt>
                <c:pt idx="177">
                  <c:v>44057</c:v>
                </c:pt>
                <c:pt idx="178">
                  <c:v>44056</c:v>
                </c:pt>
                <c:pt idx="179">
                  <c:v>44055</c:v>
                </c:pt>
                <c:pt idx="180">
                  <c:v>44054</c:v>
                </c:pt>
                <c:pt idx="181">
                  <c:v>44053</c:v>
                </c:pt>
                <c:pt idx="182">
                  <c:v>44050</c:v>
                </c:pt>
                <c:pt idx="183">
                  <c:v>44049</c:v>
                </c:pt>
                <c:pt idx="184">
                  <c:v>44048</c:v>
                </c:pt>
                <c:pt idx="185">
                  <c:v>44047</c:v>
                </c:pt>
                <c:pt idx="186">
                  <c:v>44046</c:v>
                </c:pt>
                <c:pt idx="187">
                  <c:v>44043</c:v>
                </c:pt>
                <c:pt idx="188">
                  <c:v>44042</c:v>
                </c:pt>
                <c:pt idx="189">
                  <c:v>44041</c:v>
                </c:pt>
                <c:pt idx="190">
                  <c:v>44040</c:v>
                </c:pt>
                <c:pt idx="191">
                  <c:v>44039</c:v>
                </c:pt>
                <c:pt idx="192">
                  <c:v>44036</c:v>
                </c:pt>
                <c:pt idx="193">
                  <c:v>44035</c:v>
                </c:pt>
                <c:pt idx="194">
                  <c:v>44034</c:v>
                </c:pt>
                <c:pt idx="195">
                  <c:v>44033</c:v>
                </c:pt>
                <c:pt idx="196">
                  <c:v>44032</c:v>
                </c:pt>
                <c:pt idx="197">
                  <c:v>44029</c:v>
                </c:pt>
                <c:pt idx="198">
                  <c:v>44028</c:v>
                </c:pt>
                <c:pt idx="199">
                  <c:v>44027</c:v>
                </c:pt>
                <c:pt idx="200">
                  <c:v>44026</c:v>
                </c:pt>
                <c:pt idx="201">
                  <c:v>44025</c:v>
                </c:pt>
                <c:pt idx="202">
                  <c:v>44022</c:v>
                </c:pt>
                <c:pt idx="203">
                  <c:v>44021</c:v>
                </c:pt>
                <c:pt idx="204">
                  <c:v>44020</c:v>
                </c:pt>
                <c:pt idx="205">
                  <c:v>44019</c:v>
                </c:pt>
                <c:pt idx="206">
                  <c:v>44018</c:v>
                </c:pt>
                <c:pt idx="207">
                  <c:v>44015</c:v>
                </c:pt>
                <c:pt idx="208">
                  <c:v>44014</c:v>
                </c:pt>
                <c:pt idx="209">
                  <c:v>44013</c:v>
                </c:pt>
                <c:pt idx="210">
                  <c:v>44012</c:v>
                </c:pt>
                <c:pt idx="211">
                  <c:v>44011</c:v>
                </c:pt>
                <c:pt idx="212">
                  <c:v>44008</c:v>
                </c:pt>
                <c:pt idx="213">
                  <c:v>44007</c:v>
                </c:pt>
                <c:pt idx="214">
                  <c:v>44006</c:v>
                </c:pt>
                <c:pt idx="215">
                  <c:v>44005</c:v>
                </c:pt>
                <c:pt idx="216">
                  <c:v>44004</c:v>
                </c:pt>
                <c:pt idx="217">
                  <c:v>44001</c:v>
                </c:pt>
                <c:pt idx="218">
                  <c:v>44000</c:v>
                </c:pt>
                <c:pt idx="219">
                  <c:v>43999</c:v>
                </c:pt>
                <c:pt idx="220">
                  <c:v>43998</c:v>
                </c:pt>
                <c:pt idx="221">
                  <c:v>43997</c:v>
                </c:pt>
                <c:pt idx="222">
                  <c:v>43994</c:v>
                </c:pt>
                <c:pt idx="223">
                  <c:v>43993</c:v>
                </c:pt>
                <c:pt idx="224">
                  <c:v>43992</c:v>
                </c:pt>
                <c:pt idx="225">
                  <c:v>43991</c:v>
                </c:pt>
                <c:pt idx="226">
                  <c:v>43990</c:v>
                </c:pt>
                <c:pt idx="227">
                  <c:v>43987</c:v>
                </c:pt>
                <c:pt idx="228">
                  <c:v>43986</c:v>
                </c:pt>
                <c:pt idx="229">
                  <c:v>43985</c:v>
                </c:pt>
                <c:pt idx="230">
                  <c:v>43984</c:v>
                </c:pt>
                <c:pt idx="231">
                  <c:v>43983</c:v>
                </c:pt>
                <c:pt idx="232">
                  <c:v>43980</c:v>
                </c:pt>
                <c:pt idx="233">
                  <c:v>43979</c:v>
                </c:pt>
                <c:pt idx="234">
                  <c:v>43978</c:v>
                </c:pt>
                <c:pt idx="235">
                  <c:v>43977</c:v>
                </c:pt>
                <c:pt idx="236">
                  <c:v>43976</c:v>
                </c:pt>
                <c:pt idx="237">
                  <c:v>43973</c:v>
                </c:pt>
                <c:pt idx="238">
                  <c:v>43972</c:v>
                </c:pt>
                <c:pt idx="239">
                  <c:v>43971</c:v>
                </c:pt>
                <c:pt idx="240">
                  <c:v>43970</c:v>
                </c:pt>
                <c:pt idx="241">
                  <c:v>43969</c:v>
                </c:pt>
                <c:pt idx="242">
                  <c:v>43966</c:v>
                </c:pt>
                <c:pt idx="243">
                  <c:v>43965</c:v>
                </c:pt>
                <c:pt idx="244">
                  <c:v>43964</c:v>
                </c:pt>
                <c:pt idx="245">
                  <c:v>43963</c:v>
                </c:pt>
                <c:pt idx="246">
                  <c:v>43962</c:v>
                </c:pt>
                <c:pt idx="247">
                  <c:v>43959</c:v>
                </c:pt>
                <c:pt idx="248">
                  <c:v>43958</c:v>
                </c:pt>
                <c:pt idx="249">
                  <c:v>43957</c:v>
                </c:pt>
                <c:pt idx="250">
                  <c:v>43956</c:v>
                </c:pt>
                <c:pt idx="251">
                  <c:v>43955</c:v>
                </c:pt>
                <c:pt idx="252">
                  <c:v>43951</c:v>
                </c:pt>
                <c:pt idx="253">
                  <c:v>43950</c:v>
                </c:pt>
                <c:pt idx="254">
                  <c:v>43949</c:v>
                </c:pt>
                <c:pt idx="255">
                  <c:v>43948</c:v>
                </c:pt>
                <c:pt idx="256">
                  <c:v>43945</c:v>
                </c:pt>
                <c:pt idx="257">
                  <c:v>43944</c:v>
                </c:pt>
                <c:pt idx="258">
                  <c:v>43943</c:v>
                </c:pt>
                <c:pt idx="259">
                  <c:v>43942</c:v>
                </c:pt>
                <c:pt idx="260">
                  <c:v>43941</c:v>
                </c:pt>
                <c:pt idx="261">
                  <c:v>43938</c:v>
                </c:pt>
                <c:pt idx="262">
                  <c:v>43937</c:v>
                </c:pt>
                <c:pt idx="263">
                  <c:v>43936</c:v>
                </c:pt>
                <c:pt idx="264">
                  <c:v>43935</c:v>
                </c:pt>
                <c:pt idx="265">
                  <c:v>43930</c:v>
                </c:pt>
                <c:pt idx="266">
                  <c:v>43929</c:v>
                </c:pt>
                <c:pt idx="267">
                  <c:v>43928</c:v>
                </c:pt>
                <c:pt idx="268">
                  <c:v>43927</c:v>
                </c:pt>
                <c:pt idx="269">
                  <c:v>43924</c:v>
                </c:pt>
                <c:pt idx="270">
                  <c:v>43923</c:v>
                </c:pt>
                <c:pt idx="271">
                  <c:v>43922</c:v>
                </c:pt>
                <c:pt idx="272">
                  <c:v>43921</c:v>
                </c:pt>
                <c:pt idx="273">
                  <c:v>43920</c:v>
                </c:pt>
                <c:pt idx="274">
                  <c:v>43917</c:v>
                </c:pt>
                <c:pt idx="275">
                  <c:v>43916</c:v>
                </c:pt>
                <c:pt idx="276">
                  <c:v>43915</c:v>
                </c:pt>
                <c:pt idx="277">
                  <c:v>43914</c:v>
                </c:pt>
                <c:pt idx="278">
                  <c:v>43913</c:v>
                </c:pt>
                <c:pt idx="279">
                  <c:v>43910</c:v>
                </c:pt>
                <c:pt idx="280">
                  <c:v>43909</c:v>
                </c:pt>
                <c:pt idx="281">
                  <c:v>43908</c:v>
                </c:pt>
                <c:pt idx="282">
                  <c:v>43907</c:v>
                </c:pt>
                <c:pt idx="283">
                  <c:v>43906</c:v>
                </c:pt>
                <c:pt idx="284">
                  <c:v>43903</c:v>
                </c:pt>
                <c:pt idx="285">
                  <c:v>43902</c:v>
                </c:pt>
                <c:pt idx="286">
                  <c:v>43901</c:v>
                </c:pt>
                <c:pt idx="287">
                  <c:v>43900</c:v>
                </c:pt>
                <c:pt idx="288">
                  <c:v>43899</c:v>
                </c:pt>
                <c:pt idx="289">
                  <c:v>43896</c:v>
                </c:pt>
                <c:pt idx="290">
                  <c:v>43895</c:v>
                </c:pt>
                <c:pt idx="291">
                  <c:v>43894</c:v>
                </c:pt>
                <c:pt idx="292">
                  <c:v>43893</c:v>
                </c:pt>
                <c:pt idx="293">
                  <c:v>43892</c:v>
                </c:pt>
                <c:pt idx="294">
                  <c:v>43889</c:v>
                </c:pt>
                <c:pt idx="295">
                  <c:v>43888</c:v>
                </c:pt>
                <c:pt idx="296">
                  <c:v>43887</c:v>
                </c:pt>
                <c:pt idx="297">
                  <c:v>43886</c:v>
                </c:pt>
                <c:pt idx="298">
                  <c:v>43885</c:v>
                </c:pt>
                <c:pt idx="299">
                  <c:v>43882</c:v>
                </c:pt>
                <c:pt idx="300">
                  <c:v>43881</c:v>
                </c:pt>
                <c:pt idx="301">
                  <c:v>43880</c:v>
                </c:pt>
                <c:pt idx="302">
                  <c:v>43879</c:v>
                </c:pt>
                <c:pt idx="303">
                  <c:v>43878</c:v>
                </c:pt>
                <c:pt idx="304">
                  <c:v>43875</c:v>
                </c:pt>
                <c:pt idx="305">
                  <c:v>43874</c:v>
                </c:pt>
                <c:pt idx="306">
                  <c:v>43873</c:v>
                </c:pt>
                <c:pt idx="307">
                  <c:v>43872</c:v>
                </c:pt>
                <c:pt idx="308">
                  <c:v>43871</c:v>
                </c:pt>
                <c:pt idx="309">
                  <c:v>43868</c:v>
                </c:pt>
                <c:pt idx="310">
                  <c:v>43867</c:v>
                </c:pt>
                <c:pt idx="311">
                  <c:v>43866</c:v>
                </c:pt>
                <c:pt idx="312">
                  <c:v>43865</c:v>
                </c:pt>
                <c:pt idx="313">
                  <c:v>43864</c:v>
                </c:pt>
                <c:pt idx="314">
                  <c:v>43861</c:v>
                </c:pt>
                <c:pt idx="315">
                  <c:v>43860</c:v>
                </c:pt>
                <c:pt idx="316">
                  <c:v>43859</c:v>
                </c:pt>
                <c:pt idx="317">
                  <c:v>43858</c:v>
                </c:pt>
                <c:pt idx="318">
                  <c:v>43857</c:v>
                </c:pt>
                <c:pt idx="319">
                  <c:v>43854</c:v>
                </c:pt>
                <c:pt idx="320">
                  <c:v>43853</c:v>
                </c:pt>
                <c:pt idx="321">
                  <c:v>43852</c:v>
                </c:pt>
                <c:pt idx="322">
                  <c:v>43851</c:v>
                </c:pt>
                <c:pt idx="323">
                  <c:v>43850</c:v>
                </c:pt>
                <c:pt idx="324">
                  <c:v>43847</c:v>
                </c:pt>
                <c:pt idx="325">
                  <c:v>43846</c:v>
                </c:pt>
                <c:pt idx="326">
                  <c:v>43845</c:v>
                </c:pt>
                <c:pt idx="327">
                  <c:v>43844</c:v>
                </c:pt>
                <c:pt idx="328">
                  <c:v>43843</c:v>
                </c:pt>
                <c:pt idx="329">
                  <c:v>43840</c:v>
                </c:pt>
                <c:pt idx="330">
                  <c:v>43839</c:v>
                </c:pt>
                <c:pt idx="331">
                  <c:v>43838</c:v>
                </c:pt>
                <c:pt idx="332">
                  <c:v>43837</c:v>
                </c:pt>
                <c:pt idx="333">
                  <c:v>43836</c:v>
                </c:pt>
                <c:pt idx="334">
                  <c:v>43833</c:v>
                </c:pt>
                <c:pt idx="335">
                  <c:v>43832</c:v>
                </c:pt>
                <c:pt idx="336">
                  <c:v>43830</c:v>
                </c:pt>
                <c:pt idx="337">
                  <c:v>43829</c:v>
                </c:pt>
                <c:pt idx="338">
                  <c:v>43826</c:v>
                </c:pt>
                <c:pt idx="339">
                  <c:v>43823</c:v>
                </c:pt>
                <c:pt idx="340">
                  <c:v>43822</c:v>
                </c:pt>
                <c:pt idx="341">
                  <c:v>43819</c:v>
                </c:pt>
                <c:pt idx="342">
                  <c:v>43818</c:v>
                </c:pt>
                <c:pt idx="343">
                  <c:v>43817</c:v>
                </c:pt>
                <c:pt idx="344">
                  <c:v>43816</c:v>
                </c:pt>
                <c:pt idx="345">
                  <c:v>43815</c:v>
                </c:pt>
                <c:pt idx="346">
                  <c:v>43812</c:v>
                </c:pt>
                <c:pt idx="347">
                  <c:v>43811</c:v>
                </c:pt>
                <c:pt idx="348">
                  <c:v>43810</c:v>
                </c:pt>
                <c:pt idx="349">
                  <c:v>43809</c:v>
                </c:pt>
                <c:pt idx="350">
                  <c:v>43808</c:v>
                </c:pt>
                <c:pt idx="351">
                  <c:v>43805</c:v>
                </c:pt>
                <c:pt idx="352">
                  <c:v>43804</c:v>
                </c:pt>
                <c:pt idx="353">
                  <c:v>43803</c:v>
                </c:pt>
                <c:pt idx="354">
                  <c:v>43802</c:v>
                </c:pt>
                <c:pt idx="355">
                  <c:v>43801</c:v>
                </c:pt>
                <c:pt idx="356">
                  <c:v>43798</c:v>
                </c:pt>
                <c:pt idx="357">
                  <c:v>43797</c:v>
                </c:pt>
                <c:pt idx="358">
                  <c:v>43796</c:v>
                </c:pt>
                <c:pt idx="359">
                  <c:v>43795</c:v>
                </c:pt>
                <c:pt idx="360">
                  <c:v>43794</c:v>
                </c:pt>
                <c:pt idx="361">
                  <c:v>43791</c:v>
                </c:pt>
                <c:pt idx="362">
                  <c:v>43790</c:v>
                </c:pt>
                <c:pt idx="363">
                  <c:v>43789</c:v>
                </c:pt>
                <c:pt idx="364">
                  <c:v>43788</c:v>
                </c:pt>
                <c:pt idx="365">
                  <c:v>43787</c:v>
                </c:pt>
                <c:pt idx="366">
                  <c:v>43784</c:v>
                </c:pt>
                <c:pt idx="367">
                  <c:v>43783</c:v>
                </c:pt>
                <c:pt idx="368">
                  <c:v>43782</c:v>
                </c:pt>
                <c:pt idx="369">
                  <c:v>43781</c:v>
                </c:pt>
                <c:pt idx="370">
                  <c:v>43780</c:v>
                </c:pt>
                <c:pt idx="371">
                  <c:v>43777</c:v>
                </c:pt>
                <c:pt idx="372">
                  <c:v>43776</c:v>
                </c:pt>
                <c:pt idx="373">
                  <c:v>43775</c:v>
                </c:pt>
                <c:pt idx="374">
                  <c:v>43774</c:v>
                </c:pt>
                <c:pt idx="375">
                  <c:v>43773</c:v>
                </c:pt>
                <c:pt idx="376">
                  <c:v>43770</c:v>
                </c:pt>
                <c:pt idx="377">
                  <c:v>43769</c:v>
                </c:pt>
                <c:pt idx="378">
                  <c:v>43768</c:v>
                </c:pt>
                <c:pt idx="379">
                  <c:v>43767</c:v>
                </c:pt>
                <c:pt idx="380">
                  <c:v>43766</c:v>
                </c:pt>
                <c:pt idx="381">
                  <c:v>43763</c:v>
                </c:pt>
                <c:pt idx="382">
                  <c:v>43762</c:v>
                </c:pt>
                <c:pt idx="383">
                  <c:v>43761</c:v>
                </c:pt>
                <c:pt idx="384">
                  <c:v>43760</c:v>
                </c:pt>
                <c:pt idx="385">
                  <c:v>43759</c:v>
                </c:pt>
                <c:pt idx="386">
                  <c:v>43756</c:v>
                </c:pt>
                <c:pt idx="387">
                  <c:v>43755</c:v>
                </c:pt>
                <c:pt idx="388">
                  <c:v>43754</c:v>
                </c:pt>
                <c:pt idx="389">
                  <c:v>43753</c:v>
                </c:pt>
                <c:pt idx="390">
                  <c:v>43752</c:v>
                </c:pt>
                <c:pt idx="391">
                  <c:v>43749</c:v>
                </c:pt>
                <c:pt idx="392">
                  <c:v>43748</c:v>
                </c:pt>
                <c:pt idx="393">
                  <c:v>43747</c:v>
                </c:pt>
                <c:pt idx="394">
                  <c:v>43746</c:v>
                </c:pt>
                <c:pt idx="395">
                  <c:v>43745</c:v>
                </c:pt>
                <c:pt idx="396">
                  <c:v>43742</c:v>
                </c:pt>
                <c:pt idx="397">
                  <c:v>43741</c:v>
                </c:pt>
                <c:pt idx="398">
                  <c:v>43740</c:v>
                </c:pt>
                <c:pt idx="399">
                  <c:v>43739</c:v>
                </c:pt>
                <c:pt idx="400">
                  <c:v>43738</c:v>
                </c:pt>
                <c:pt idx="401">
                  <c:v>43735</c:v>
                </c:pt>
                <c:pt idx="402">
                  <c:v>43734</c:v>
                </c:pt>
                <c:pt idx="403">
                  <c:v>43733</c:v>
                </c:pt>
                <c:pt idx="404">
                  <c:v>43732</c:v>
                </c:pt>
                <c:pt idx="405">
                  <c:v>43731</c:v>
                </c:pt>
                <c:pt idx="406">
                  <c:v>43728</c:v>
                </c:pt>
                <c:pt idx="407">
                  <c:v>43727</c:v>
                </c:pt>
                <c:pt idx="408">
                  <c:v>43726</c:v>
                </c:pt>
                <c:pt idx="409">
                  <c:v>43725</c:v>
                </c:pt>
                <c:pt idx="410">
                  <c:v>43724</c:v>
                </c:pt>
                <c:pt idx="411">
                  <c:v>43721</c:v>
                </c:pt>
                <c:pt idx="412">
                  <c:v>43720</c:v>
                </c:pt>
                <c:pt idx="413">
                  <c:v>43719</c:v>
                </c:pt>
                <c:pt idx="414">
                  <c:v>43718</c:v>
                </c:pt>
                <c:pt idx="415">
                  <c:v>43717</c:v>
                </c:pt>
                <c:pt idx="416">
                  <c:v>43714</c:v>
                </c:pt>
                <c:pt idx="417">
                  <c:v>43713</c:v>
                </c:pt>
                <c:pt idx="418">
                  <c:v>43712</c:v>
                </c:pt>
                <c:pt idx="419">
                  <c:v>43711</c:v>
                </c:pt>
                <c:pt idx="420">
                  <c:v>43710</c:v>
                </c:pt>
                <c:pt idx="421">
                  <c:v>43707</c:v>
                </c:pt>
                <c:pt idx="422">
                  <c:v>43706</c:v>
                </c:pt>
                <c:pt idx="423">
                  <c:v>43705</c:v>
                </c:pt>
                <c:pt idx="424">
                  <c:v>43704</c:v>
                </c:pt>
                <c:pt idx="425">
                  <c:v>43703</c:v>
                </c:pt>
                <c:pt idx="426">
                  <c:v>43700</c:v>
                </c:pt>
                <c:pt idx="427">
                  <c:v>43699</c:v>
                </c:pt>
                <c:pt idx="428">
                  <c:v>43698</c:v>
                </c:pt>
                <c:pt idx="429">
                  <c:v>43697</c:v>
                </c:pt>
                <c:pt idx="430">
                  <c:v>43696</c:v>
                </c:pt>
                <c:pt idx="431">
                  <c:v>43693</c:v>
                </c:pt>
                <c:pt idx="432">
                  <c:v>43692</c:v>
                </c:pt>
                <c:pt idx="433">
                  <c:v>43691</c:v>
                </c:pt>
                <c:pt idx="434">
                  <c:v>43690</c:v>
                </c:pt>
                <c:pt idx="435">
                  <c:v>43689</c:v>
                </c:pt>
                <c:pt idx="436">
                  <c:v>43686</c:v>
                </c:pt>
                <c:pt idx="437">
                  <c:v>43685</c:v>
                </c:pt>
                <c:pt idx="438">
                  <c:v>43684</c:v>
                </c:pt>
                <c:pt idx="439">
                  <c:v>43683</c:v>
                </c:pt>
                <c:pt idx="440">
                  <c:v>43682</c:v>
                </c:pt>
                <c:pt idx="441">
                  <c:v>43679</c:v>
                </c:pt>
                <c:pt idx="442">
                  <c:v>43678</c:v>
                </c:pt>
                <c:pt idx="443">
                  <c:v>43677</c:v>
                </c:pt>
                <c:pt idx="444">
                  <c:v>43676</c:v>
                </c:pt>
                <c:pt idx="445">
                  <c:v>43675</c:v>
                </c:pt>
                <c:pt idx="446">
                  <c:v>43672</c:v>
                </c:pt>
                <c:pt idx="447">
                  <c:v>43671</c:v>
                </c:pt>
                <c:pt idx="448">
                  <c:v>43670</c:v>
                </c:pt>
                <c:pt idx="449">
                  <c:v>43669</c:v>
                </c:pt>
                <c:pt idx="450">
                  <c:v>43668</c:v>
                </c:pt>
                <c:pt idx="451">
                  <c:v>43665</c:v>
                </c:pt>
                <c:pt idx="452">
                  <c:v>43664</c:v>
                </c:pt>
                <c:pt idx="453">
                  <c:v>43663</c:v>
                </c:pt>
                <c:pt idx="454">
                  <c:v>43662</c:v>
                </c:pt>
                <c:pt idx="455">
                  <c:v>43661</c:v>
                </c:pt>
                <c:pt idx="456">
                  <c:v>43658</c:v>
                </c:pt>
                <c:pt idx="457">
                  <c:v>43657</c:v>
                </c:pt>
                <c:pt idx="458">
                  <c:v>43656</c:v>
                </c:pt>
                <c:pt idx="459">
                  <c:v>43655</c:v>
                </c:pt>
                <c:pt idx="460">
                  <c:v>43654</c:v>
                </c:pt>
                <c:pt idx="461">
                  <c:v>43651</c:v>
                </c:pt>
                <c:pt idx="462">
                  <c:v>43650</c:v>
                </c:pt>
                <c:pt idx="463">
                  <c:v>43649</c:v>
                </c:pt>
                <c:pt idx="464">
                  <c:v>43648</c:v>
                </c:pt>
                <c:pt idx="465">
                  <c:v>43647</c:v>
                </c:pt>
                <c:pt idx="466">
                  <c:v>43644</c:v>
                </c:pt>
                <c:pt idx="467">
                  <c:v>43643</c:v>
                </c:pt>
                <c:pt idx="468">
                  <c:v>43642</c:v>
                </c:pt>
                <c:pt idx="469">
                  <c:v>43641</c:v>
                </c:pt>
                <c:pt idx="470">
                  <c:v>43640</c:v>
                </c:pt>
                <c:pt idx="471">
                  <c:v>43637</c:v>
                </c:pt>
              </c:numCache>
            </c:numRef>
          </c:cat>
          <c:val>
            <c:numRef>
              <c:f>'EUROBOND 2029 offline'!$C$23:$C$478</c:f>
              <c:numCache>
                <c:formatCode>#,##0.000</c:formatCode>
                <c:ptCount val="456"/>
                <c:pt idx="0">
                  <c:v>1.4530000000000001</c:v>
                </c:pt>
                <c:pt idx="1">
                  <c:v>1.4530000000000001</c:v>
                </c:pt>
                <c:pt idx="2">
                  <c:v>1.4339999999999999</c:v>
                </c:pt>
                <c:pt idx="3">
                  <c:v>1.43</c:v>
                </c:pt>
                <c:pt idx="4">
                  <c:v>1.4279999999999999</c:v>
                </c:pt>
                <c:pt idx="5">
                  <c:v>1.4239999999999999</c:v>
                </c:pt>
                <c:pt idx="6">
                  <c:v>1.4259999999999999</c:v>
                </c:pt>
                <c:pt idx="7">
                  <c:v>1.427</c:v>
                </c:pt>
                <c:pt idx="8">
                  <c:v>1.43</c:v>
                </c:pt>
                <c:pt idx="9">
                  <c:v>1.43</c:v>
                </c:pt>
                <c:pt idx="10">
                  <c:v>1.4139999999999999</c:v>
                </c:pt>
                <c:pt idx="11">
                  <c:v>1.4039999999999999</c:v>
                </c:pt>
                <c:pt idx="12">
                  <c:v>1.4159999999999999</c:v>
                </c:pt>
                <c:pt idx="13">
                  <c:v>1.4239999999999999</c:v>
                </c:pt>
                <c:pt idx="14">
                  <c:v>1.41</c:v>
                </c:pt>
                <c:pt idx="15">
                  <c:v>1.4729999999999999</c:v>
                </c:pt>
                <c:pt idx="16">
                  <c:v>1.4790000000000001</c:v>
                </c:pt>
                <c:pt idx="17">
                  <c:v>1.494</c:v>
                </c:pt>
                <c:pt idx="18">
                  <c:v>1.4450000000000001</c:v>
                </c:pt>
                <c:pt idx="19">
                  <c:v>1.419</c:v>
                </c:pt>
                <c:pt idx="20">
                  <c:v>1.405</c:v>
                </c:pt>
                <c:pt idx="21">
                  <c:v>1.3860000000000001</c:v>
                </c:pt>
                <c:pt idx="22">
                  <c:v>1.4020000000000001</c:v>
                </c:pt>
                <c:pt idx="23">
                  <c:v>1.431</c:v>
                </c:pt>
                <c:pt idx="24">
                  <c:v>1.4119999999999999</c:v>
                </c:pt>
                <c:pt idx="25">
                  <c:v>1.3839999999999999</c:v>
                </c:pt>
                <c:pt idx="26">
                  <c:v>1.3109999999999999</c:v>
                </c:pt>
                <c:pt idx="27">
                  <c:v>1.3069999999999999</c:v>
                </c:pt>
                <c:pt idx="28">
                  <c:v>1.2749999999999999</c:v>
                </c:pt>
                <c:pt idx="29">
                  <c:v>1.248</c:v>
                </c:pt>
                <c:pt idx="30">
                  <c:v>1.236</c:v>
                </c:pt>
                <c:pt idx="31">
                  <c:v>1.1930000000000001</c:v>
                </c:pt>
                <c:pt idx="32">
                  <c:v>1.1619999999999999</c:v>
                </c:pt>
                <c:pt idx="33">
                  <c:v>1.1240000000000001</c:v>
                </c:pt>
                <c:pt idx="34">
                  <c:v>1.107</c:v>
                </c:pt>
                <c:pt idx="35">
                  <c:v>1.1020000000000001</c:v>
                </c:pt>
                <c:pt idx="36">
                  <c:v>1.0960000000000001</c:v>
                </c:pt>
                <c:pt idx="37">
                  <c:v>1.0880000000000001</c:v>
                </c:pt>
                <c:pt idx="38">
                  <c:v>1.083</c:v>
                </c:pt>
                <c:pt idx="39">
                  <c:v>1.1080000000000001</c:v>
                </c:pt>
                <c:pt idx="40">
                  <c:v>1.135</c:v>
                </c:pt>
                <c:pt idx="41">
                  <c:v>1.1459999999999999</c:v>
                </c:pt>
                <c:pt idx="42">
                  <c:v>1.1539999999999999</c:v>
                </c:pt>
                <c:pt idx="43">
                  <c:v>1.179</c:v>
                </c:pt>
                <c:pt idx="44">
                  <c:v>1.1910000000000001</c:v>
                </c:pt>
                <c:pt idx="45">
                  <c:v>1.2030000000000001</c:v>
                </c:pt>
                <c:pt idx="46">
                  <c:v>1.1930000000000001</c:v>
                </c:pt>
                <c:pt idx="47">
                  <c:v>1.1919999999999999</c:v>
                </c:pt>
                <c:pt idx="48">
                  <c:v>1.19</c:v>
                </c:pt>
                <c:pt idx="49">
                  <c:v>1.1739999999999999</c:v>
                </c:pt>
                <c:pt idx="50">
                  <c:v>1.1360000000000001</c:v>
                </c:pt>
                <c:pt idx="51">
                  <c:v>1.109</c:v>
                </c:pt>
                <c:pt idx="52">
                  <c:v>1.087</c:v>
                </c:pt>
                <c:pt idx="53">
                  <c:v>1.07</c:v>
                </c:pt>
                <c:pt idx="54">
                  <c:v>1.048</c:v>
                </c:pt>
                <c:pt idx="55">
                  <c:v>1.0669999999999999</c:v>
                </c:pt>
                <c:pt idx="56">
                  <c:v>1.091</c:v>
                </c:pt>
                <c:pt idx="57">
                  <c:v>1.028</c:v>
                </c:pt>
                <c:pt idx="58">
                  <c:v>1.014</c:v>
                </c:pt>
                <c:pt idx="59">
                  <c:v>1.0029999999999999</c:v>
                </c:pt>
                <c:pt idx="60">
                  <c:v>0.96099999999999997</c:v>
                </c:pt>
                <c:pt idx="61">
                  <c:v>0.93799999999999994</c:v>
                </c:pt>
                <c:pt idx="62">
                  <c:v>0.94099999999999995</c:v>
                </c:pt>
                <c:pt idx="63">
                  <c:v>1.048</c:v>
                </c:pt>
                <c:pt idx="64">
                  <c:v>1.0609999999999999</c:v>
                </c:pt>
                <c:pt idx="65">
                  <c:v>1.0680000000000001</c:v>
                </c:pt>
                <c:pt idx="66">
                  <c:v>1.0740000000000001</c:v>
                </c:pt>
                <c:pt idx="67">
                  <c:v>1.0860000000000001</c:v>
                </c:pt>
                <c:pt idx="68">
                  <c:v>1.0840000000000001</c:v>
                </c:pt>
                <c:pt idx="69">
                  <c:v>1.089</c:v>
                </c:pt>
                <c:pt idx="70">
                  <c:v>1.0760000000000001</c:v>
                </c:pt>
                <c:pt idx="71">
                  <c:v>1.077</c:v>
                </c:pt>
                <c:pt idx="72">
                  <c:v>1.1020000000000001</c:v>
                </c:pt>
                <c:pt idx="73">
                  <c:v>1.137</c:v>
                </c:pt>
                <c:pt idx="74">
                  <c:v>1.1579999999999999</c:v>
                </c:pt>
                <c:pt idx="75">
                  <c:v>1.173</c:v>
                </c:pt>
                <c:pt idx="76">
                  <c:v>1.1839999999999999</c:v>
                </c:pt>
                <c:pt idx="77">
                  <c:v>1.1919999999999999</c:v>
                </c:pt>
                <c:pt idx="78">
                  <c:v>1.2050000000000001</c:v>
                </c:pt>
                <c:pt idx="79">
                  <c:v>1.2230000000000001</c:v>
                </c:pt>
                <c:pt idx="80">
                  <c:v>1.2290000000000001</c:v>
                </c:pt>
                <c:pt idx="81">
                  <c:v>1.2469999999999999</c:v>
                </c:pt>
                <c:pt idx="82">
                  <c:v>1.264</c:v>
                </c:pt>
                <c:pt idx="83">
                  <c:v>1.32</c:v>
                </c:pt>
                <c:pt idx="84">
                  <c:v>1.341</c:v>
                </c:pt>
                <c:pt idx="85">
                  <c:v>1.335</c:v>
                </c:pt>
                <c:pt idx="86">
                  <c:v>1.337</c:v>
                </c:pt>
                <c:pt idx="87">
                  <c:v>1.339</c:v>
                </c:pt>
                <c:pt idx="88">
                  <c:v>1.34</c:v>
                </c:pt>
                <c:pt idx="89">
                  <c:v>1.351</c:v>
                </c:pt>
                <c:pt idx="90">
                  <c:v>1.417</c:v>
                </c:pt>
                <c:pt idx="91">
                  <c:v>1.49</c:v>
                </c:pt>
                <c:pt idx="92">
                  <c:v>1.4910000000000001</c:v>
                </c:pt>
                <c:pt idx="93">
                  <c:v>1.5</c:v>
                </c:pt>
                <c:pt idx="94">
                  <c:v>1.504</c:v>
                </c:pt>
                <c:pt idx="95">
                  <c:v>1.508</c:v>
                </c:pt>
                <c:pt idx="96">
                  <c:v>1.518</c:v>
                </c:pt>
                <c:pt idx="97">
                  <c:v>1.5150000000000001</c:v>
                </c:pt>
                <c:pt idx="98">
                  <c:v>1.5049999999999999</c:v>
                </c:pt>
                <c:pt idx="99">
                  <c:v>1.506</c:v>
                </c:pt>
                <c:pt idx="100">
                  <c:v>1.5049999999999999</c:v>
                </c:pt>
                <c:pt idx="101">
                  <c:v>1.5409999999999999</c:v>
                </c:pt>
                <c:pt idx="102">
                  <c:v>1.546</c:v>
                </c:pt>
                <c:pt idx="103">
                  <c:v>1.677</c:v>
                </c:pt>
                <c:pt idx="104">
                  <c:v>1.7450000000000001</c:v>
                </c:pt>
                <c:pt idx="105">
                  <c:v>1.7829999999999999</c:v>
                </c:pt>
                <c:pt idx="106">
                  <c:v>1.784</c:v>
                </c:pt>
                <c:pt idx="107">
                  <c:v>1.7770000000000001</c:v>
                </c:pt>
                <c:pt idx="108">
                  <c:v>1.7669999999999999</c:v>
                </c:pt>
                <c:pt idx="109">
                  <c:v>1.696</c:v>
                </c:pt>
                <c:pt idx="110">
                  <c:v>1.6830000000000001</c:v>
                </c:pt>
                <c:pt idx="111">
                  <c:v>1.6520000000000001</c:v>
                </c:pt>
                <c:pt idx="112">
                  <c:v>1.675</c:v>
                </c:pt>
                <c:pt idx="113">
                  <c:v>1.6800000000000002</c:v>
                </c:pt>
                <c:pt idx="114">
                  <c:v>1.673</c:v>
                </c:pt>
                <c:pt idx="115">
                  <c:v>1.6640000000000001</c:v>
                </c:pt>
                <c:pt idx="116">
                  <c:v>1.6909999999999998</c:v>
                </c:pt>
                <c:pt idx="117">
                  <c:v>1.7269999999999999</c:v>
                </c:pt>
                <c:pt idx="118">
                  <c:v>1.726</c:v>
                </c:pt>
                <c:pt idx="119">
                  <c:v>1.734</c:v>
                </c:pt>
                <c:pt idx="120">
                  <c:v>1.7869999999999999</c:v>
                </c:pt>
                <c:pt idx="121">
                  <c:v>1.7989999999999999</c:v>
                </c:pt>
                <c:pt idx="122">
                  <c:v>1.8220000000000001</c:v>
                </c:pt>
                <c:pt idx="123">
                  <c:v>1.8740000000000001</c:v>
                </c:pt>
                <c:pt idx="124">
                  <c:v>1.875</c:v>
                </c:pt>
                <c:pt idx="125">
                  <c:v>1.891</c:v>
                </c:pt>
                <c:pt idx="126">
                  <c:v>1.895</c:v>
                </c:pt>
                <c:pt idx="127">
                  <c:v>1.8959999999999999</c:v>
                </c:pt>
                <c:pt idx="128">
                  <c:v>1.903</c:v>
                </c:pt>
                <c:pt idx="129">
                  <c:v>1.887</c:v>
                </c:pt>
                <c:pt idx="130">
                  <c:v>1.8439999999999999</c:v>
                </c:pt>
                <c:pt idx="131">
                  <c:v>1.8399999999999999</c:v>
                </c:pt>
                <c:pt idx="132">
                  <c:v>1.833</c:v>
                </c:pt>
                <c:pt idx="133">
                  <c:v>1.7869999999999999</c:v>
                </c:pt>
                <c:pt idx="134">
                  <c:v>1.774</c:v>
                </c:pt>
                <c:pt idx="135">
                  <c:v>1.7530000000000001</c:v>
                </c:pt>
                <c:pt idx="136">
                  <c:v>1.7149999999999999</c:v>
                </c:pt>
                <c:pt idx="137">
                  <c:v>1.7130000000000001</c:v>
                </c:pt>
                <c:pt idx="138">
                  <c:v>1.704</c:v>
                </c:pt>
                <c:pt idx="139">
                  <c:v>1.7069999999999999</c:v>
                </c:pt>
                <c:pt idx="140">
                  <c:v>1.7410000000000001</c:v>
                </c:pt>
                <c:pt idx="141">
                  <c:v>1.7589999999999999</c:v>
                </c:pt>
                <c:pt idx="142">
                  <c:v>1.774</c:v>
                </c:pt>
                <c:pt idx="143">
                  <c:v>1.782</c:v>
                </c:pt>
                <c:pt idx="144">
                  <c:v>1.788</c:v>
                </c:pt>
                <c:pt idx="145">
                  <c:v>1.7869999999999999</c:v>
                </c:pt>
                <c:pt idx="146">
                  <c:v>1.798</c:v>
                </c:pt>
                <c:pt idx="147">
                  <c:v>1.8140000000000001</c:v>
                </c:pt>
                <c:pt idx="148">
                  <c:v>1.8460000000000001</c:v>
                </c:pt>
                <c:pt idx="149">
                  <c:v>1.877</c:v>
                </c:pt>
                <c:pt idx="150">
                  <c:v>1.891</c:v>
                </c:pt>
                <c:pt idx="151">
                  <c:v>1.8940000000000001</c:v>
                </c:pt>
                <c:pt idx="152">
                  <c:v>1.8919999999999999</c:v>
                </c:pt>
                <c:pt idx="153">
                  <c:v>1.899</c:v>
                </c:pt>
                <c:pt idx="154">
                  <c:v>1.8940000000000001</c:v>
                </c:pt>
                <c:pt idx="155">
                  <c:v>1.8959999999999999</c:v>
                </c:pt>
                <c:pt idx="156">
                  <c:v>1.899</c:v>
                </c:pt>
                <c:pt idx="157">
                  <c:v>1.9020000000000001</c:v>
                </c:pt>
                <c:pt idx="158">
                  <c:v>1.903</c:v>
                </c:pt>
                <c:pt idx="159">
                  <c:v>1.907</c:v>
                </c:pt>
                <c:pt idx="160">
                  <c:v>1.8980000000000001</c:v>
                </c:pt>
                <c:pt idx="161">
                  <c:v>1.9100000000000001</c:v>
                </c:pt>
                <c:pt idx="162">
                  <c:v>1.905</c:v>
                </c:pt>
                <c:pt idx="163">
                  <c:v>1.923</c:v>
                </c:pt>
                <c:pt idx="164">
                  <c:v>1.917</c:v>
                </c:pt>
                <c:pt idx="165">
                  <c:v>1.919</c:v>
                </c:pt>
                <c:pt idx="166">
                  <c:v>1.929</c:v>
                </c:pt>
                <c:pt idx="167">
                  <c:v>1.9510000000000001</c:v>
                </c:pt>
                <c:pt idx="168">
                  <c:v>1.972</c:v>
                </c:pt>
                <c:pt idx="169">
                  <c:v>2.0030000000000001</c:v>
                </c:pt>
                <c:pt idx="170">
                  <c:v>2.0150000000000001</c:v>
                </c:pt>
                <c:pt idx="171">
                  <c:v>2.0150000000000001</c:v>
                </c:pt>
                <c:pt idx="172">
                  <c:v>2.0089999999999999</c:v>
                </c:pt>
                <c:pt idx="173">
                  <c:v>1.982</c:v>
                </c:pt>
                <c:pt idx="174">
                  <c:v>1.98</c:v>
                </c:pt>
                <c:pt idx="175">
                  <c:v>1.966</c:v>
                </c:pt>
                <c:pt idx="176">
                  <c:v>1.954</c:v>
                </c:pt>
                <c:pt idx="177">
                  <c:v>1.9119999999999999</c:v>
                </c:pt>
                <c:pt idx="178">
                  <c:v>2.0030000000000001</c:v>
                </c:pt>
                <c:pt idx="179">
                  <c:v>2.056</c:v>
                </c:pt>
                <c:pt idx="180">
                  <c:v>2.1030000000000002</c:v>
                </c:pt>
                <c:pt idx="181">
                  <c:v>2.14</c:v>
                </c:pt>
                <c:pt idx="182">
                  <c:v>2.1669999999999998</c:v>
                </c:pt>
                <c:pt idx="183">
                  <c:v>2.177</c:v>
                </c:pt>
                <c:pt idx="184">
                  <c:v>2.1920000000000002</c:v>
                </c:pt>
                <c:pt idx="185">
                  <c:v>2.177</c:v>
                </c:pt>
                <c:pt idx="186">
                  <c:v>2.1749999999999998</c:v>
                </c:pt>
                <c:pt idx="187">
                  <c:v>2.13</c:v>
                </c:pt>
                <c:pt idx="188">
                  <c:v>2.0979999999999999</c:v>
                </c:pt>
                <c:pt idx="189">
                  <c:v>2.09</c:v>
                </c:pt>
                <c:pt idx="190">
                  <c:v>2.1320000000000001</c:v>
                </c:pt>
                <c:pt idx="191">
                  <c:v>2.1880000000000002</c:v>
                </c:pt>
                <c:pt idx="192">
                  <c:v>2.194</c:v>
                </c:pt>
                <c:pt idx="193">
                  <c:v>2.2309999999999999</c:v>
                </c:pt>
                <c:pt idx="194">
                  <c:v>2.2439999999999998</c:v>
                </c:pt>
                <c:pt idx="195">
                  <c:v>2.2560000000000002</c:v>
                </c:pt>
                <c:pt idx="196">
                  <c:v>2.2549999999999999</c:v>
                </c:pt>
                <c:pt idx="197">
                  <c:v>2.2629999999999999</c:v>
                </c:pt>
                <c:pt idx="198">
                  <c:v>2.2509999999999999</c:v>
                </c:pt>
                <c:pt idx="199">
                  <c:v>2.2400000000000002</c:v>
                </c:pt>
                <c:pt idx="200">
                  <c:v>2.25</c:v>
                </c:pt>
                <c:pt idx="201">
                  <c:v>2.2690000000000001</c:v>
                </c:pt>
                <c:pt idx="202">
                  <c:v>2.2749999999999999</c:v>
                </c:pt>
                <c:pt idx="203">
                  <c:v>2.2770000000000001</c:v>
                </c:pt>
                <c:pt idx="204">
                  <c:v>2.29</c:v>
                </c:pt>
                <c:pt idx="205">
                  <c:v>2.3860000000000001</c:v>
                </c:pt>
                <c:pt idx="206">
                  <c:v>2.3239999999999998</c:v>
                </c:pt>
                <c:pt idx="207">
                  <c:v>2.319</c:v>
                </c:pt>
                <c:pt idx="208">
                  <c:v>2.274</c:v>
                </c:pt>
                <c:pt idx="209">
                  <c:v>2.2040000000000002</c:v>
                </c:pt>
                <c:pt idx="210">
                  <c:v>2.1629999999999998</c:v>
                </c:pt>
                <c:pt idx="211">
                  <c:v>2.1749999999999998</c:v>
                </c:pt>
                <c:pt idx="212">
                  <c:v>2.169</c:v>
                </c:pt>
                <c:pt idx="213">
                  <c:v>2.1019999999999999</c:v>
                </c:pt>
                <c:pt idx="214">
                  <c:v>2.1110000000000002</c:v>
                </c:pt>
                <c:pt idx="215">
                  <c:v>2.1480000000000001</c:v>
                </c:pt>
                <c:pt idx="216">
                  <c:v>2.2170000000000001</c:v>
                </c:pt>
                <c:pt idx="217">
                  <c:v>2.4790000000000001</c:v>
                </c:pt>
                <c:pt idx="218">
                  <c:v>2.7279999999999998</c:v>
                </c:pt>
                <c:pt idx="219">
                  <c:v>2.88</c:v>
                </c:pt>
                <c:pt idx="220">
                  <c:v>2.9510000000000001</c:v>
                </c:pt>
                <c:pt idx="221">
                  <c:v>2.944</c:v>
                </c:pt>
                <c:pt idx="222">
                  <c:v>2.9550000000000001</c:v>
                </c:pt>
                <c:pt idx="223">
                  <c:v>2.9710000000000001</c:v>
                </c:pt>
                <c:pt idx="224">
                  <c:v>3.01</c:v>
                </c:pt>
                <c:pt idx="225">
                  <c:v>3.0459999999999998</c:v>
                </c:pt>
                <c:pt idx="226">
                  <c:v>3.06</c:v>
                </c:pt>
                <c:pt idx="227">
                  <c:v>3.0209999999999999</c:v>
                </c:pt>
                <c:pt idx="228">
                  <c:v>2.9430000000000001</c:v>
                </c:pt>
                <c:pt idx="229">
                  <c:v>2.9350000000000001</c:v>
                </c:pt>
                <c:pt idx="230">
                  <c:v>2.94</c:v>
                </c:pt>
                <c:pt idx="231">
                  <c:v>2.9950000000000001</c:v>
                </c:pt>
                <c:pt idx="232">
                  <c:v>3.0049999999999999</c:v>
                </c:pt>
                <c:pt idx="233">
                  <c:v>3.1219999999999999</c:v>
                </c:pt>
                <c:pt idx="234">
                  <c:v>3.1360000000000001</c:v>
                </c:pt>
                <c:pt idx="235">
                  <c:v>3.246</c:v>
                </c:pt>
                <c:pt idx="236">
                  <c:v>3.214</c:v>
                </c:pt>
                <c:pt idx="237">
                  <c:v>3.2090000000000001</c:v>
                </c:pt>
                <c:pt idx="238">
                  <c:v>3.1859999999999999</c:v>
                </c:pt>
                <c:pt idx="239">
                  <c:v>3.165</c:v>
                </c:pt>
                <c:pt idx="240">
                  <c:v>3.109</c:v>
                </c:pt>
                <c:pt idx="241">
                  <c:v>3.085</c:v>
                </c:pt>
                <c:pt idx="242">
                  <c:v>2.9790000000000001</c:v>
                </c:pt>
                <c:pt idx="243">
                  <c:v>2.9340000000000002</c:v>
                </c:pt>
                <c:pt idx="244">
                  <c:v>2.8839999999999999</c:v>
                </c:pt>
                <c:pt idx="245">
                  <c:v>2.8140000000000001</c:v>
                </c:pt>
                <c:pt idx="246">
                  <c:v>2.726</c:v>
                </c:pt>
                <c:pt idx="247">
                  <c:v>2.7090000000000001</c:v>
                </c:pt>
                <c:pt idx="248">
                  <c:v>2.71</c:v>
                </c:pt>
                <c:pt idx="249">
                  <c:v>2.73</c:v>
                </c:pt>
                <c:pt idx="250">
                  <c:v>2.7170000000000001</c:v>
                </c:pt>
                <c:pt idx="251">
                  <c:v>2.6879999999999997</c:v>
                </c:pt>
                <c:pt idx="252">
                  <c:v>2.6790000000000003</c:v>
                </c:pt>
                <c:pt idx="253">
                  <c:v>2.67</c:v>
                </c:pt>
                <c:pt idx="254">
                  <c:v>2.649</c:v>
                </c:pt>
                <c:pt idx="255">
                  <c:v>2.544</c:v>
                </c:pt>
                <c:pt idx="256">
                  <c:v>2.4990000000000001</c:v>
                </c:pt>
                <c:pt idx="257">
                  <c:v>2.4340000000000002</c:v>
                </c:pt>
                <c:pt idx="258">
                  <c:v>2.306</c:v>
                </c:pt>
                <c:pt idx="259">
                  <c:v>2.2509999999999999</c:v>
                </c:pt>
                <c:pt idx="260">
                  <c:v>2.214</c:v>
                </c:pt>
                <c:pt idx="261">
                  <c:v>2.194</c:v>
                </c:pt>
                <c:pt idx="262">
                  <c:v>2.121</c:v>
                </c:pt>
                <c:pt idx="263">
                  <c:v>2.0230000000000001</c:v>
                </c:pt>
                <c:pt idx="264">
                  <c:v>1.978</c:v>
                </c:pt>
                <c:pt idx="265">
                  <c:v>1.9060000000000001</c:v>
                </c:pt>
                <c:pt idx="266">
                  <c:v>1.7869999999999999</c:v>
                </c:pt>
                <c:pt idx="267">
                  <c:v>1.7330000000000001</c:v>
                </c:pt>
                <c:pt idx="268">
                  <c:v>1.5510000000000002</c:v>
                </c:pt>
                <c:pt idx="269">
                  <c:v>1.45</c:v>
                </c:pt>
                <c:pt idx="270">
                  <c:v>1.25</c:v>
                </c:pt>
                <c:pt idx="271">
                  <c:v>1.2010000000000001</c:v>
                </c:pt>
                <c:pt idx="272">
                  <c:v>1.1890000000000001</c:v>
                </c:pt>
                <c:pt idx="273">
                  <c:v>1.0880000000000001</c:v>
                </c:pt>
                <c:pt idx="274">
                  <c:v>1.0489999999999999</c:v>
                </c:pt>
                <c:pt idx="275">
                  <c:v>1.0089999999999999</c:v>
                </c:pt>
                <c:pt idx="276">
                  <c:v>1.107</c:v>
                </c:pt>
                <c:pt idx="277">
                  <c:v>1.226</c:v>
                </c:pt>
                <c:pt idx="278">
                  <c:v>1.173</c:v>
                </c:pt>
                <c:pt idx="279">
                  <c:v>1.0449999999999999</c:v>
                </c:pt>
                <c:pt idx="280">
                  <c:v>0.97399999999999998</c:v>
                </c:pt>
                <c:pt idx="281">
                  <c:v>0.93899999999999995</c:v>
                </c:pt>
                <c:pt idx="282">
                  <c:v>0.93</c:v>
                </c:pt>
                <c:pt idx="283">
                  <c:v>0.91500000000000004</c:v>
                </c:pt>
                <c:pt idx="284">
                  <c:v>0.92300000000000004</c:v>
                </c:pt>
                <c:pt idx="285">
                  <c:v>0.94399999999999995</c:v>
                </c:pt>
                <c:pt idx="286">
                  <c:v>0.96299999999999997</c:v>
                </c:pt>
                <c:pt idx="287">
                  <c:v>0.97699999999999998</c:v>
                </c:pt>
                <c:pt idx="288">
                  <c:v>0.97699999999999998</c:v>
                </c:pt>
                <c:pt idx="289">
                  <c:v>0.98099999999999998</c:v>
                </c:pt>
                <c:pt idx="290">
                  <c:v>1.008</c:v>
                </c:pt>
                <c:pt idx="291">
                  <c:v>1.018</c:v>
                </c:pt>
                <c:pt idx="292">
                  <c:v>1.0289999999999999</c:v>
                </c:pt>
                <c:pt idx="293">
                  <c:v>1.0369999999999999</c:v>
                </c:pt>
                <c:pt idx="294">
                  <c:v>1.073</c:v>
                </c:pt>
                <c:pt idx="295">
                  <c:v>1.1339999999999999</c:v>
                </c:pt>
                <c:pt idx="296">
                  <c:v>1.155</c:v>
                </c:pt>
                <c:pt idx="297">
                  <c:v>1.1579999999999999</c:v>
                </c:pt>
                <c:pt idx="298">
                  <c:v>1.1930000000000001</c:v>
                </c:pt>
                <c:pt idx="299">
                  <c:v>1.2190000000000001</c:v>
                </c:pt>
                <c:pt idx="300">
                  <c:v>1.228</c:v>
                </c:pt>
                <c:pt idx="301">
                  <c:v>1.252</c:v>
                </c:pt>
                <c:pt idx="302">
                  <c:v>1.2669999999999999</c:v>
                </c:pt>
                <c:pt idx="303">
                  <c:v>1.2709999999999999</c:v>
                </c:pt>
                <c:pt idx="304">
                  <c:v>1.278</c:v>
                </c:pt>
                <c:pt idx="305">
                  <c:v>1.288</c:v>
                </c:pt>
                <c:pt idx="306">
                  <c:v>1.2889999999999999</c:v>
                </c:pt>
                <c:pt idx="307">
                  <c:v>1.288</c:v>
                </c:pt>
                <c:pt idx="308">
                  <c:v>1.2869999999999999</c:v>
                </c:pt>
                <c:pt idx="309">
                  <c:v>1.286</c:v>
                </c:pt>
                <c:pt idx="310">
                  <c:v>1.282</c:v>
                </c:pt>
                <c:pt idx="311">
                  <c:v>1.27</c:v>
                </c:pt>
                <c:pt idx="312">
                  <c:v>1.268</c:v>
                </c:pt>
                <c:pt idx="313">
                  <c:v>1.2589999999999999</c:v>
                </c:pt>
                <c:pt idx="314">
                  <c:v>1.2650000000000001</c:v>
                </c:pt>
                <c:pt idx="315">
                  <c:v>1.2610000000000001</c:v>
                </c:pt>
                <c:pt idx="316">
                  <c:v>1.262</c:v>
                </c:pt>
                <c:pt idx="317">
                  <c:v>1.266</c:v>
                </c:pt>
                <c:pt idx="318">
                  <c:v>1.2629999999999999</c:v>
                </c:pt>
                <c:pt idx="319">
                  <c:v>1.272</c:v>
                </c:pt>
                <c:pt idx="320">
                  <c:v>1.2770000000000001</c:v>
                </c:pt>
                <c:pt idx="321">
                  <c:v>1.2709999999999999</c:v>
                </c:pt>
                <c:pt idx="322">
                  <c:v>1.268</c:v>
                </c:pt>
                <c:pt idx="323">
                  <c:v>1.27</c:v>
                </c:pt>
                <c:pt idx="324">
                  <c:v>1.268</c:v>
                </c:pt>
                <c:pt idx="325">
                  <c:v>1.2690000000000001</c:v>
                </c:pt>
                <c:pt idx="326">
                  <c:v>1.2669999999999999</c:v>
                </c:pt>
                <c:pt idx="327">
                  <c:v>1.268</c:v>
                </c:pt>
                <c:pt idx="328">
                  <c:v>1.2749999999999999</c:v>
                </c:pt>
                <c:pt idx="329">
                  <c:v>1.2889999999999999</c:v>
                </c:pt>
                <c:pt idx="330">
                  <c:v>1.3</c:v>
                </c:pt>
                <c:pt idx="331">
                  <c:v>1.3149999999999999</c:v>
                </c:pt>
                <c:pt idx="332">
                  <c:v>1.3180000000000001</c:v>
                </c:pt>
                <c:pt idx="333">
                  <c:v>1.321</c:v>
                </c:pt>
                <c:pt idx="334">
                  <c:v>1.3169999999999999</c:v>
                </c:pt>
                <c:pt idx="335">
                  <c:v>1.319</c:v>
                </c:pt>
                <c:pt idx="336">
                  <c:v>1.329</c:v>
                </c:pt>
                <c:pt idx="337">
                  <c:v>1.325</c:v>
                </c:pt>
                <c:pt idx="338">
                  <c:v>1.33</c:v>
                </c:pt>
                <c:pt idx="339">
                  <c:v>1.3320000000000001</c:v>
                </c:pt>
                <c:pt idx="340">
                  <c:v>1.3089999999999999</c:v>
                </c:pt>
                <c:pt idx="341">
                  <c:v>1.3080000000000001</c:v>
                </c:pt>
                <c:pt idx="342">
                  <c:v>1.3089999999999999</c:v>
                </c:pt>
                <c:pt idx="343">
                  <c:v>1.31</c:v>
                </c:pt>
                <c:pt idx="344">
                  <c:v>1.32</c:v>
                </c:pt>
                <c:pt idx="345">
                  <c:v>1.32</c:v>
                </c:pt>
                <c:pt idx="346">
                  <c:v>1.323</c:v>
                </c:pt>
                <c:pt idx="347">
                  <c:v>1.3149999999999999</c:v>
                </c:pt>
                <c:pt idx="348">
                  <c:v>1.341</c:v>
                </c:pt>
                <c:pt idx="349">
                  <c:v>1.3460000000000001</c:v>
                </c:pt>
                <c:pt idx="350">
                  <c:v>1.357</c:v>
                </c:pt>
                <c:pt idx="351">
                  <c:v>1.3559999999999999</c:v>
                </c:pt>
                <c:pt idx="352">
                  <c:v>1.389</c:v>
                </c:pt>
                <c:pt idx="353">
                  <c:v>1.379</c:v>
                </c:pt>
                <c:pt idx="354">
                  <c:v>1.367</c:v>
                </c:pt>
                <c:pt idx="355">
                  <c:v>1.347</c:v>
                </c:pt>
                <c:pt idx="356">
                  <c:v>1.2989999999999999</c:v>
                </c:pt>
                <c:pt idx="357">
                  <c:v>1.254</c:v>
                </c:pt>
                <c:pt idx="358">
                  <c:v>1.248</c:v>
                </c:pt>
                <c:pt idx="359">
                  <c:v>1.1559999999999999</c:v>
                </c:pt>
                <c:pt idx="360">
                  <c:v>1.141</c:v>
                </c:pt>
                <c:pt idx="361">
                  <c:v>1.1459999999999999</c:v>
                </c:pt>
                <c:pt idx="362">
                  <c:v>1.1459999999999999</c:v>
                </c:pt>
                <c:pt idx="363">
                  <c:v>1.1280000000000001</c:v>
                </c:pt>
                <c:pt idx="364">
                  <c:v>1.121</c:v>
                </c:pt>
                <c:pt idx="365">
                  <c:v>1.093</c:v>
                </c:pt>
                <c:pt idx="366">
                  <c:v>1.0920000000000001</c:v>
                </c:pt>
                <c:pt idx="367">
                  <c:v>1.089</c:v>
                </c:pt>
                <c:pt idx="368">
                  <c:v>1.0880000000000001</c:v>
                </c:pt>
                <c:pt idx="369">
                  <c:v>1.0840000000000001</c:v>
                </c:pt>
                <c:pt idx="370">
                  <c:v>1.0629999999999999</c:v>
                </c:pt>
                <c:pt idx="371">
                  <c:v>1.0609999999999999</c:v>
                </c:pt>
                <c:pt idx="372">
                  <c:v>1.0529999999999999</c:v>
                </c:pt>
                <c:pt idx="373">
                  <c:v>1.0489999999999999</c:v>
                </c:pt>
                <c:pt idx="374">
                  <c:v>1.046</c:v>
                </c:pt>
                <c:pt idx="375">
                  <c:v>1.0429999999999999</c:v>
                </c:pt>
                <c:pt idx="376">
                  <c:v>1.0409999999999999</c:v>
                </c:pt>
                <c:pt idx="377">
                  <c:v>1.036</c:v>
                </c:pt>
                <c:pt idx="378">
                  <c:v>1.0309999999999999</c:v>
                </c:pt>
                <c:pt idx="379">
                  <c:v>1.0269999999999999</c:v>
                </c:pt>
                <c:pt idx="380">
                  <c:v>1.0309999999999999</c:v>
                </c:pt>
                <c:pt idx="381">
                  <c:v>1.0309999999999999</c:v>
                </c:pt>
                <c:pt idx="382">
                  <c:v>1.0309999999999999</c:v>
                </c:pt>
                <c:pt idx="383">
                  <c:v>1.03</c:v>
                </c:pt>
                <c:pt idx="384">
                  <c:v>1.024</c:v>
                </c:pt>
                <c:pt idx="385">
                  <c:v>1.022</c:v>
                </c:pt>
                <c:pt idx="386">
                  <c:v>1.0189999999999999</c:v>
                </c:pt>
                <c:pt idx="387">
                  <c:v>1.0169999999999999</c:v>
                </c:pt>
                <c:pt idx="388">
                  <c:v>1.0069999999999999</c:v>
                </c:pt>
                <c:pt idx="389">
                  <c:v>1.01</c:v>
                </c:pt>
                <c:pt idx="390">
                  <c:v>1.032</c:v>
                </c:pt>
                <c:pt idx="391">
                  <c:v>1.03</c:v>
                </c:pt>
                <c:pt idx="392">
                  <c:v>1.0289999999999999</c:v>
                </c:pt>
                <c:pt idx="393">
                  <c:v>1.03</c:v>
                </c:pt>
                <c:pt idx="394">
                  <c:v>1.022</c:v>
                </c:pt>
                <c:pt idx="395">
                  <c:v>1.0129999999999999</c:v>
                </c:pt>
                <c:pt idx="396">
                  <c:v>0.97699999999999998</c:v>
                </c:pt>
                <c:pt idx="397">
                  <c:v>1.0089999999999999</c:v>
                </c:pt>
                <c:pt idx="398">
                  <c:v>1.004</c:v>
                </c:pt>
                <c:pt idx="399">
                  <c:v>0.998</c:v>
                </c:pt>
                <c:pt idx="400">
                  <c:v>0.995</c:v>
                </c:pt>
                <c:pt idx="401">
                  <c:v>0.99399999999999999</c:v>
                </c:pt>
                <c:pt idx="402">
                  <c:v>0.98599999999999999</c:v>
                </c:pt>
                <c:pt idx="403">
                  <c:v>1.002</c:v>
                </c:pt>
                <c:pt idx="404">
                  <c:v>1.0209999999999999</c:v>
                </c:pt>
                <c:pt idx="405">
                  <c:v>1.0269999999999999</c:v>
                </c:pt>
                <c:pt idx="406">
                  <c:v>1.0289999999999999</c:v>
                </c:pt>
                <c:pt idx="407">
                  <c:v>1.036</c:v>
                </c:pt>
                <c:pt idx="408">
                  <c:v>1.0629999999999999</c:v>
                </c:pt>
                <c:pt idx="409">
                  <c:v>1.071</c:v>
                </c:pt>
                <c:pt idx="410">
                  <c:v>1.0840000000000001</c:v>
                </c:pt>
                <c:pt idx="411">
                  <c:v>1.087</c:v>
                </c:pt>
                <c:pt idx="412">
                  <c:v>1.0880000000000001</c:v>
                </c:pt>
                <c:pt idx="413">
                  <c:v>1.101</c:v>
                </c:pt>
                <c:pt idx="414">
                  <c:v>1.107</c:v>
                </c:pt>
                <c:pt idx="415">
                  <c:v>1.0980000000000001</c:v>
                </c:pt>
                <c:pt idx="416">
                  <c:v>1.1679999999999999</c:v>
                </c:pt>
                <c:pt idx="417">
                  <c:v>1.204</c:v>
                </c:pt>
                <c:pt idx="418">
                  <c:v>1.268</c:v>
                </c:pt>
                <c:pt idx="419">
                  <c:v>1.292</c:v>
                </c:pt>
                <c:pt idx="420">
                  <c:v>1.302</c:v>
                </c:pt>
                <c:pt idx="421">
                  <c:v>1.325</c:v>
                </c:pt>
                <c:pt idx="422">
                  <c:v>1.337</c:v>
                </c:pt>
                <c:pt idx="423">
                  <c:v>1.377</c:v>
                </c:pt>
                <c:pt idx="424">
                  <c:v>1.3839999999999999</c:v>
                </c:pt>
                <c:pt idx="425">
                  <c:v>1.3820000000000001</c:v>
                </c:pt>
                <c:pt idx="426">
                  <c:v>1.3959999999999999</c:v>
                </c:pt>
                <c:pt idx="427">
                  <c:v>1.4079999999999999</c:v>
                </c:pt>
                <c:pt idx="428">
                  <c:v>1.423</c:v>
                </c:pt>
                <c:pt idx="429">
                  <c:v>1.4239999999999999</c:v>
                </c:pt>
                <c:pt idx="430">
                  <c:v>1.43</c:v>
                </c:pt>
                <c:pt idx="431">
                  <c:v>1.427</c:v>
                </c:pt>
                <c:pt idx="432">
                  <c:v>1.4570000000000001</c:v>
                </c:pt>
                <c:pt idx="433">
                  <c:v>1.4650000000000001</c:v>
                </c:pt>
                <c:pt idx="434">
                  <c:v>1.4689999999999999</c:v>
                </c:pt>
                <c:pt idx="435">
                  <c:v>1.5</c:v>
                </c:pt>
                <c:pt idx="436">
                  <c:v>1.5030000000000001</c:v>
                </c:pt>
                <c:pt idx="437">
                  <c:v>1.5009999999999999</c:v>
                </c:pt>
                <c:pt idx="438">
                  <c:v>1.5049999999999999</c:v>
                </c:pt>
                <c:pt idx="439">
                  <c:v>1.5129999999999999</c:v>
                </c:pt>
                <c:pt idx="440">
                  <c:v>1.5150000000000001</c:v>
                </c:pt>
                <c:pt idx="441">
                  <c:v>1.4990000000000001</c:v>
                </c:pt>
                <c:pt idx="442">
                  <c:v>1.482</c:v>
                </c:pt>
                <c:pt idx="443">
                  <c:v>1.4379999999999999</c:v>
                </c:pt>
                <c:pt idx="444">
                  <c:v>1.425</c:v>
                </c:pt>
                <c:pt idx="445">
                  <c:v>1.43</c:v>
                </c:pt>
                <c:pt idx="446">
                  <c:v>1.4390000000000001</c:v>
                </c:pt>
                <c:pt idx="447">
                  <c:v>1.458</c:v>
                </c:pt>
                <c:pt idx="448">
                  <c:v>1.496</c:v>
                </c:pt>
                <c:pt idx="449">
                  <c:v>1.5030000000000001</c:v>
                </c:pt>
                <c:pt idx="450">
                  <c:v>1.498</c:v>
                </c:pt>
                <c:pt idx="451">
                  <c:v>1.4969999999999999</c:v>
                </c:pt>
                <c:pt idx="452">
                  <c:v>1.4670000000000001</c:v>
                </c:pt>
                <c:pt idx="453">
                  <c:v>1.44</c:v>
                </c:pt>
                <c:pt idx="454">
                  <c:v>1.4330000000000001</c:v>
                </c:pt>
                <c:pt idx="455">
                  <c:v>1.4079999999999999</c:v>
                </c:pt>
              </c:numCache>
            </c:numRef>
          </c:val>
          <c:smooth val="0"/>
          <c:extLst>
            <c:ext xmlns:c16="http://schemas.microsoft.com/office/drawing/2014/chart" uri="{C3380CC4-5D6E-409C-BE32-E72D297353CC}">
              <c16:uniqueId val="{00000002-0A09-4FC7-8ABF-8079CEFC14D5}"/>
            </c:ext>
          </c:extLst>
        </c:ser>
        <c:dLbls>
          <c:showLegendKey val="0"/>
          <c:showVal val="0"/>
          <c:showCatName val="0"/>
          <c:showSerName val="0"/>
          <c:showPercent val="0"/>
          <c:showBubbleSize val="0"/>
        </c:dLbls>
        <c:marker val="1"/>
        <c:smooth val="0"/>
        <c:axId val="1377871648"/>
        <c:axId val="1377861312"/>
      </c:lineChart>
      <c:dateAx>
        <c:axId val="1377858048"/>
        <c:scaling>
          <c:orientation val="minMax"/>
          <c:max val="44286"/>
          <c:min val="43830"/>
        </c:scaling>
        <c:delete val="0"/>
        <c:axPos val="b"/>
        <c:numFmt formatCode="dd\/mm\/yy" sourceLinked="1"/>
        <c:majorTickMark val="out"/>
        <c:minorTickMark val="none"/>
        <c:tickLblPos val="nextTo"/>
        <c:spPr>
          <a:ln>
            <a:solidFill>
              <a:srgbClr val="44546A"/>
            </a:solidFill>
          </a:ln>
        </c:spPr>
        <c:txPr>
          <a:bodyPr rot="-2700000"/>
          <a:lstStyle/>
          <a:p>
            <a:pPr>
              <a:defRPr>
                <a:solidFill>
                  <a:srgbClr val="44546A"/>
                </a:solidFill>
              </a:defRPr>
            </a:pPr>
            <a:endParaRPr lang="sr-Latn-RS"/>
          </a:p>
        </c:txPr>
        <c:crossAx val="1377860224"/>
        <c:crosses val="autoZero"/>
        <c:auto val="1"/>
        <c:lblOffset val="100"/>
        <c:baseTimeUnit val="days"/>
        <c:majorUnit val="3"/>
        <c:majorTimeUnit val="months"/>
        <c:minorUnit val="1"/>
        <c:minorTimeUnit val="months"/>
      </c:dateAx>
      <c:valAx>
        <c:axId val="1377860224"/>
        <c:scaling>
          <c:orientation val="minMax"/>
          <c:max val="108"/>
          <c:min val="85"/>
        </c:scaling>
        <c:delete val="0"/>
        <c:axPos val="l"/>
        <c:numFmt formatCode="#,##0\ [$€-407]"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58048"/>
        <c:crosses val="autoZero"/>
        <c:crossBetween val="between"/>
        <c:majorUnit val="2"/>
      </c:valAx>
      <c:valAx>
        <c:axId val="1377861312"/>
        <c:scaling>
          <c:orientation val="minMax"/>
          <c:max val="4"/>
          <c:min val="0.70000000000000007"/>
        </c:scaling>
        <c:delete val="0"/>
        <c:axPos val="r"/>
        <c:numFmt formatCode="#,##0.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71648"/>
        <c:crosses val="max"/>
        <c:crossBetween val="between"/>
        <c:majorUnit val="0.30000000000000032"/>
      </c:valAx>
      <c:dateAx>
        <c:axId val="1377871648"/>
        <c:scaling>
          <c:orientation val="minMax"/>
        </c:scaling>
        <c:delete val="1"/>
        <c:axPos val="b"/>
        <c:numFmt formatCode="dd\/mm\/yy" sourceLinked="1"/>
        <c:majorTickMark val="out"/>
        <c:minorTickMark val="none"/>
        <c:tickLblPos val="none"/>
        <c:crossAx val="1377861312"/>
        <c:crosses val="autoZero"/>
        <c:auto val="1"/>
        <c:lblOffset val="100"/>
        <c:baseTimeUnit val="days"/>
      </c:dateAx>
    </c:plotArea>
    <c:legend>
      <c:legendPos val="r"/>
      <c:layout>
        <c:manualLayout>
          <c:xMode val="edge"/>
          <c:yMode val="edge"/>
          <c:x val="0.1174077658897289"/>
          <c:y val="0.94025092592590409"/>
          <c:w val="0.86178634647413255"/>
          <c:h val="5.9446296296297024E-2"/>
        </c:manualLayout>
      </c:layout>
      <c:overlay val="0"/>
      <c:txPr>
        <a:bodyPr/>
        <a:lstStyle/>
        <a:p>
          <a:pPr>
            <a:defRPr>
              <a:solidFill>
                <a:srgbClr val="44546A"/>
              </a:solidFill>
            </a:defRPr>
          </a:pPr>
          <a:endParaRPr lang="sr-Latn-RS"/>
        </a:p>
      </c:txPr>
    </c:legend>
    <c:plotVisOnly val="1"/>
    <c:dispBlanksAs val="gap"/>
    <c:showDLblsOverMax val="0"/>
  </c:chart>
  <c:spPr>
    <a:ln>
      <a:noFill/>
    </a:ln>
  </c:spPr>
  <c:txPr>
    <a:bodyPr/>
    <a:lstStyle/>
    <a:p>
      <a:pPr>
        <a:defRPr sz="600">
          <a:solidFill>
            <a:schemeClr val="tx2"/>
          </a:solidFill>
          <a:latin typeface="+mn-lt"/>
          <a:cs typeface="Times New Roman" pitchFamily="18" charset="0"/>
        </a:defRPr>
      </a:pPr>
      <a:endParaRPr lang="sr-Latn-RS"/>
    </a:p>
  </c:txPr>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825127087872185"/>
          <c:y val="0.14146379853095489"/>
          <c:w val="0.80728885257806826"/>
          <c:h val="0.63021301154249731"/>
        </c:manualLayout>
      </c:layout>
      <c:areaChart>
        <c:grouping val="standard"/>
        <c:varyColors val="0"/>
        <c:ser>
          <c:idx val="0"/>
          <c:order val="0"/>
          <c:tx>
            <c:strRef>
              <c:f>'EUROBOND 2027 offline'!$B$4</c:f>
              <c:strCache>
                <c:ptCount val="1"/>
                <c:pt idx="0">
                  <c:v>Цена на затварању</c:v>
                </c:pt>
              </c:strCache>
            </c:strRef>
          </c:tx>
          <c:spPr>
            <a:ln w="25400">
              <a:noFill/>
            </a:ln>
          </c:spPr>
          <c:cat>
            <c:numRef>
              <c:f>'EUROBOND 2027 offline'!$A$23:$A$272</c:f>
              <c:numCache>
                <c:formatCode>dd\/mm\/yy</c:formatCode>
                <c:ptCount val="250"/>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pt idx="88">
                  <c:v>44160</c:v>
                </c:pt>
                <c:pt idx="89">
                  <c:v>44159</c:v>
                </c:pt>
                <c:pt idx="90">
                  <c:v>44158</c:v>
                </c:pt>
                <c:pt idx="91">
                  <c:v>44155</c:v>
                </c:pt>
                <c:pt idx="92">
                  <c:v>44154</c:v>
                </c:pt>
                <c:pt idx="93">
                  <c:v>44153</c:v>
                </c:pt>
                <c:pt idx="94">
                  <c:v>44152</c:v>
                </c:pt>
                <c:pt idx="95">
                  <c:v>44151</c:v>
                </c:pt>
                <c:pt idx="96">
                  <c:v>44148</c:v>
                </c:pt>
                <c:pt idx="97">
                  <c:v>44147</c:v>
                </c:pt>
                <c:pt idx="98">
                  <c:v>44146</c:v>
                </c:pt>
                <c:pt idx="99">
                  <c:v>44145</c:v>
                </c:pt>
                <c:pt idx="100">
                  <c:v>44144</c:v>
                </c:pt>
                <c:pt idx="101">
                  <c:v>44141</c:v>
                </c:pt>
                <c:pt idx="102">
                  <c:v>44140</c:v>
                </c:pt>
                <c:pt idx="103">
                  <c:v>44139</c:v>
                </c:pt>
                <c:pt idx="104">
                  <c:v>44138</c:v>
                </c:pt>
                <c:pt idx="105">
                  <c:v>44137</c:v>
                </c:pt>
                <c:pt idx="106">
                  <c:v>44134</c:v>
                </c:pt>
                <c:pt idx="107">
                  <c:v>44133</c:v>
                </c:pt>
                <c:pt idx="108">
                  <c:v>44132</c:v>
                </c:pt>
                <c:pt idx="109">
                  <c:v>44131</c:v>
                </c:pt>
                <c:pt idx="110">
                  <c:v>44130</c:v>
                </c:pt>
                <c:pt idx="111">
                  <c:v>44127</c:v>
                </c:pt>
                <c:pt idx="112">
                  <c:v>44126</c:v>
                </c:pt>
                <c:pt idx="113">
                  <c:v>44125</c:v>
                </c:pt>
                <c:pt idx="114">
                  <c:v>44124</c:v>
                </c:pt>
                <c:pt idx="115">
                  <c:v>44123</c:v>
                </c:pt>
                <c:pt idx="116">
                  <c:v>44120</c:v>
                </c:pt>
                <c:pt idx="117">
                  <c:v>44119</c:v>
                </c:pt>
                <c:pt idx="118">
                  <c:v>44118</c:v>
                </c:pt>
                <c:pt idx="119">
                  <c:v>44117</c:v>
                </c:pt>
                <c:pt idx="120">
                  <c:v>44116</c:v>
                </c:pt>
                <c:pt idx="121">
                  <c:v>44113</c:v>
                </c:pt>
                <c:pt idx="122">
                  <c:v>44112</c:v>
                </c:pt>
                <c:pt idx="123">
                  <c:v>44111</c:v>
                </c:pt>
                <c:pt idx="124">
                  <c:v>44110</c:v>
                </c:pt>
                <c:pt idx="125">
                  <c:v>44109</c:v>
                </c:pt>
                <c:pt idx="126">
                  <c:v>44106</c:v>
                </c:pt>
                <c:pt idx="127">
                  <c:v>44105</c:v>
                </c:pt>
                <c:pt idx="128">
                  <c:v>44104</c:v>
                </c:pt>
                <c:pt idx="129">
                  <c:v>44103</c:v>
                </c:pt>
                <c:pt idx="130">
                  <c:v>44102</c:v>
                </c:pt>
                <c:pt idx="131">
                  <c:v>44099</c:v>
                </c:pt>
                <c:pt idx="132">
                  <c:v>44098</c:v>
                </c:pt>
                <c:pt idx="133">
                  <c:v>44097</c:v>
                </c:pt>
                <c:pt idx="134">
                  <c:v>44096</c:v>
                </c:pt>
                <c:pt idx="135">
                  <c:v>44095</c:v>
                </c:pt>
                <c:pt idx="136">
                  <c:v>44092</c:v>
                </c:pt>
                <c:pt idx="137">
                  <c:v>44091</c:v>
                </c:pt>
                <c:pt idx="138">
                  <c:v>44090</c:v>
                </c:pt>
                <c:pt idx="139">
                  <c:v>44089</c:v>
                </c:pt>
                <c:pt idx="140">
                  <c:v>44088</c:v>
                </c:pt>
                <c:pt idx="141">
                  <c:v>44085</c:v>
                </c:pt>
                <c:pt idx="142">
                  <c:v>44084</c:v>
                </c:pt>
                <c:pt idx="143">
                  <c:v>44083</c:v>
                </c:pt>
                <c:pt idx="144">
                  <c:v>44082</c:v>
                </c:pt>
                <c:pt idx="145">
                  <c:v>44081</c:v>
                </c:pt>
                <c:pt idx="146">
                  <c:v>44078</c:v>
                </c:pt>
                <c:pt idx="147">
                  <c:v>44077</c:v>
                </c:pt>
                <c:pt idx="148">
                  <c:v>44076</c:v>
                </c:pt>
                <c:pt idx="149">
                  <c:v>44075</c:v>
                </c:pt>
                <c:pt idx="150">
                  <c:v>44074</c:v>
                </c:pt>
                <c:pt idx="151">
                  <c:v>44071</c:v>
                </c:pt>
                <c:pt idx="152">
                  <c:v>44070</c:v>
                </c:pt>
                <c:pt idx="153">
                  <c:v>44069</c:v>
                </c:pt>
                <c:pt idx="154">
                  <c:v>44068</c:v>
                </c:pt>
                <c:pt idx="155">
                  <c:v>44067</c:v>
                </c:pt>
                <c:pt idx="156">
                  <c:v>44064</c:v>
                </c:pt>
                <c:pt idx="157">
                  <c:v>44063</c:v>
                </c:pt>
                <c:pt idx="158">
                  <c:v>44062</c:v>
                </c:pt>
                <c:pt idx="159">
                  <c:v>44061</c:v>
                </c:pt>
                <c:pt idx="160">
                  <c:v>44060</c:v>
                </c:pt>
                <c:pt idx="161">
                  <c:v>44057</c:v>
                </c:pt>
                <c:pt idx="162">
                  <c:v>44056</c:v>
                </c:pt>
                <c:pt idx="163">
                  <c:v>44055</c:v>
                </c:pt>
                <c:pt idx="164">
                  <c:v>44054</c:v>
                </c:pt>
                <c:pt idx="165">
                  <c:v>44053</c:v>
                </c:pt>
                <c:pt idx="166">
                  <c:v>44050</c:v>
                </c:pt>
                <c:pt idx="167">
                  <c:v>44049</c:v>
                </c:pt>
                <c:pt idx="168">
                  <c:v>44048</c:v>
                </c:pt>
                <c:pt idx="169">
                  <c:v>44047</c:v>
                </c:pt>
                <c:pt idx="170">
                  <c:v>44046</c:v>
                </c:pt>
                <c:pt idx="171">
                  <c:v>44043</c:v>
                </c:pt>
                <c:pt idx="172">
                  <c:v>44042</c:v>
                </c:pt>
                <c:pt idx="173">
                  <c:v>44041</c:v>
                </c:pt>
                <c:pt idx="174">
                  <c:v>44040</c:v>
                </c:pt>
                <c:pt idx="175">
                  <c:v>44039</c:v>
                </c:pt>
                <c:pt idx="176">
                  <c:v>44036</c:v>
                </c:pt>
                <c:pt idx="177">
                  <c:v>44035</c:v>
                </c:pt>
                <c:pt idx="178">
                  <c:v>44034</c:v>
                </c:pt>
                <c:pt idx="179">
                  <c:v>44033</c:v>
                </c:pt>
                <c:pt idx="180">
                  <c:v>44032</c:v>
                </c:pt>
                <c:pt idx="181">
                  <c:v>44029</c:v>
                </c:pt>
                <c:pt idx="182">
                  <c:v>44028</c:v>
                </c:pt>
                <c:pt idx="183">
                  <c:v>44027</c:v>
                </c:pt>
                <c:pt idx="184">
                  <c:v>44026</c:v>
                </c:pt>
                <c:pt idx="185">
                  <c:v>44025</c:v>
                </c:pt>
                <c:pt idx="186">
                  <c:v>44022</c:v>
                </c:pt>
                <c:pt idx="187">
                  <c:v>44021</c:v>
                </c:pt>
                <c:pt idx="188">
                  <c:v>44020</c:v>
                </c:pt>
                <c:pt idx="189">
                  <c:v>44019</c:v>
                </c:pt>
                <c:pt idx="190">
                  <c:v>44018</c:v>
                </c:pt>
                <c:pt idx="191">
                  <c:v>44015</c:v>
                </c:pt>
                <c:pt idx="192">
                  <c:v>44014</c:v>
                </c:pt>
                <c:pt idx="193">
                  <c:v>44013</c:v>
                </c:pt>
                <c:pt idx="194">
                  <c:v>44012</c:v>
                </c:pt>
                <c:pt idx="195">
                  <c:v>44011</c:v>
                </c:pt>
                <c:pt idx="196">
                  <c:v>44008</c:v>
                </c:pt>
                <c:pt idx="197">
                  <c:v>44007</c:v>
                </c:pt>
                <c:pt idx="198">
                  <c:v>44006</c:v>
                </c:pt>
                <c:pt idx="199">
                  <c:v>44005</c:v>
                </c:pt>
                <c:pt idx="200">
                  <c:v>44004</c:v>
                </c:pt>
                <c:pt idx="201">
                  <c:v>44001</c:v>
                </c:pt>
                <c:pt idx="202">
                  <c:v>44000</c:v>
                </c:pt>
                <c:pt idx="203">
                  <c:v>43999</c:v>
                </c:pt>
                <c:pt idx="204">
                  <c:v>43998</c:v>
                </c:pt>
                <c:pt idx="205">
                  <c:v>43997</c:v>
                </c:pt>
                <c:pt idx="206">
                  <c:v>43994</c:v>
                </c:pt>
                <c:pt idx="207">
                  <c:v>43993</c:v>
                </c:pt>
                <c:pt idx="208">
                  <c:v>43992</c:v>
                </c:pt>
                <c:pt idx="209">
                  <c:v>43991</c:v>
                </c:pt>
                <c:pt idx="210">
                  <c:v>43990</c:v>
                </c:pt>
                <c:pt idx="211">
                  <c:v>43987</c:v>
                </c:pt>
                <c:pt idx="212">
                  <c:v>43986</c:v>
                </c:pt>
                <c:pt idx="213">
                  <c:v>43985</c:v>
                </c:pt>
                <c:pt idx="214">
                  <c:v>43984</c:v>
                </c:pt>
                <c:pt idx="215">
                  <c:v>43983</c:v>
                </c:pt>
                <c:pt idx="216">
                  <c:v>43980</c:v>
                </c:pt>
                <c:pt idx="217">
                  <c:v>43979</c:v>
                </c:pt>
                <c:pt idx="218">
                  <c:v>43978</c:v>
                </c:pt>
                <c:pt idx="219">
                  <c:v>43977</c:v>
                </c:pt>
                <c:pt idx="220">
                  <c:v>43976</c:v>
                </c:pt>
                <c:pt idx="221">
                  <c:v>43973</c:v>
                </c:pt>
                <c:pt idx="222">
                  <c:v>43972</c:v>
                </c:pt>
                <c:pt idx="223">
                  <c:v>43971</c:v>
                </c:pt>
                <c:pt idx="224">
                  <c:v>43970</c:v>
                </c:pt>
                <c:pt idx="225">
                  <c:v>43969</c:v>
                </c:pt>
                <c:pt idx="226">
                  <c:v>43966</c:v>
                </c:pt>
                <c:pt idx="227">
                  <c:v>43965</c:v>
                </c:pt>
                <c:pt idx="228">
                  <c:v>43964</c:v>
                </c:pt>
              </c:numCache>
            </c:numRef>
          </c:cat>
          <c:val>
            <c:numRef>
              <c:f>'EUROBOND 2027 offline'!$B$23:$B$364</c:f>
              <c:numCache>
                <c:formatCode>#,##0.000</c:formatCode>
                <c:ptCount val="342"/>
                <c:pt idx="0">
                  <c:v>110.92</c:v>
                </c:pt>
                <c:pt idx="1">
                  <c:v>110.93300000000001</c:v>
                </c:pt>
                <c:pt idx="2">
                  <c:v>111.014</c:v>
                </c:pt>
                <c:pt idx="3">
                  <c:v>111.032</c:v>
                </c:pt>
                <c:pt idx="4">
                  <c:v>111.056</c:v>
                </c:pt>
                <c:pt idx="5">
                  <c:v>111.03100000000001</c:v>
                </c:pt>
                <c:pt idx="6">
                  <c:v>111.00700000000001</c:v>
                </c:pt>
                <c:pt idx="7">
                  <c:v>111.008</c:v>
                </c:pt>
                <c:pt idx="8">
                  <c:v>110.98699999999999</c:v>
                </c:pt>
                <c:pt idx="9">
                  <c:v>111.004</c:v>
                </c:pt>
                <c:pt idx="10">
                  <c:v>111.08799999999999</c:v>
                </c:pt>
                <c:pt idx="11">
                  <c:v>111.13800000000001</c:v>
                </c:pt>
                <c:pt idx="12">
                  <c:v>111.07299999999999</c:v>
                </c:pt>
                <c:pt idx="13">
                  <c:v>111.005</c:v>
                </c:pt>
                <c:pt idx="14">
                  <c:v>111.18300000000001</c:v>
                </c:pt>
                <c:pt idx="15">
                  <c:v>110.694</c:v>
                </c:pt>
                <c:pt idx="16">
                  <c:v>110.621</c:v>
                </c:pt>
                <c:pt idx="17">
                  <c:v>110.578</c:v>
                </c:pt>
                <c:pt idx="18">
                  <c:v>110.86199999999999</c:v>
                </c:pt>
                <c:pt idx="19">
                  <c:v>111.035</c:v>
                </c:pt>
                <c:pt idx="20">
                  <c:v>111.11199999999999</c:v>
                </c:pt>
                <c:pt idx="21">
                  <c:v>111.191</c:v>
                </c:pt>
                <c:pt idx="22">
                  <c:v>111.084</c:v>
                </c:pt>
                <c:pt idx="23">
                  <c:v>110.88500000000001</c:v>
                </c:pt>
                <c:pt idx="24">
                  <c:v>110.962</c:v>
                </c:pt>
                <c:pt idx="25">
                  <c:v>111.08</c:v>
                </c:pt>
                <c:pt idx="26">
                  <c:v>111.20099999999999</c:v>
                </c:pt>
                <c:pt idx="27">
                  <c:v>111.259</c:v>
                </c:pt>
                <c:pt idx="28">
                  <c:v>111.486</c:v>
                </c:pt>
                <c:pt idx="29">
                  <c:v>111.703</c:v>
                </c:pt>
                <c:pt idx="30">
                  <c:v>111.78</c:v>
                </c:pt>
                <c:pt idx="31">
                  <c:v>111.95</c:v>
                </c:pt>
                <c:pt idx="32">
                  <c:v>112.078</c:v>
                </c:pt>
                <c:pt idx="33">
                  <c:v>112.215</c:v>
                </c:pt>
                <c:pt idx="34">
                  <c:v>112.277</c:v>
                </c:pt>
                <c:pt idx="35">
                  <c:v>112.229</c:v>
                </c:pt>
                <c:pt idx="36">
                  <c:v>112.254</c:v>
                </c:pt>
                <c:pt idx="37">
                  <c:v>112.321</c:v>
                </c:pt>
                <c:pt idx="38">
                  <c:v>112.361</c:v>
                </c:pt>
                <c:pt idx="39">
                  <c:v>112.238</c:v>
                </c:pt>
                <c:pt idx="40">
                  <c:v>112.104</c:v>
                </c:pt>
                <c:pt idx="41">
                  <c:v>112.05200000000001</c:v>
                </c:pt>
                <c:pt idx="42">
                  <c:v>112.004</c:v>
                </c:pt>
                <c:pt idx="43">
                  <c:v>111.91500000000001</c:v>
                </c:pt>
                <c:pt idx="44">
                  <c:v>111.89700000000001</c:v>
                </c:pt>
                <c:pt idx="45">
                  <c:v>111.721</c:v>
                </c:pt>
                <c:pt idx="46">
                  <c:v>111.738</c:v>
                </c:pt>
                <c:pt idx="47">
                  <c:v>111.752</c:v>
                </c:pt>
                <c:pt idx="48">
                  <c:v>111.777</c:v>
                </c:pt>
                <c:pt idx="49">
                  <c:v>111.899</c:v>
                </c:pt>
                <c:pt idx="50">
                  <c:v>111.995</c:v>
                </c:pt>
                <c:pt idx="51">
                  <c:v>112.089</c:v>
                </c:pt>
                <c:pt idx="52">
                  <c:v>112.111</c:v>
                </c:pt>
                <c:pt idx="53">
                  <c:v>112.233</c:v>
                </c:pt>
                <c:pt idx="54">
                  <c:v>112.33199999999999</c:v>
                </c:pt>
                <c:pt idx="55">
                  <c:v>112.249</c:v>
                </c:pt>
                <c:pt idx="56">
                  <c:v>112.169</c:v>
                </c:pt>
                <c:pt idx="57">
                  <c:v>112.578</c:v>
                </c:pt>
                <c:pt idx="58">
                  <c:v>112.685</c:v>
                </c:pt>
                <c:pt idx="59">
                  <c:v>112.755</c:v>
                </c:pt>
                <c:pt idx="60">
                  <c:v>112.93300000000001</c:v>
                </c:pt>
                <c:pt idx="61">
                  <c:v>112.952</c:v>
                </c:pt>
                <c:pt idx="62">
                  <c:v>112.977</c:v>
                </c:pt>
                <c:pt idx="63">
                  <c:v>112.633</c:v>
                </c:pt>
                <c:pt idx="64">
                  <c:v>112.524</c:v>
                </c:pt>
                <c:pt idx="65">
                  <c:v>112.498</c:v>
                </c:pt>
                <c:pt idx="66">
                  <c:v>112.399</c:v>
                </c:pt>
                <c:pt idx="67">
                  <c:v>112.47499999999999</c:v>
                </c:pt>
                <c:pt idx="68">
                  <c:v>112.411</c:v>
                </c:pt>
                <c:pt idx="69">
                  <c:v>112.387</c:v>
                </c:pt>
                <c:pt idx="70">
                  <c:v>112.426</c:v>
                </c:pt>
                <c:pt idx="71">
                  <c:v>112.414</c:v>
                </c:pt>
                <c:pt idx="72">
                  <c:v>112.32599999999999</c:v>
                </c:pt>
                <c:pt idx="73">
                  <c:v>112.173</c:v>
                </c:pt>
                <c:pt idx="74">
                  <c:v>112.127</c:v>
                </c:pt>
                <c:pt idx="75">
                  <c:v>112.05200000000001</c:v>
                </c:pt>
                <c:pt idx="76">
                  <c:v>112.053</c:v>
                </c:pt>
                <c:pt idx="77">
                  <c:v>112.04600000000001</c:v>
                </c:pt>
                <c:pt idx="78">
                  <c:v>112.065</c:v>
                </c:pt>
                <c:pt idx="79">
                  <c:v>112.035</c:v>
                </c:pt>
                <c:pt idx="80">
                  <c:v>112.01</c:v>
                </c:pt>
                <c:pt idx="81">
                  <c:v>112.006</c:v>
                </c:pt>
                <c:pt idx="82">
                  <c:v>111.871</c:v>
                </c:pt>
                <c:pt idx="83">
                  <c:v>111.824</c:v>
                </c:pt>
                <c:pt idx="84">
                  <c:v>111.879</c:v>
                </c:pt>
                <c:pt idx="85">
                  <c:v>111.94199999999999</c:v>
                </c:pt>
                <c:pt idx="86">
                  <c:v>111.898</c:v>
                </c:pt>
                <c:pt idx="87">
                  <c:v>111.902</c:v>
                </c:pt>
                <c:pt idx="88">
                  <c:v>111.887</c:v>
                </c:pt>
                <c:pt idx="89">
                  <c:v>111.88800000000001</c:v>
                </c:pt>
                <c:pt idx="90">
                  <c:v>111.488</c:v>
                </c:pt>
                <c:pt idx="91">
                  <c:v>110.801</c:v>
                </c:pt>
                <c:pt idx="92">
                  <c:v>110.78</c:v>
                </c:pt>
                <c:pt idx="93">
                  <c:v>110.73699999999999</c:v>
                </c:pt>
                <c:pt idx="94">
                  <c:v>110.678</c:v>
                </c:pt>
                <c:pt idx="95">
                  <c:v>110.65900000000001</c:v>
                </c:pt>
                <c:pt idx="96">
                  <c:v>110.56</c:v>
                </c:pt>
                <c:pt idx="97">
                  <c:v>110.578</c:v>
                </c:pt>
                <c:pt idx="98">
                  <c:v>110.681</c:v>
                </c:pt>
                <c:pt idx="99">
                  <c:v>110.621</c:v>
                </c:pt>
                <c:pt idx="100">
                  <c:v>110.679</c:v>
                </c:pt>
                <c:pt idx="101">
                  <c:v>110.351</c:v>
                </c:pt>
                <c:pt idx="102">
                  <c:v>110.383</c:v>
                </c:pt>
                <c:pt idx="103">
                  <c:v>109.67700000000001</c:v>
                </c:pt>
                <c:pt idx="104">
                  <c:v>109.254</c:v>
                </c:pt>
                <c:pt idx="105">
                  <c:v>108.977</c:v>
                </c:pt>
                <c:pt idx="106">
                  <c:v>108.92400000000001</c:v>
                </c:pt>
                <c:pt idx="107">
                  <c:v>108.96299999999999</c:v>
                </c:pt>
                <c:pt idx="108">
                  <c:v>109.01900000000001</c:v>
                </c:pt>
                <c:pt idx="109">
                  <c:v>109.389</c:v>
                </c:pt>
                <c:pt idx="110">
                  <c:v>109.44499999999999</c:v>
                </c:pt>
                <c:pt idx="111">
                  <c:v>109.61199999999999</c:v>
                </c:pt>
                <c:pt idx="112">
                  <c:v>109.318</c:v>
                </c:pt>
                <c:pt idx="113">
                  <c:v>109.262</c:v>
                </c:pt>
                <c:pt idx="114">
                  <c:v>109.342</c:v>
                </c:pt>
                <c:pt idx="115">
                  <c:v>109.438</c:v>
                </c:pt>
                <c:pt idx="116">
                  <c:v>109.236</c:v>
                </c:pt>
                <c:pt idx="117">
                  <c:v>108.848</c:v>
                </c:pt>
                <c:pt idx="118">
                  <c:v>108.80200000000001</c:v>
                </c:pt>
                <c:pt idx="119">
                  <c:v>108.762</c:v>
                </c:pt>
                <c:pt idx="120">
                  <c:v>108.474</c:v>
                </c:pt>
                <c:pt idx="121">
                  <c:v>108.334</c:v>
                </c:pt>
                <c:pt idx="122">
                  <c:v>108.16</c:v>
                </c:pt>
                <c:pt idx="123">
                  <c:v>107.688</c:v>
                </c:pt>
                <c:pt idx="124">
                  <c:v>107.608</c:v>
                </c:pt>
                <c:pt idx="125">
                  <c:v>107.508</c:v>
                </c:pt>
                <c:pt idx="126">
                  <c:v>107.441</c:v>
                </c:pt>
                <c:pt idx="127">
                  <c:v>107.383</c:v>
                </c:pt>
                <c:pt idx="128">
                  <c:v>107.099</c:v>
                </c:pt>
                <c:pt idx="129">
                  <c:v>107.15900000000001</c:v>
                </c:pt>
                <c:pt idx="130">
                  <c:v>107.447</c:v>
                </c:pt>
                <c:pt idx="131">
                  <c:v>107.47</c:v>
                </c:pt>
                <c:pt idx="132">
                  <c:v>107.462</c:v>
                </c:pt>
                <c:pt idx="133">
                  <c:v>107.703</c:v>
                </c:pt>
                <c:pt idx="134">
                  <c:v>107.762</c:v>
                </c:pt>
                <c:pt idx="135">
                  <c:v>107.9</c:v>
                </c:pt>
                <c:pt idx="136">
                  <c:v>108.238</c:v>
                </c:pt>
                <c:pt idx="137">
                  <c:v>108.248</c:v>
                </c:pt>
                <c:pt idx="138">
                  <c:v>108.298</c:v>
                </c:pt>
                <c:pt idx="139">
                  <c:v>108.255</c:v>
                </c:pt>
                <c:pt idx="140">
                  <c:v>107.976</c:v>
                </c:pt>
                <c:pt idx="141">
                  <c:v>107.843</c:v>
                </c:pt>
                <c:pt idx="142">
                  <c:v>107.785</c:v>
                </c:pt>
                <c:pt idx="143">
                  <c:v>107.744</c:v>
                </c:pt>
                <c:pt idx="144">
                  <c:v>107.714</c:v>
                </c:pt>
                <c:pt idx="145">
                  <c:v>107.741</c:v>
                </c:pt>
                <c:pt idx="146">
                  <c:v>107.711</c:v>
                </c:pt>
                <c:pt idx="147">
                  <c:v>107.602</c:v>
                </c:pt>
                <c:pt idx="148">
                  <c:v>107.489</c:v>
                </c:pt>
                <c:pt idx="149">
                  <c:v>107.264</c:v>
                </c:pt>
                <c:pt idx="150">
                  <c:v>107.23099999999999</c:v>
                </c:pt>
                <c:pt idx="151">
                  <c:v>107.212</c:v>
                </c:pt>
                <c:pt idx="152">
                  <c:v>107.242</c:v>
                </c:pt>
                <c:pt idx="153">
                  <c:v>107.258</c:v>
                </c:pt>
                <c:pt idx="154">
                  <c:v>107.256</c:v>
                </c:pt>
                <c:pt idx="155">
                  <c:v>107.29600000000001</c:v>
                </c:pt>
                <c:pt idx="156">
                  <c:v>107.259</c:v>
                </c:pt>
                <c:pt idx="157">
                  <c:v>107.256</c:v>
                </c:pt>
                <c:pt idx="158">
                  <c:v>107.265</c:v>
                </c:pt>
                <c:pt idx="159">
                  <c:v>107.25</c:v>
                </c:pt>
                <c:pt idx="160">
                  <c:v>107.34099999999999</c:v>
                </c:pt>
                <c:pt idx="161">
                  <c:v>107.324</c:v>
                </c:pt>
                <c:pt idx="162">
                  <c:v>107.358</c:v>
                </c:pt>
                <c:pt idx="163">
                  <c:v>107.20099999999999</c:v>
                </c:pt>
                <c:pt idx="164">
                  <c:v>107.242</c:v>
                </c:pt>
                <c:pt idx="165">
                  <c:v>107.196</c:v>
                </c:pt>
                <c:pt idx="166">
                  <c:v>107.04</c:v>
                </c:pt>
                <c:pt idx="167">
                  <c:v>106.967</c:v>
                </c:pt>
                <c:pt idx="168">
                  <c:v>106.833</c:v>
                </c:pt>
                <c:pt idx="169">
                  <c:v>106.72499999999999</c:v>
                </c:pt>
                <c:pt idx="170">
                  <c:v>106.658</c:v>
                </c:pt>
                <c:pt idx="171">
                  <c:v>106.63</c:v>
                </c:pt>
                <c:pt idx="172">
                  <c:v>106.623</c:v>
                </c:pt>
                <c:pt idx="173">
                  <c:v>106.854</c:v>
                </c:pt>
                <c:pt idx="174">
                  <c:v>106.923</c:v>
                </c:pt>
                <c:pt idx="175">
                  <c:v>107.059</c:v>
                </c:pt>
                <c:pt idx="176">
                  <c:v>107.191</c:v>
                </c:pt>
                <c:pt idx="177">
                  <c:v>107.684</c:v>
                </c:pt>
                <c:pt idx="178">
                  <c:v>106.65900000000001</c:v>
                </c:pt>
                <c:pt idx="179">
                  <c:v>106.36799999999999</c:v>
                </c:pt>
                <c:pt idx="180">
                  <c:v>106.02200000000001</c:v>
                </c:pt>
                <c:pt idx="181">
                  <c:v>105.786</c:v>
                </c:pt>
                <c:pt idx="182">
                  <c:v>105.54300000000001</c:v>
                </c:pt>
                <c:pt idx="183">
                  <c:v>105.477</c:v>
                </c:pt>
                <c:pt idx="184">
                  <c:v>105.29300000000001</c:v>
                </c:pt>
                <c:pt idx="185">
                  <c:v>105.383</c:v>
                </c:pt>
                <c:pt idx="186">
                  <c:v>105.465</c:v>
                </c:pt>
                <c:pt idx="187">
                  <c:v>105.77800000000001</c:v>
                </c:pt>
                <c:pt idx="188">
                  <c:v>106.14100000000001</c:v>
                </c:pt>
                <c:pt idx="189">
                  <c:v>106.11</c:v>
                </c:pt>
                <c:pt idx="190">
                  <c:v>105.73099999999999</c:v>
                </c:pt>
                <c:pt idx="191">
                  <c:v>105.417</c:v>
                </c:pt>
                <c:pt idx="192">
                  <c:v>105.28400000000001</c:v>
                </c:pt>
                <c:pt idx="193">
                  <c:v>104.90300000000001</c:v>
                </c:pt>
                <c:pt idx="194">
                  <c:v>104.837</c:v>
                </c:pt>
                <c:pt idx="195">
                  <c:v>104.81699999999999</c:v>
                </c:pt>
                <c:pt idx="196">
                  <c:v>104.80500000000001</c:v>
                </c:pt>
                <c:pt idx="197">
                  <c:v>104.756</c:v>
                </c:pt>
                <c:pt idx="198">
                  <c:v>104.95</c:v>
                </c:pt>
                <c:pt idx="199">
                  <c:v>105.08799999999999</c:v>
                </c:pt>
                <c:pt idx="200">
                  <c:v>105.093</c:v>
                </c:pt>
                <c:pt idx="201">
                  <c:v>104.76300000000001</c:v>
                </c:pt>
                <c:pt idx="202">
                  <c:v>104.72499999999999</c:v>
                </c:pt>
                <c:pt idx="203">
                  <c:v>104.74299999999999</c:v>
                </c:pt>
                <c:pt idx="204">
                  <c:v>104.746</c:v>
                </c:pt>
                <c:pt idx="205">
                  <c:v>104.06100000000001</c:v>
                </c:pt>
                <c:pt idx="206">
                  <c:v>104.414</c:v>
                </c:pt>
                <c:pt idx="207">
                  <c:v>104.46</c:v>
                </c:pt>
                <c:pt idx="208">
                  <c:v>104.753</c:v>
                </c:pt>
                <c:pt idx="209">
                  <c:v>105.068</c:v>
                </c:pt>
                <c:pt idx="210">
                  <c:v>105.42700000000001</c:v>
                </c:pt>
                <c:pt idx="211">
                  <c:v>105.30500000000001</c:v>
                </c:pt>
                <c:pt idx="212">
                  <c:v>105.45</c:v>
                </c:pt>
                <c:pt idx="213">
                  <c:v>105.90300000000001</c:v>
                </c:pt>
                <c:pt idx="214">
                  <c:v>105.872</c:v>
                </c:pt>
                <c:pt idx="215">
                  <c:v>105.636</c:v>
                </c:pt>
                <c:pt idx="216">
                  <c:v>104.98699999999999</c:v>
                </c:pt>
                <c:pt idx="217">
                  <c:v>103.114</c:v>
                </c:pt>
                <c:pt idx="218">
                  <c:v>101.827</c:v>
                </c:pt>
                <c:pt idx="219">
                  <c:v>101.152</c:v>
                </c:pt>
                <c:pt idx="220">
                  <c:v>100.71</c:v>
                </c:pt>
                <c:pt idx="221">
                  <c:v>100.72499999999999</c:v>
                </c:pt>
                <c:pt idx="222">
                  <c:v>100.809</c:v>
                </c:pt>
                <c:pt idx="223">
                  <c:v>100.602</c:v>
                </c:pt>
                <c:pt idx="224">
                  <c:v>100.462</c:v>
                </c:pt>
                <c:pt idx="225">
                  <c:v>100.101</c:v>
                </c:pt>
                <c:pt idx="226">
                  <c:v>99.855999999999995</c:v>
                </c:pt>
                <c:pt idx="227">
                  <c:v>99.766000000000005</c:v>
                </c:pt>
                <c:pt idx="228">
                  <c:v>100.315</c:v>
                </c:pt>
              </c:numCache>
            </c:numRef>
          </c:val>
          <c:extLst>
            <c:ext xmlns:c16="http://schemas.microsoft.com/office/drawing/2014/chart" uri="{C3380CC4-5D6E-409C-BE32-E72D297353CC}">
              <c16:uniqueId val="{00000000-17CE-4581-885F-9FAAB541EC42}"/>
            </c:ext>
          </c:extLst>
        </c:ser>
        <c:dLbls>
          <c:showLegendKey val="0"/>
          <c:showVal val="0"/>
          <c:showCatName val="0"/>
          <c:showSerName val="0"/>
          <c:showPercent val="0"/>
          <c:showBubbleSize val="0"/>
        </c:dLbls>
        <c:axId val="1377858048"/>
        <c:axId val="1377860224"/>
      </c:areaChart>
      <c:lineChart>
        <c:grouping val="standard"/>
        <c:varyColors val="0"/>
        <c:ser>
          <c:idx val="1"/>
          <c:order val="1"/>
          <c:tx>
            <c:strRef>
              <c:f>'EUROBOND 2027 offline'!$C$4</c:f>
              <c:strCache>
                <c:ptCount val="1"/>
                <c:pt idx="0">
                  <c:v>Срењни принос до доспећа</c:v>
                </c:pt>
              </c:strCache>
            </c:strRef>
          </c:tx>
          <c:marker>
            <c:symbol val="none"/>
          </c:marker>
          <c:cat>
            <c:numRef>
              <c:f>'EUROBOND 2027 offline'!$A$23:$A$364</c:f>
              <c:numCache>
                <c:formatCode>dd\/mm\/yy</c:formatCode>
                <c:ptCount val="342"/>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pt idx="88">
                  <c:v>44160</c:v>
                </c:pt>
                <c:pt idx="89">
                  <c:v>44159</c:v>
                </c:pt>
                <c:pt idx="90">
                  <c:v>44158</c:v>
                </c:pt>
                <c:pt idx="91">
                  <c:v>44155</c:v>
                </c:pt>
                <c:pt idx="92">
                  <c:v>44154</c:v>
                </c:pt>
                <c:pt idx="93">
                  <c:v>44153</c:v>
                </c:pt>
                <c:pt idx="94">
                  <c:v>44152</c:v>
                </c:pt>
                <c:pt idx="95">
                  <c:v>44151</c:v>
                </c:pt>
                <c:pt idx="96">
                  <c:v>44148</c:v>
                </c:pt>
                <c:pt idx="97">
                  <c:v>44147</c:v>
                </c:pt>
                <c:pt idx="98">
                  <c:v>44146</c:v>
                </c:pt>
                <c:pt idx="99">
                  <c:v>44145</c:v>
                </c:pt>
                <c:pt idx="100">
                  <c:v>44144</c:v>
                </c:pt>
                <c:pt idx="101">
                  <c:v>44141</c:v>
                </c:pt>
                <c:pt idx="102">
                  <c:v>44140</c:v>
                </c:pt>
                <c:pt idx="103">
                  <c:v>44139</c:v>
                </c:pt>
                <c:pt idx="104">
                  <c:v>44138</c:v>
                </c:pt>
                <c:pt idx="105">
                  <c:v>44137</c:v>
                </c:pt>
                <c:pt idx="106">
                  <c:v>44134</c:v>
                </c:pt>
                <c:pt idx="107">
                  <c:v>44133</c:v>
                </c:pt>
                <c:pt idx="108">
                  <c:v>44132</c:v>
                </c:pt>
                <c:pt idx="109">
                  <c:v>44131</c:v>
                </c:pt>
                <c:pt idx="110">
                  <c:v>44130</c:v>
                </c:pt>
                <c:pt idx="111">
                  <c:v>44127</c:v>
                </c:pt>
                <c:pt idx="112">
                  <c:v>44126</c:v>
                </c:pt>
                <c:pt idx="113">
                  <c:v>44125</c:v>
                </c:pt>
                <c:pt idx="114">
                  <c:v>44124</c:v>
                </c:pt>
                <c:pt idx="115">
                  <c:v>44123</c:v>
                </c:pt>
                <c:pt idx="116">
                  <c:v>44120</c:v>
                </c:pt>
                <c:pt idx="117">
                  <c:v>44119</c:v>
                </c:pt>
                <c:pt idx="118">
                  <c:v>44118</c:v>
                </c:pt>
                <c:pt idx="119">
                  <c:v>44117</c:v>
                </c:pt>
                <c:pt idx="120">
                  <c:v>44116</c:v>
                </c:pt>
                <c:pt idx="121">
                  <c:v>44113</c:v>
                </c:pt>
                <c:pt idx="122">
                  <c:v>44112</c:v>
                </c:pt>
                <c:pt idx="123">
                  <c:v>44111</c:v>
                </c:pt>
                <c:pt idx="124">
                  <c:v>44110</c:v>
                </c:pt>
                <c:pt idx="125">
                  <c:v>44109</c:v>
                </c:pt>
                <c:pt idx="126">
                  <c:v>44106</c:v>
                </c:pt>
                <c:pt idx="127">
                  <c:v>44105</c:v>
                </c:pt>
                <c:pt idx="128">
                  <c:v>44104</c:v>
                </c:pt>
                <c:pt idx="129">
                  <c:v>44103</c:v>
                </c:pt>
                <c:pt idx="130">
                  <c:v>44102</c:v>
                </c:pt>
                <c:pt idx="131">
                  <c:v>44099</c:v>
                </c:pt>
                <c:pt idx="132">
                  <c:v>44098</c:v>
                </c:pt>
                <c:pt idx="133">
                  <c:v>44097</c:v>
                </c:pt>
                <c:pt idx="134">
                  <c:v>44096</c:v>
                </c:pt>
                <c:pt idx="135">
                  <c:v>44095</c:v>
                </c:pt>
                <c:pt idx="136">
                  <c:v>44092</c:v>
                </c:pt>
                <c:pt idx="137">
                  <c:v>44091</c:v>
                </c:pt>
                <c:pt idx="138">
                  <c:v>44090</c:v>
                </c:pt>
                <c:pt idx="139">
                  <c:v>44089</c:v>
                </c:pt>
                <c:pt idx="140">
                  <c:v>44088</c:v>
                </c:pt>
                <c:pt idx="141">
                  <c:v>44085</c:v>
                </c:pt>
                <c:pt idx="142">
                  <c:v>44084</c:v>
                </c:pt>
                <c:pt idx="143">
                  <c:v>44083</c:v>
                </c:pt>
                <c:pt idx="144">
                  <c:v>44082</c:v>
                </c:pt>
                <c:pt idx="145">
                  <c:v>44081</c:v>
                </c:pt>
                <c:pt idx="146">
                  <c:v>44078</c:v>
                </c:pt>
                <c:pt idx="147">
                  <c:v>44077</c:v>
                </c:pt>
                <c:pt idx="148">
                  <c:v>44076</c:v>
                </c:pt>
                <c:pt idx="149">
                  <c:v>44075</c:v>
                </c:pt>
                <c:pt idx="150">
                  <c:v>44074</c:v>
                </c:pt>
                <c:pt idx="151">
                  <c:v>44071</c:v>
                </c:pt>
                <c:pt idx="152">
                  <c:v>44070</c:v>
                </c:pt>
                <c:pt idx="153">
                  <c:v>44069</c:v>
                </c:pt>
                <c:pt idx="154">
                  <c:v>44068</c:v>
                </c:pt>
                <c:pt idx="155">
                  <c:v>44067</c:v>
                </c:pt>
                <c:pt idx="156">
                  <c:v>44064</c:v>
                </c:pt>
                <c:pt idx="157">
                  <c:v>44063</c:v>
                </c:pt>
                <c:pt idx="158">
                  <c:v>44062</c:v>
                </c:pt>
                <c:pt idx="159">
                  <c:v>44061</c:v>
                </c:pt>
                <c:pt idx="160">
                  <c:v>44060</c:v>
                </c:pt>
                <c:pt idx="161">
                  <c:v>44057</c:v>
                </c:pt>
                <c:pt idx="162">
                  <c:v>44056</c:v>
                </c:pt>
                <c:pt idx="163">
                  <c:v>44055</c:v>
                </c:pt>
                <c:pt idx="164">
                  <c:v>44054</c:v>
                </c:pt>
                <c:pt idx="165">
                  <c:v>44053</c:v>
                </c:pt>
                <c:pt idx="166">
                  <c:v>44050</c:v>
                </c:pt>
                <c:pt idx="167">
                  <c:v>44049</c:v>
                </c:pt>
                <c:pt idx="168">
                  <c:v>44048</c:v>
                </c:pt>
                <c:pt idx="169">
                  <c:v>44047</c:v>
                </c:pt>
                <c:pt idx="170">
                  <c:v>44046</c:v>
                </c:pt>
                <c:pt idx="171">
                  <c:v>44043</c:v>
                </c:pt>
                <c:pt idx="172">
                  <c:v>44042</c:v>
                </c:pt>
                <c:pt idx="173">
                  <c:v>44041</c:v>
                </c:pt>
                <c:pt idx="174">
                  <c:v>44040</c:v>
                </c:pt>
                <c:pt idx="175">
                  <c:v>44039</c:v>
                </c:pt>
                <c:pt idx="176">
                  <c:v>44036</c:v>
                </c:pt>
                <c:pt idx="177">
                  <c:v>44035</c:v>
                </c:pt>
                <c:pt idx="178">
                  <c:v>44034</c:v>
                </c:pt>
                <c:pt idx="179">
                  <c:v>44033</c:v>
                </c:pt>
                <c:pt idx="180">
                  <c:v>44032</c:v>
                </c:pt>
                <c:pt idx="181">
                  <c:v>44029</c:v>
                </c:pt>
                <c:pt idx="182">
                  <c:v>44028</c:v>
                </c:pt>
                <c:pt idx="183">
                  <c:v>44027</c:v>
                </c:pt>
                <c:pt idx="184">
                  <c:v>44026</c:v>
                </c:pt>
                <c:pt idx="185">
                  <c:v>44025</c:v>
                </c:pt>
                <c:pt idx="186">
                  <c:v>44022</c:v>
                </c:pt>
                <c:pt idx="187">
                  <c:v>44021</c:v>
                </c:pt>
                <c:pt idx="188">
                  <c:v>44020</c:v>
                </c:pt>
                <c:pt idx="189">
                  <c:v>44019</c:v>
                </c:pt>
                <c:pt idx="190">
                  <c:v>44018</c:v>
                </c:pt>
                <c:pt idx="191">
                  <c:v>44015</c:v>
                </c:pt>
                <c:pt idx="192">
                  <c:v>44014</c:v>
                </c:pt>
                <c:pt idx="193">
                  <c:v>44013</c:v>
                </c:pt>
                <c:pt idx="194">
                  <c:v>44012</c:v>
                </c:pt>
                <c:pt idx="195">
                  <c:v>44011</c:v>
                </c:pt>
                <c:pt idx="196">
                  <c:v>44008</c:v>
                </c:pt>
                <c:pt idx="197">
                  <c:v>44007</c:v>
                </c:pt>
                <c:pt idx="198">
                  <c:v>44006</c:v>
                </c:pt>
                <c:pt idx="199">
                  <c:v>44005</c:v>
                </c:pt>
                <c:pt idx="200">
                  <c:v>44004</c:v>
                </c:pt>
                <c:pt idx="201">
                  <c:v>44001</c:v>
                </c:pt>
                <c:pt idx="202">
                  <c:v>44000</c:v>
                </c:pt>
                <c:pt idx="203">
                  <c:v>43999</c:v>
                </c:pt>
                <c:pt idx="204">
                  <c:v>43998</c:v>
                </c:pt>
                <c:pt idx="205">
                  <c:v>43997</c:v>
                </c:pt>
                <c:pt idx="206">
                  <c:v>43994</c:v>
                </c:pt>
                <c:pt idx="207">
                  <c:v>43993</c:v>
                </c:pt>
                <c:pt idx="208">
                  <c:v>43992</c:v>
                </c:pt>
                <c:pt idx="209">
                  <c:v>43991</c:v>
                </c:pt>
                <c:pt idx="210">
                  <c:v>43990</c:v>
                </c:pt>
                <c:pt idx="211">
                  <c:v>43987</c:v>
                </c:pt>
                <c:pt idx="212">
                  <c:v>43986</c:v>
                </c:pt>
                <c:pt idx="213">
                  <c:v>43985</c:v>
                </c:pt>
                <c:pt idx="214">
                  <c:v>43984</c:v>
                </c:pt>
                <c:pt idx="215">
                  <c:v>43983</c:v>
                </c:pt>
                <c:pt idx="216">
                  <c:v>43980</c:v>
                </c:pt>
                <c:pt idx="217">
                  <c:v>43979</c:v>
                </c:pt>
                <c:pt idx="218">
                  <c:v>43978</c:v>
                </c:pt>
                <c:pt idx="219">
                  <c:v>43977</c:v>
                </c:pt>
                <c:pt idx="220">
                  <c:v>43976</c:v>
                </c:pt>
                <c:pt idx="221">
                  <c:v>43973</c:v>
                </c:pt>
                <c:pt idx="222">
                  <c:v>43972</c:v>
                </c:pt>
                <c:pt idx="223">
                  <c:v>43971</c:v>
                </c:pt>
                <c:pt idx="224">
                  <c:v>43970</c:v>
                </c:pt>
                <c:pt idx="225">
                  <c:v>43969</c:v>
                </c:pt>
                <c:pt idx="226">
                  <c:v>43966</c:v>
                </c:pt>
                <c:pt idx="227">
                  <c:v>43965</c:v>
                </c:pt>
                <c:pt idx="228">
                  <c:v>43964</c:v>
                </c:pt>
              </c:numCache>
            </c:numRef>
          </c:cat>
          <c:val>
            <c:numRef>
              <c:f>'EUROBOND 2027 offline'!$C$23:$C$364</c:f>
              <c:numCache>
                <c:formatCode>#,##0.000</c:formatCode>
                <c:ptCount val="342"/>
                <c:pt idx="0">
                  <c:v>1.256</c:v>
                </c:pt>
                <c:pt idx="1">
                  <c:v>1.258</c:v>
                </c:pt>
                <c:pt idx="2">
                  <c:v>1.2450000000000001</c:v>
                </c:pt>
                <c:pt idx="3">
                  <c:v>1.2429999999999999</c:v>
                </c:pt>
                <c:pt idx="4">
                  <c:v>1.24</c:v>
                </c:pt>
                <c:pt idx="5">
                  <c:v>1.246</c:v>
                </c:pt>
                <c:pt idx="6">
                  <c:v>1.2509999999999999</c:v>
                </c:pt>
                <c:pt idx="7">
                  <c:v>1.252</c:v>
                </c:pt>
                <c:pt idx="8">
                  <c:v>1.256</c:v>
                </c:pt>
                <c:pt idx="9">
                  <c:v>1.254</c:v>
                </c:pt>
                <c:pt idx="10">
                  <c:v>1.2429999999999999</c:v>
                </c:pt>
                <c:pt idx="11">
                  <c:v>1.2349999999999999</c:v>
                </c:pt>
                <c:pt idx="12">
                  <c:v>1.246</c:v>
                </c:pt>
                <c:pt idx="13">
                  <c:v>1.258</c:v>
                </c:pt>
                <c:pt idx="14">
                  <c:v>1.23</c:v>
                </c:pt>
                <c:pt idx="15">
                  <c:v>1.31</c:v>
                </c:pt>
                <c:pt idx="16">
                  <c:v>1.323</c:v>
                </c:pt>
                <c:pt idx="17">
                  <c:v>1.33</c:v>
                </c:pt>
                <c:pt idx="18">
                  <c:v>1.286</c:v>
                </c:pt>
                <c:pt idx="19">
                  <c:v>1.2589999999999999</c:v>
                </c:pt>
                <c:pt idx="20">
                  <c:v>1.2490000000000001</c:v>
                </c:pt>
                <c:pt idx="21">
                  <c:v>1.2370000000000001</c:v>
                </c:pt>
                <c:pt idx="22">
                  <c:v>1.2549999999999999</c:v>
                </c:pt>
                <c:pt idx="23">
                  <c:v>1.2869999999999999</c:v>
                </c:pt>
                <c:pt idx="24">
                  <c:v>1.276</c:v>
                </c:pt>
                <c:pt idx="25">
                  <c:v>1.2589999999999999</c:v>
                </c:pt>
                <c:pt idx="26">
                  <c:v>1.2410000000000001</c:v>
                </c:pt>
                <c:pt idx="27">
                  <c:v>1.2330000000000001</c:v>
                </c:pt>
                <c:pt idx="28">
                  <c:v>1.198</c:v>
                </c:pt>
                <c:pt idx="29">
                  <c:v>1.1639999999999999</c:v>
                </c:pt>
                <c:pt idx="30">
                  <c:v>1.155</c:v>
                </c:pt>
                <c:pt idx="31">
                  <c:v>1.129</c:v>
                </c:pt>
                <c:pt idx="32">
                  <c:v>1.1100000000000001</c:v>
                </c:pt>
                <c:pt idx="33">
                  <c:v>1.089</c:v>
                </c:pt>
                <c:pt idx="34">
                  <c:v>1.081</c:v>
                </c:pt>
                <c:pt idx="35">
                  <c:v>1.0900000000000001</c:v>
                </c:pt>
                <c:pt idx="36">
                  <c:v>1.087</c:v>
                </c:pt>
                <c:pt idx="37">
                  <c:v>1.0780000000000001</c:v>
                </c:pt>
                <c:pt idx="38">
                  <c:v>1.0720000000000001</c:v>
                </c:pt>
                <c:pt idx="39">
                  <c:v>1.0920000000000001</c:v>
                </c:pt>
                <c:pt idx="40">
                  <c:v>1.115</c:v>
                </c:pt>
                <c:pt idx="41">
                  <c:v>1.1240000000000001</c:v>
                </c:pt>
                <c:pt idx="42">
                  <c:v>1.1320000000000001</c:v>
                </c:pt>
                <c:pt idx="43">
                  <c:v>1.147</c:v>
                </c:pt>
                <c:pt idx="44">
                  <c:v>1.151</c:v>
                </c:pt>
                <c:pt idx="45">
                  <c:v>1.18</c:v>
                </c:pt>
                <c:pt idx="46">
                  <c:v>1.1779999999999999</c:v>
                </c:pt>
                <c:pt idx="47">
                  <c:v>1.177</c:v>
                </c:pt>
                <c:pt idx="48">
                  <c:v>1.1739999999999999</c:v>
                </c:pt>
                <c:pt idx="49">
                  <c:v>1.1559999999999999</c:v>
                </c:pt>
                <c:pt idx="50">
                  <c:v>1.143</c:v>
                </c:pt>
                <c:pt idx="51">
                  <c:v>1.129</c:v>
                </c:pt>
                <c:pt idx="52">
                  <c:v>1.127</c:v>
                </c:pt>
                <c:pt idx="53">
                  <c:v>1.109</c:v>
                </c:pt>
                <c:pt idx="54">
                  <c:v>1.0940000000000001</c:v>
                </c:pt>
                <c:pt idx="55">
                  <c:v>1.109</c:v>
                </c:pt>
                <c:pt idx="56">
                  <c:v>1.123</c:v>
                </c:pt>
                <c:pt idx="57">
                  <c:v>1.0609999999999999</c:v>
                </c:pt>
                <c:pt idx="58">
                  <c:v>1.0449999999999999</c:v>
                </c:pt>
                <c:pt idx="59">
                  <c:v>1.0349999999999999</c:v>
                </c:pt>
                <c:pt idx="60">
                  <c:v>1.0109999999999999</c:v>
                </c:pt>
                <c:pt idx="61">
                  <c:v>1.0089999999999999</c:v>
                </c:pt>
                <c:pt idx="62">
                  <c:v>1.006</c:v>
                </c:pt>
                <c:pt idx="63">
                  <c:v>1.0589999999999999</c:v>
                </c:pt>
                <c:pt idx="64">
                  <c:v>1.0760000000000001</c:v>
                </c:pt>
                <c:pt idx="65">
                  <c:v>1.083</c:v>
                </c:pt>
                <c:pt idx="66">
                  <c:v>1.099</c:v>
                </c:pt>
                <c:pt idx="67">
                  <c:v>1.0880000000000001</c:v>
                </c:pt>
                <c:pt idx="68">
                  <c:v>1.099</c:v>
                </c:pt>
                <c:pt idx="69">
                  <c:v>1.1060000000000001</c:v>
                </c:pt>
                <c:pt idx="70">
                  <c:v>1.1000000000000001</c:v>
                </c:pt>
                <c:pt idx="71">
                  <c:v>1.103</c:v>
                </c:pt>
                <c:pt idx="72">
                  <c:v>1.117</c:v>
                </c:pt>
                <c:pt idx="73">
                  <c:v>1.143</c:v>
                </c:pt>
                <c:pt idx="74">
                  <c:v>1.1499999999999999</c:v>
                </c:pt>
                <c:pt idx="75">
                  <c:v>1.163</c:v>
                </c:pt>
                <c:pt idx="76">
                  <c:v>1.163</c:v>
                </c:pt>
                <c:pt idx="77">
                  <c:v>1.165</c:v>
                </c:pt>
                <c:pt idx="78">
                  <c:v>1.1639999999999999</c:v>
                </c:pt>
                <c:pt idx="79">
                  <c:v>1.17</c:v>
                </c:pt>
                <c:pt idx="80">
                  <c:v>1.1739999999999999</c:v>
                </c:pt>
                <c:pt idx="81">
                  <c:v>1.1759999999999999</c:v>
                </c:pt>
                <c:pt idx="82">
                  <c:v>1.1970000000000001</c:v>
                </c:pt>
                <c:pt idx="83">
                  <c:v>1.206</c:v>
                </c:pt>
                <c:pt idx="84">
                  <c:v>1.198</c:v>
                </c:pt>
                <c:pt idx="85">
                  <c:v>1.19</c:v>
                </c:pt>
                <c:pt idx="86">
                  <c:v>1.1970000000000001</c:v>
                </c:pt>
                <c:pt idx="87">
                  <c:v>1.1970000000000001</c:v>
                </c:pt>
                <c:pt idx="88">
                  <c:v>1.202</c:v>
                </c:pt>
                <c:pt idx="89">
                  <c:v>1.202</c:v>
                </c:pt>
                <c:pt idx="90">
                  <c:v>1.2629999999999999</c:v>
                </c:pt>
                <c:pt idx="91">
                  <c:v>1.369</c:v>
                </c:pt>
                <c:pt idx="92">
                  <c:v>1.373</c:v>
                </c:pt>
                <c:pt idx="93">
                  <c:v>1.381</c:v>
                </c:pt>
                <c:pt idx="94">
                  <c:v>1.391</c:v>
                </c:pt>
                <c:pt idx="95">
                  <c:v>1.3940000000000001</c:v>
                </c:pt>
                <c:pt idx="96">
                  <c:v>1.41</c:v>
                </c:pt>
                <c:pt idx="97">
                  <c:v>1.4079999999999999</c:v>
                </c:pt>
                <c:pt idx="98">
                  <c:v>1.3940000000000001</c:v>
                </c:pt>
                <c:pt idx="99">
                  <c:v>1.4039999999999999</c:v>
                </c:pt>
                <c:pt idx="100">
                  <c:v>1.3959999999999999</c:v>
                </c:pt>
                <c:pt idx="101">
                  <c:v>1.446</c:v>
                </c:pt>
                <c:pt idx="102">
                  <c:v>1.4419999999999999</c:v>
                </c:pt>
                <c:pt idx="103">
                  <c:v>1.552</c:v>
                </c:pt>
                <c:pt idx="104">
                  <c:v>1.6179999999999999</c:v>
                </c:pt>
                <c:pt idx="105">
                  <c:v>1.661</c:v>
                </c:pt>
                <c:pt idx="106">
                  <c:v>1.67</c:v>
                </c:pt>
                <c:pt idx="107">
                  <c:v>1.6640000000000001</c:v>
                </c:pt>
                <c:pt idx="108">
                  <c:v>1.657</c:v>
                </c:pt>
                <c:pt idx="109">
                  <c:v>1.601</c:v>
                </c:pt>
                <c:pt idx="110">
                  <c:v>1.593</c:v>
                </c:pt>
                <c:pt idx="111">
                  <c:v>1.5680000000000001</c:v>
                </c:pt>
                <c:pt idx="112">
                  <c:v>1.6139999999999999</c:v>
                </c:pt>
                <c:pt idx="113">
                  <c:v>1.6240000000000001</c:v>
                </c:pt>
                <c:pt idx="114">
                  <c:v>1.6120000000000001</c:v>
                </c:pt>
                <c:pt idx="115">
                  <c:v>1.5979999999999999</c:v>
                </c:pt>
                <c:pt idx="116">
                  <c:v>1.63</c:v>
                </c:pt>
                <c:pt idx="117">
                  <c:v>1.69</c:v>
                </c:pt>
                <c:pt idx="118">
                  <c:v>1.698</c:v>
                </c:pt>
                <c:pt idx="119">
                  <c:v>1.7050000000000001</c:v>
                </c:pt>
                <c:pt idx="120">
                  <c:v>1.75</c:v>
                </c:pt>
                <c:pt idx="121">
                  <c:v>1.772</c:v>
                </c:pt>
                <c:pt idx="122">
                  <c:v>1.8</c:v>
                </c:pt>
                <c:pt idx="123">
                  <c:v>1.8740000000000001</c:v>
                </c:pt>
                <c:pt idx="124">
                  <c:v>1.887</c:v>
                </c:pt>
                <c:pt idx="125">
                  <c:v>1.903</c:v>
                </c:pt>
                <c:pt idx="126">
                  <c:v>1.9140000000000001</c:v>
                </c:pt>
                <c:pt idx="127">
                  <c:v>1.923</c:v>
                </c:pt>
                <c:pt idx="128">
                  <c:v>1.9689999999999999</c:v>
                </c:pt>
                <c:pt idx="129">
                  <c:v>1.96</c:v>
                </c:pt>
                <c:pt idx="130">
                  <c:v>1.9159999999999999</c:v>
                </c:pt>
                <c:pt idx="131">
                  <c:v>1.913</c:v>
                </c:pt>
                <c:pt idx="132">
                  <c:v>1.9140000000000001</c:v>
                </c:pt>
                <c:pt idx="133">
                  <c:v>1.8780000000000001</c:v>
                </c:pt>
                <c:pt idx="134">
                  <c:v>1.87</c:v>
                </c:pt>
                <c:pt idx="135">
                  <c:v>1.849</c:v>
                </c:pt>
                <c:pt idx="136">
                  <c:v>1.7970000000000002</c:v>
                </c:pt>
                <c:pt idx="137">
                  <c:v>1.796</c:v>
                </c:pt>
                <c:pt idx="138">
                  <c:v>1.79</c:v>
                </c:pt>
                <c:pt idx="139">
                  <c:v>1.7970000000000002</c:v>
                </c:pt>
                <c:pt idx="140">
                  <c:v>1.841</c:v>
                </c:pt>
                <c:pt idx="141">
                  <c:v>1.861</c:v>
                </c:pt>
                <c:pt idx="142">
                  <c:v>1.871</c:v>
                </c:pt>
                <c:pt idx="143">
                  <c:v>1.879</c:v>
                </c:pt>
                <c:pt idx="144">
                  <c:v>1.8839999999999999</c:v>
                </c:pt>
                <c:pt idx="145">
                  <c:v>1.88</c:v>
                </c:pt>
                <c:pt idx="146">
                  <c:v>1.885</c:v>
                </c:pt>
                <c:pt idx="147">
                  <c:v>1.9020000000000001</c:v>
                </c:pt>
                <c:pt idx="148">
                  <c:v>1.921</c:v>
                </c:pt>
                <c:pt idx="149">
                  <c:v>1.956</c:v>
                </c:pt>
                <c:pt idx="150">
                  <c:v>1.9609999999999999</c:v>
                </c:pt>
                <c:pt idx="151">
                  <c:v>1.9649999999999999</c:v>
                </c:pt>
                <c:pt idx="152">
                  <c:v>1.9609999999999999</c:v>
                </c:pt>
                <c:pt idx="153">
                  <c:v>1.9590000000000001</c:v>
                </c:pt>
                <c:pt idx="154">
                  <c:v>1.96</c:v>
                </c:pt>
                <c:pt idx="155">
                  <c:v>1.9550000000000001</c:v>
                </c:pt>
                <c:pt idx="156">
                  <c:v>1.9609999999999999</c:v>
                </c:pt>
                <c:pt idx="157">
                  <c:v>1.962</c:v>
                </c:pt>
                <c:pt idx="158">
                  <c:v>1.9609999999999999</c:v>
                </c:pt>
                <c:pt idx="159">
                  <c:v>1.964</c:v>
                </c:pt>
                <c:pt idx="160">
                  <c:v>1.9510000000000001</c:v>
                </c:pt>
                <c:pt idx="161">
                  <c:v>1.954</c:v>
                </c:pt>
                <c:pt idx="162">
                  <c:v>1.9489999999999998</c:v>
                </c:pt>
                <c:pt idx="163">
                  <c:v>1.974</c:v>
                </c:pt>
                <c:pt idx="164">
                  <c:v>1.968</c:v>
                </c:pt>
                <c:pt idx="165">
                  <c:v>1.976</c:v>
                </c:pt>
                <c:pt idx="166">
                  <c:v>2</c:v>
                </c:pt>
                <c:pt idx="167">
                  <c:v>2.012</c:v>
                </c:pt>
                <c:pt idx="168">
                  <c:v>2.0339999999999998</c:v>
                </c:pt>
                <c:pt idx="169">
                  <c:v>2.0499999999999998</c:v>
                </c:pt>
                <c:pt idx="170">
                  <c:v>2.0609999999999999</c:v>
                </c:pt>
                <c:pt idx="171">
                  <c:v>2.0659999999999998</c:v>
                </c:pt>
                <c:pt idx="172">
                  <c:v>2.0670000000000002</c:v>
                </c:pt>
                <c:pt idx="173">
                  <c:v>2.0329999999999999</c:v>
                </c:pt>
                <c:pt idx="174">
                  <c:v>2.0230000000000001</c:v>
                </c:pt>
                <c:pt idx="175">
                  <c:v>2.0030000000000001</c:v>
                </c:pt>
                <c:pt idx="176">
                  <c:v>1.9830000000000001</c:v>
                </c:pt>
                <c:pt idx="177">
                  <c:v>1.909</c:v>
                </c:pt>
                <c:pt idx="178">
                  <c:v>2.0659999999999998</c:v>
                </c:pt>
                <c:pt idx="179">
                  <c:v>2.1110000000000002</c:v>
                </c:pt>
                <c:pt idx="180">
                  <c:v>2.1640000000000001</c:v>
                </c:pt>
                <c:pt idx="181">
                  <c:v>2.2010000000000001</c:v>
                </c:pt>
                <c:pt idx="182">
                  <c:v>2.2389999999999999</c:v>
                </c:pt>
                <c:pt idx="183">
                  <c:v>2.25</c:v>
                </c:pt>
                <c:pt idx="184">
                  <c:v>2.2789999999999999</c:v>
                </c:pt>
                <c:pt idx="185">
                  <c:v>2.2650000000000001</c:v>
                </c:pt>
                <c:pt idx="186">
                  <c:v>2.2530000000000001</c:v>
                </c:pt>
                <c:pt idx="187">
                  <c:v>2.2050000000000001</c:v>
                </c:pt>
                <c:pt idx="188">
                  <c:v>2.15</c:v>
                </c:pt>
                <c:pt idx="189">
                  <c:v>2.1549999999999998</c:v>
                </c:pt>
                <c:pt idx="190">
                  <c:v>2.214</c:v>
                </c:pt>
                <c:pt idx="191">
                  <c:v>2.262</c:v>
                </c:pt>
                <c:pt idx="192">
                  <c:v>2.2829999999999999</c:v>
                </c:pt>
                <c:pt idx="193">
                  <c:v>2.343</c:v>
                </c:pt>
                <c:pt idx="194">
                  <c:v>2.3529999999999998</c:v>
                </c:pt>
                <c:pt idx="195">
                  <c:v>2.3570000000000002</c:v>
                </c:pt>
                <c:pt idx="196">
                  <c:v>2.359</c:v>
                </c:pt>
                <c:pt idx="197">
                  <c:v>2.367</c:v>
                </c:pt>
                <c:pt idx="198">
                  <c:v>2.3380000000000001</c:v>
                </c:pt>
                <c:pt idx="199">
                  <c:v>2.3170000000000002</c:v>
                </c:pt>
                <c:pt idx="200">
                  <c:v>2.3159999999999998</c:v>
                </c:pt>
                <c:pt idx="201">
                  <c:v>2.367</c:v>
                </c:pt>
                <c:pt idx="202">
                  <c:v>2.3740000000000001</c:v>
                </c:pt>
                <c:pt idx="203">
                  <c:v>2.3719999999999999</c:v>
                </c:pt>
                <c:pt idx="204">
                  <c:v>2.371</c:v>
                </c:pt>
                <c:pt idx="205">
                  <c:v>2.4779999999999998</c:v>
                </c:pt>
                <c:pt idx="206">
                  <c:v>2.423</c:v>
                </c:pt>
                <c:pt idx="207">
                  <c:v>2.4159999999999999</c:v>
                </c:pt>
                <c:pt idx="208">
                  <c:v>2.3719999999999999</c:v>
                </c:pt>
                <c:pt idx="209">
                  <c:v>2.3239999999999998</c:v>
                </c:pt>
                <c:pt idx="210">
                  <c:v>2.2690000000000001</c:v>
                </c:pt>
                <c:pt idx="211">
                  <c:v>2.2879999999999998</c:v>
                </c:pt>
                <c:pt idx="212">
                  <c:v>2.266</c:v>
                </c:pt>
                <c:pt idx="213">
                  <c:v>2.1989999999999998</c:v>
                </c:pt>
                <c:pt idx="214">
                  <c:v>2.2040000000000002</c:v>
                </c:pt>
                <c:pt idx="215">
                  <c:v>2.2400000000000002</c:v>
                </c:pt>
                <c:pt idx="216">
                  <c:v>2.339</c:v>
                </c:pt>
                <c:pt idx="217">
                  <c:v>2.629</c:v>
                </c:pt>
                <c:pt idx="218">
                  <c:v>2.8319999999999999</c:v>
                </c:pt>
                <c:pt idx="219">
                  <c:v>2.9390000000000001</c:v>
                </c:pt>
                <c:pt idx="220">
                  <c:v>3.01</c:v>
                </c:pt>
                <c:pt idx="221">
                  <c:v>3.008</c:v>
                </c:pt>
                <c:pt idx="222">
                  <c:v>2.9950000000000001</c:v>
                </c:pt>
                <c:pt idx="223">
                  <c:v>3.028</c:v>
                </c:pt>
                <c:pt idx="224">
                  <c:v>3.05</c:v>
                </c:pt>
                <c:pt idx="225">
                  <c:v>3.109</c:v>
                </c:pt>
                <c:pt idx="226">
                  <c:v>3.1480000000000001</c:v>
                </c:pt>
                <c:pt idx="227">
                  <c:v>3.1629999999999998</c:v>
                </c:pt>
                <c:pt idx="228">
                  <c:v>3.0739999999999998</c:v>
                </c:pt>
              </c:numCache>
            </c:numRef>
          </c:val>
          <c:smooth val="0"/>
          <c:extLst>
            <c:ext xmlns:c16="http://schemas.microsoft.com/office/drawing/2014/chart" uri="{C3380CC4-5D6E-409C-BE32-E72D297353CC}">
              <c16:uniqueId val="{00000001-17CE-4581-885F-9FAAB541EC42}"/>
            </c:ext>
          </c:extLst>
        </c:ser>
        <c:dLbls>
          <c:showLegendKey val="0"/>
          <c:showVal val="0"/>
          <c:showCatName val="0"/>
          <c:showSerName val="0"/>
          <c:showPercent val="0"/>
          <c:showBubbleSize val="0"/>
        </c:dLbls>
        <c:marker val="1"/>
        <c:smooth val="0"/>
        <c:axId val="1377871648"/>
        <c:axId val="1377861312"/>
      </c:lineChart>
      <c:dateAx>
        <c:axId val="1377858048"/>
        <c:scaling>
          <c:orientation val="minMax"/>
          <c:min val="43982"/>
        </c:scaling>
        <c:delete val="0"/>
        <c:axPos val="b"/>
        <c:numFmt formatCode="dd\/mm\/yy" sourceLinked="1"/>
        <c:majorTickMark val="out"/>
        <c:minorTickMark val="none"/>
        <c:tickLblPos val="nextTo"/>
        <c:spPr>
          <a:ln>
            <a:solidFill>
              <a:srgbClr val="44546A"/>
            </a:solidFill>
          </a:ln>
        </c:spPr>
        <c:txPr>
          <a:bodyPr rot="-2700000"/>
          <a:lstStyle/>
          <a:p>
            <a:pPr>
              <a:defRPr>
                <a:solidFill>
                  <a:srgbClr val="44546A"/>
                </a:solidFill>
              </a:defRPr>
            </a:pPr>
            <a:endParaRPr lang="sr-Latn-RS"/>
          </a:p>
        </c:txPr>
        <c:crossAx val="1377860224"/>
        <c:crosses val="autoZero"/>
        <c:auto val="1"/>
        <c:lblOffset val="100"/>
        <c:baseTimeUnit val="days"/>
        <c:majorUnit val="1"/>
        <c:majorTimeUnit val="months"/>
      </c:dateAx>
      <c:valAx>
        <c:axId val="1377860224"/>
        <c:scaling>
          <c:orientation val="minMax"/>
          <c:max val="114"/>
          <c:min val="96"/>
        </c:scaling>
        <c:delete val="0"/>
        <c:axPos val="l"/>
        <c:numFmt formatCode="#,##0\ [$€-407]"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58048"/>
        <c:crosses val="autoZero"/>
        <c:crossBetween val="between"/>
        <c:majorUnit val="2"/>
      </c:valAx>
      <c:valAx>
        <c:axId val="1377861312"/>
        <c:scaling>
          <c:orientation val="minMax"/>
          <c:max val="5"/>
          <c:min val="0"/>
        </c:scaling>
        <c:delete val="0"/>
        <c:axPos val="r"/>
        <c:numFmt formatCode="#,##0.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377871648"/>
        <c:crosses val="max"/>
        <c:crossBetween val="between"/>
        <c:majorUnit val="0.30000000000000032"/>
      </c:valAx>
      <c:dateAx>
        <c:axId val="1377871648"/>
        <c:scaling>
          <c:orientation val="minMax"/>
        </c:scaling>
        <c:delete val="1"/>
        <c:axPos val="b"/>
        <c:numFmt formatCode="dd\/mm\/yy" sourceLinked="1"/>
        <c:majorTickMark val="out"/>
        <c:minorTickMark val="none"/>
        <c:tickLblPos val="none"/>
        <c:crossAx val="1377861312"/>
        <c:crosses val="autoZero"/>
        <c:auto val="1"/>
        <c:lblOffset val="100"/>
        <c:baseTimeUnit val="days"/>
      </c:dateAx>
    </c:plotArea>
    <c:legend>
      <c:legendPos val="r"/>
      <c:layout>
        <c:manualLayout>
          <c:xMode val="edge"/>
          <c:yMode val="edge"/>
          <c:x val="9.086030912802566E-2"/>
          <c:y val="0.94025092592590409"/>
          <c:w val="0.8832425634295713"/>
          <c:h val="5.9446296296297024E-2"/>
        </c:manualLayout>
      </c:layout>
      <c:overlay val="0"/>
    </c:legend>
    <c:plotVisOnly val="1"/>
    <c:dispBlanksAs val="gap"/>
    <c:showDLblsOverMax val="0"/>
  </c:chart>
  <c:spPr>
    <a:ln>
      <a:noFill/>
    </a:ln>
  </c:spPr>
  <c:txPr>
    <a:bodyPr/>
    <a:lstStyle/>
    <a:p>
      <a:pPr>
        <a:defRPr sz="600">
          <a:solidFill>
            <a:schemeClr val="tx2"/>
          </a:solidFill>
          <a:latin typeface="+mn-lt"/>
          <a:cs typeface="Times New Roman" pitchFamily="18" charset="0"/>
        </a:defRPr>
      </a:pPr>
      <a:endParaRPr lang="sr-Latn-R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9554-44B2-A9A3-F40B8D61ABE1}"/>
              </c:ext>
            </c:extLst>
          </c:dPt>
          <c:dPt>
            <c:idx val="1"/>
            <c:invertIfNegative val="0"/>
            <c:bubble3D val="0"/>
            <c:spPr>
              <a:solidFill>
                <a:srgbClr val="ED1C24"/>
              </a:solidFill>
              <a:ln>
                <a:noFill/>
              </a:ln>
              <a:effectLst/>
            </c:spPr>
            <c:extLst>
              <c:ext xmlns:c16="http://schemas.microsoft.com/office/drawing/2014/chart" uri="{C3380CC4-5D6E-409C-BE32-E72D297353CC}">
                <c16:uniqueId val="{00000003-9554-44B2-A9A3-F40B8D61ABE1}"/>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54-44B2-A9A3-F40B8D61ABE1}"/>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54-44B2-A9A3-F40B8D61ABE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agregati'!$C$6,'Osn. makroekon. agregati'!$D$6)</c:f>
              <c:numCache>
                <c:formatCode>0.0</c:formatCode>
                <c:ptCount val="2"/>
                <c:pt idx="0">
                  <c:v>-5.9</c:v>
                </c:pt>
                <c:pt idx="1">
                  <c:v>-5.6</c:v>
                </c:pt>
              </c:numCache>
            </c:numRef>
          </c:val>
          <c:extLst>
            <c:ext xmlns:c16="http://schemas.microsoft.com/office/drawing/2014/chart" uri="{C3380CC4-5D6E-409C-BE32-E72D297353CC}">
              <c16:uniqueId val="{00000004-9554-44B2-A9A3-F40B8D61ABE1}"/>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690631808278867E-2"/>
          <c:y val="9.2600559636236451E-2"/>
          <c:w val="0.80728885257806826"/>
          <c:h val="0.6924024691358025"/>
        </c:manualLayout>
      </c:layout>
      <c:areaChart>
        <c:grouping val="standard"/>
        <c:varyColors val="0"/>
        <c:ser>
          <c:idx val="0"/>
          <c:order val="0"/>
          <c:tx>
            <c:strRef>
              <c:f>'EUROBOND 2030 offline'!$B$4</c:f>
              <c:strCache>
                <c:ptCount val="1"/>
                <c:pt idx="0">
                  <c:v>Цена на затварању</c:v>
                </c:pt>
              </c:strCache>
            </c:strRef>
          </c:tx>
          <c:spPr>
            <a:ln w="25400">
              <a:noFill/>
            </a:ln>
          </c:spPr>
          <c:cat>
            <c:numRef>
              <c:f>'EUROBOND 2030 offline'!$A$6:$A$93</c:f>
              <c:numCache>
                <c:formatCode>dd\/mm\/yy</c:formatCode>
                <c:ptCount val="88"/>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numCache>
            </c:numRef>
          </c:cat>
          <c:val>
            <c:numRef>
              <c:f>'EUROBOND 2030 offline'!$B$6:$B$93</c:f>
              <c:numCache>
                <c:formatCode>#,##0.000</c:formatCode>
                <c:ptCount val="88"/>
                <c:pt idx="0">
                  <c:v>92.63</c:v>
                </c:pt>
                <c:pt idx="1">
                  <c:v>92.55</c:v>
                </c:pt>
                <c:pt idx="2">
                  <c:v>92.745999999999995</c:v>
                </c:pt>
                <c:pt idx="3">
                  <c:v>92.816999999999993</c:v>
                </c:pt>
                <c:pt idx="4">
                  <c:v>92.918000000000006</c:v>
                </c:pt>
                <c:pt idx="5">
                  <c:v>92.882999999999996</c:v>
                </c:pt>
                <c:pt idx="6">
                  <c:v>92.861999999999995</c:v>
                </c:pt>
                <c:pt idx="7">
                  <c:v>92.835999999999999</c:v>
                </c:pt>
                <c:pt idx="8">
                  <c:v>92.963999999999999</c:v>
                </c:pt>
                <c:pt idx="9">
                  <c:v>93.134</c:v>
                </c:pt>
                <c:pt idx="10">
                  <c:v>93.465000000000003</c:v>
                </c:pt>
                <c:pt idx="11">
                  <c:v>93.563999999999993</c:v>
                </c:pt>
                <c:pt idx="12">
                  <c:v>93.506</c:v>
                </c:pt>
                <c:pt idx="13">
                  <c:v>93.53</c:v>
                </c:pt>
                <c:pt idx="14">
                  <c:v>94.125</c:v>
                </c:pt>
                <c:pt idx="15">
                  <c:v>93.006</c:v>
                </c:pt>
                <c:pt idx="16">
                  <c:v>93.162000000000006</c:v>
                </c:pt>
                <c:pt idx="17">
                  <c:v>93.025000000000006</c:v>
                </c:pt>
                <c:pt idx="18">
                  <c:v>93.700999999999993</c:v>
                </c:pt>
                <c:pt idx="19">
                  <c:v>94.56</c:v>
                </c:pt>
                <c:pt idx="20">
                  <c:v>94.638000000000005</c:v>
                </c:pt>
                <c:pt idx="21">
                  <c:v>94.745999999999995</c:v>
                </c:pt>
                <c:pt idx="22">
                  <c:v>94.733000000000004</c:v>
                </c:pt>
                <c:pt idx="23">
                  <c:v>94.35</c:v>
                </c:pt>
                <c:pt idx="24">
                  <c:v>94.983000000000004</c:v>
                </c:pt>
                <c:pt idx="25">
                  <c:v>95.15</c:v>
                </c:pt>
                <c:pt idx="26">
                  <c:v>95.5</c:v>
                </c:pt>
                <c:pt idx="27">
                  <c:v>95.575000000000003</c:v>
                </c:pt>
                <c:pt idx="28">
                  <c:v>96.037000000000006</c:v>
                </c:pt>
                <c:pt idx="29">
                  <c:v>96.191999999999993</c:v>
                </c:pt>
                <c:pt idx="30">
                  <c:v>96.25</c:v>
                </c:pt>
                <c:pt idx="31">
                  <c:v>96.754000000000005</c:v>
                </c:pt>
                <c:pt idx="32">
                  <c:v>97.063000000000002</c:v>
                </c:pt>
                <c:pt idx="33">
                  <c:v>97.4</c:v>
                </c:pt>
                <c:pt idx="34">
                  <c:v>97.396000000000001</c:v>
                </c:pt>
                <c:pt idx="35">
                  <c:v>97.441999999999993</c:v>
                </c:pt>
                <c:pt idx="36">
                  <c:v>97.45</c:v>
                </c:pt>
                <c:pt idx="37">
                  <c:v>97.608000000000004</c:v>
                </c:pt>
                <c:pt idx="38">
                  <c:v>97.787000000000006</c:v>
                </c:pt>
                <c:pt idx="39">
                  <c:v>97.679000000000002</c:v>
                </c:pt>
                <c:pt idx="40">
                  <c:v>97.369</c:v>
                </c:pt>
                <c:pt idx="41">
                  <c:v>97.320999999999998</c:v>
                </c:pt>
                <c:pt idx="42">
                  <c:v>97.262</c:v>
                </c:pt>
                <c:pt idx="43">
                  <c:v>97.186999999999998</c:v>
                </c:pt>
                <c:pt idx="44">
                  <c:v>97.167000000000002</c:v>
                </c:pt>
                <c:pt idx="45">
                  <c:v>97.016999999999996</c:v>
                </c:pt>
                <c:pt idx="46">
                  <c:v>97.113</c:v>
                </c:pt>
                <c:pt idx="47">
                  <c:v>97.1</c:v>
                </c:pt>
                <c:pt idx="48">
                  <c:v>97.2</c:v>
                </c:pt>
                <c:pt idx="49">
                  <c:v>97.3</c:v>
                </c:pt>
                <c:pt idx="50">
                  <c:v>97.658000000000001</c:v>
                </c:pt>
                <c:pt idx="51">
                  <c:v>97.733000000000004</c:v>
                </c:pt>
                <c:pt idx="52">
                  <c:v>97.75</c:v>
                </c:pt>
                <c:pt idx="53">
                  <c:v>97.95</c:v>
                </c:pt>
                <c:pt idx="54">
                  <c:v>98.117000000000004</c:v>
                </c:pt>
                <c:pt idx="55">
                  <c:v>98.075000000000003</c:v>
                </c:pt>
                <c:pt idx="56">
                  <c:v>98.188000000000002</c:v>
                </c:pt>
                <c:pt idx="57">
                  <c:v>98.7</c:v>
                </c:pt>
                <c:pt idx="58">
                  <c:v>98.917000000000002</c:v>
                </c:pt>
                <c:pt idx="59">
                  <c:v>99</c:v>
                </c:pt>
                <c:pt idx="60">
                  <c:v>99.207999999999998</c:v>
                </c:pt>
                <c:pt idx="61">
                  <c:v>99.674999999999997</c:v>
                </c:pt>
                <c:pt idx="62">
                  <c:v>99.7</c:v>
                </c:pt>
                <c:pt idx="63">
                  <c:v>99.436999999999998</c:v>
                </c:pt>
                <c:pt idx="64">
                  <c:v>99.262</c:v>
                </c:pt>
                <c:pt idx="65">
                  <c:v>98.903000000000006</c:v>
                </c:pt>
                <c:pt idx="66">
                  <c:v>98.763000000000005</c:v>
                </c:pt>
                <c:pt idx="67">
                  <c:v>98.799000000000007</c:v>
                </c:pt>
                <c:pt idx="68">
                  <c:v>98.873999999999995</c:v>
                </c:pt>
                <c:pt idx="69">
                  <c:v>98.875</c:v>
                </c:pt>
                <c:pt idx="70">
                  <c:v>98.8</c:v>
                </c:pt>
                <c:pt idx="71">
                  <c:v>99.012</c:v>
                </c:pt>
                <c:pt idx="72">
                  <c:v>98.863</c:v>
                </c:pt>
                <c:pt idx="73">
                  <c:v>98.45</c:v>
                </c:pt>
                <c:pt idx="74">
                  <c:v>98.375</c:v>
                </c:pt>
                <c:pt idx="75">
                  <c:v>98.375</c:v>
                </c:pt>
                <c:pt idx="76">
                  <c:v>98.224999999999994</c:v>
                </c:pt>
                <c:pt idx="77">
                  <c:v>98.066999999999993</c:v>
                </c:pt>
                <c:pt idx="78">
                  <c:v>98.078999999999994</c:v>
                </c:pt>
                <c:pt idx="79">
                  <c:v>98.231999999999999</c:v>
                </c:pt>
                <c:pt idx="80">
                  <c:v>98.165000000000006</c:v>
                </c:pt>
                <c:pt idx="81">
                  <c:v>98.311999999999998</c:v>
                </c:pt>
                <c:pt idx="82">
                  <c:v>98.311999999999998</c:v>
                </c:pt>
                <c:pt idx="83">
                  <c:v>98.361999999999995</c:v>
                </c:pt>
                <c:pt idx="84">
                  <c:v>98.436999999999998</c:v>
                </c:pt>
                <c:pt idx="85">
                  <c:v>98.625</c:v>
                </c:pt>
                <c:pt idx="86">
                  <c:v>98.674999999999997</c:v>
                </c:pt>
                <c:pt idx="87">
                  <c:v>98.641999999999996</c:v>
                </c:pt>
              </c:numCache>
            </c:numRef>
          </c:val>
          <c:extLst>
            <c:ext xmlns:c16="http://schemas.microsoft.com/office/drawing/2014/chart" uri="{C3380CC4-5D6E-409C-BE32-E72D297353CC}">
              <c16:uniqueId val="{00000000-78D1-422C-B839-FB9445EF87F2}"/>
            </c:ext>
          </c:extLst>
        </c:ser>
        <c:dLbls>
          <c:showLegendKey val="0"/>
          <c:showVal val="0"/>
          <c:showCatName val="0"/>
          <c:showSerName val="0"/>
          <c:showPercent val="0"/>
          <c:showBubbleSize val="0"/>
        </c:dLbls>
        <c:axId val="1258522352"/>
        <c:axId val="1258515280"/>
      </c:areaChart>
      <c:lineChart>
        <c:grouping val="standard"/>
        <c:varyColors val="0"/>
        <c:ser>
          <c:idx val="1"/>
          <c:order val="1"/>
          <c:tx>
            <c:strRef>
              <c:f>'EUROBOND 2030 offline'!$C$4</c:f>
              <c:strCache>
                <c:ptCount val="1"/>
                <c:pt idx="0">
                  <c:v>Срењни принос до доспећа</c:v>
                </c:pt>
              </c:strCache>
            </c:strRef>
          </c:tx>
          <c:marker>
            <c:symbol val="none"/>
          </c:marker>
          <c:cat>
            <c:numRef>
              <c:f>'EUROBOND 2030 offline'!$A$6:$A$93</c:f>
              <c:numCache>
                <c:formatCode>dd\/mm\/yy</c:formatCode>
                <c:ptCount val="88"/>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numCache>
            </c:numRef>
          </c:cat>
          <c:val>
            <c:numRef>
              <c:f>'EUROBOND 2030 offline'!$C$6:$C$93</c:f>
              <c:numCache>
                <c:formatCode>#,##0.000</c:formatCode>
                <c:ptCount val="88"/>
                <c:pt idx="0">
                  <c:v>3.01</c:v>
                </c:pt>
                <c:pt idx="1">
                  <c:v>3.0190000000000001</c:v>
                </c:pt>
                <c:pt idx="2">
                  <c:v>2.9939999999999998</c:v>
                </c:pt>
                <c:pt idx="3">
                  <c:v>2.9859999999999998</c:v>
                </c:pt>
                <c:pt idx="4">
                  <c:v>2.9729999999999999</c:v>
                </c:pt>
                <c:pt idx="5">
                  <c:v>2.976</c:v>
                </c:pt>
                <c:pt idx="6">
                  <c:v>2.9790000000000001</c:v>
                </c:pt>
                <c:pt idx="7">
                  <c:v>2.9820000000000002</c:v>
                </c:pt>
                <c:pt idx="8">
                  <c:v>2.9660000000000002</c:v>
                </c:pt>
                <c:pt idx="9">
                  <c:v>2.944</c:v>
                </c:pt>
                <c:pt idx="10">
                  <c:v>2.903</c:v>
                </c:pt>
                <c:pt idx="11">
                  <c:v>2.89</c:v>
                </c:pt>
                <c:pt idx="12">
                  <c:v>2.8970000000000002</c:v>
                </c:pt>
                <c:pt idx="13">
                  <c:v>2.8940000000000001</c:v>
                </c:pt>
                <c:pt idx="14">
                  <c:v>2.8209999999999997</c:v>
                </c:pt>
                <c:pt idx="15">
                  <c:v>2.9580000000000002</c:v>
                </c:pt>
                <c:pt idx="16">
                  <c:v>2.9379999999999997</c:v>
                </c:pt>
                <c:pt idx="17">
                  <c:v>2.9550000000000001</c:v>
                </c:pt>
                <c:pt idx="18">
                  <c:v>2.8719999999999999</c:v>
                </c:pt>
                <c:pt idx="19">
                  <c:v>2.766</c:v>
                </c:pt>
                <c:pt idx="20">
                  <c:v>2.7560000000000002</c:v>
                </c:pt>
                <c:pt idx="21">
                  <c:v>2.7429999999999999</c:v>
                </c:pt>
                <c:pt idx="22">
                  <c:v>2.7439999999999998</c:v>
                </c:pt>
                <c:pt idx="23">
                  <c:v>2.7909999999999999</c:v>
                </c:pt>
                <c:pt idx="24">
                  <c:v>2.714</c:v>
                </c:pt>
                <c:pt idx="25">
                  <c:v>2.6930000000000001</c:v>
                </c:pt>
                <c:pt idx="26">
                  <c:v>2.6509999999999998</c:v>
                </c:pt>
                <c:pt idx="27">
                  <c:v>2.6419999999999999</c:v>
                </c:pt>
                <c:pt idx="28">
                  <c:v>2.5859999999999999</c:v>
                </c:pt>
                <c:pt idx="29">
                  <c:v>2.5680000000000001</c:v>
                </c:pt>
                <c:pt idx="30">
                  <c:v>2.5609999999999999</c:v>
                </c:pt>
                <c:pt idx="31">
                  <c:v>2.5009999999999999</c:v>
                </c:pt>
                <c:pt idx="32">
                  <c:v>2.464</c:v>
                </c:pt>
                <c:pt idx="33">
                  <c:v>2.4249999999999998</c:v>
                </c:pt>
                <c:pt idx="34">
                  <c:v>2.4249999999999998</c:v>
                </c:pt>
                <c:pt idx="35">
                  <c:v>2.42</c:v>
                </c:pt>
                <c:pt idx="36">
                  <c:v>2.4180000000000001</c:v>
                </c:pt>
                <c:pt idx="37">
                  <c:v>2.4</c:v>
                </c:pt>
                <c:pt idx="38">
                  <c:v>2.379</c:v>
                </c:pt>
                <c:pt idx="39">
                  <c:v>2.3919999999999999</c:v>
                </c:pt>
                <c:pt idx="40">
                  <c:v>2.4279999999999999</c:v>
                </c:pt>
                <c:pt idx="41">
                  <c:v>2.4329999999999998</c:v>
                </c:pt>
                <c:pt idx="42">
                  <c:v>2.44</c:v>
                </c:pt>
                <c:pt idx="43">
                  <c:v>2.4489999999999998</c:v>
                </c:pt>
                <c:pt idx="44">
                  <c:v>2.4510000000000001</c:v>
                </c:pt>
                <c:pt idx="45">
                  <c:v>2.468</c:v>
                </c:pt>
                <c:pt idx="46">
                  <c:v>2.4569999999999999</c:v>
                </c:pt>
                <c:pt idx="47">
                  <c:v>2.4580000000000002</c:v>
                </c:pt>
                <c:pt idx="48">
                  <c:v>2.4470000000000001</c:v>
                </c:pt>
                <c:pt idx="49">
                  <c:v>2.4350000000000001</c:v>
                </c:pt>
                <c:pt idx="50">
                  <c:v>2.3929999999999998</c:v>
                </c:pt>
                <c:pt idx="51">
                  <c:v>2.3839999999999999</c:v>
                </c:pt>
                <c:pt idx="52">
                  <c:v>2.3820000000000001</c:v>
                </c:pt>
                <c:pt idx="53">
                  <c:v>2.359</c:v>
                </c:pt>
                <c:pt idx="54">
                  <c:v>2.34</c:v>
                </c:pt>
                <c:pt idx="55">
                  <c:v>2.3439999999999999</c:v>
                </c:pt>
                <c:pt idx="56">
                  <c:v>2.331</c:v>
                </c:pt>
                <c:pt idx="57">
                  <c:v>2.2720000000000002</c:v>
                </c:pt>
                <c:pt idx="58">
                  <c:v>2.2480000000000002</c:v>
                </c:pt>
                <c:pt idx="59">
                  <c:v>2.238</c:v>
                </c:pt>
                <c:pt idx="60">
                  <c:v>2.214</c:v>
                </c:pt>
                <c:pt idx="61">
                  <c:v>2.1619999999999999</c:v>
                </c:pt>
                <c:pt idx="62">
                  <c:v>2.1589999999999998</c:v>
                </c:pt>
                <c:pt idx="63">
                  <c:v>2.1880000000000002</c:v>
                </c:pt>
                <c:pt idx="64">
                  <c:v>2.2080000000000002</c:v>
                </c:pt>
                <c:pt idx="65">
                  <c:v>2.2490000000000001</c:v>
                </c:pt>
                <c:pt idx="66">
                  <c:v>2.2650000000000001</c:v>
                </c:pt>
                <c:pt idx="67">
                  <c:v>2.2610000000000001</c:v>
                </c:pt>
                <c:pt idx="68">
                  <c:v>2.2519999999999998</c:v>
                </c:pt>
                <c:pt idx="69">
                  <c:v>2.2519999999999998</c:v>
                </c:pt>
                <c:pt idx="70">
                  <c:v>2.2599999999999998</c:v>
                </c:pt>
                <c:pt idx="71">
                  <c:v>2.2359999999999998</c:v>
                </c:pt>
                <c:pt idx="72">
                  <c:v>2.2530000000000001</c:v>
                </c:pt>
                <c:pt idx="73">
                  <c:v>2.2999999999999998</c:v>
                </c:pt>
                <c:pt idx="74">
                  <c:v>2.3090000000000002</c:v>
                </c:pt>
                <c:pt idx="75">
                  <c:v>2.3090000000000002</c:v>
                </c:pt>
                <c:pt idx="76">
                  <c:v>2.3260000000000001</c:v>
                </c:pt>
                <c:pt idx="77">
                  <c:v>2.3439999999999999</c:v>
                </c:pt>
                <c:pt idx="78">
                  <c:v>2.3420000000000001</c:v>
                </c:pt>
                <c:pt idx="79">
                  <c:v>2.3250000000000002</c:v>
                </c:pt>
                <c:pt idx="80">
                  <c:v>2.3319999999999999</c:v>
                </c:pt>
                <c:pt idx="81">
                  <c:v>2.3149999999999999</c:v>
                </c:pt>
                <c:pt idx="82">
                  <c:v>2.3149999999999999</c:v>
                </c:pt>
                <c:pt idx="83">
                  <c:v>2.31</c:v>
                </c:pt>
                <c:pt idx="84">
                  <c:v>2.3010000000000002</c:v>
                </c:pt>
                <c:pt idx="85">
                  <c:v>2.2800000000000002</c:v>
                </c:pt>
                <c:pt idx="86">
                  <c:v>2.274</c:v>
                </c:pt>
                <c:pt idx="87">
                  <c:v>2.278</c:v>
                </c:pt>
              </c:numCache>
            </c:numRef>
          </c:val>
          <c:smooth val="0"/>
          <c:extLst>
            <c:ext xmlns:c16="http://schemas.microsoft.com/office/drawing/2014/chart" uri="{C3380CC4-5D6E-409C-BE32-E72D297353CC}">
              <c16:uniqueId val="{00000001-78D1-422C-B839-FB9445EF87F2}"/>
            </c:ext>
          </c:extLst>
        </c:ser>
        <c:dLbls>
          <c:showLegendKey val="0"/>
          <c:showVal val="0"/>
          <c:showCatName val="0"/>
          <c:showSerName val="0"/>
          <c:showPercent val="0"/>
          <c:showBubbleSize val="0"/>
        </c:dLbls>
        <c:marker val="1"/>
        <c:smooth val="0"/>
        <c:axId val="1258508208"/>
        <c:axId val="1258507664"/>
      </c:lineChart>
      <c:dateAx>
        <c:axId val="1258522352"/>
        <c:scaling>
          <c:orientation val="minMax"/>
          <c:max val="44286"/>
          <c:min val="44196"/>
        </c:scaling>
        <c:delete val="0"/>
        <c:axPos val="b"/>
        <c:numFmt formatCode="dd\/mm\/yy" sourceLinked="1"/>
        <c:majorTickMark val="out"/>
        <c:minorTickMark val="none"/>
        <c:tickLblPos val="nextTo"/>
        <c:spPr>
          <a:ln>
            <a:solidFill>
              <a:srgbClr val="44546A"/>
            </a:solidFill>
          </a:ln>
        </c:spPr>
        <c:txPr>
          <a:bodyPr rot="-2700000"/>
          <a:lstStyle/>
          <a:p>
            <a:pPr>
              <a:defRPr>
                <a:solidFill>
                  <a:srgbClr val="44546A"/>
                </a:solidFill>
              </a:defRPr>
            </a:pPr>
            <a:endParaRPr lang="sr-Latn-RS"/>
          </a:p>
        </c:txPr>
        <c:crossAx val="1258515280"/>
        <c:crosses val="autoZero"/>
        <c:auto val="1"/>
        <c:lblOffset val="100"/>
        <c:baseTimeUnit val="days"/>
        <c:majorUnit val="1"/>
        <c:majorTimeUnit val="months"/>
      </c:dateAx>
      <c:valAx>
        <c:axId val="1258515280"/>
        <c:scaling>
          <c:orientation val="minMax"/>
          <c:max val="110"/>
          <c:min val="85"/>
        </c:scaling>
        <c:delete val="0"/>
        <c:axPos val="l"/>
        <c:numFmt formatCode="#,##0\ [$$-409]"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258522352"/>
        <c:crosses val="autoZero"/>
        <c:crossBetween val="between"/>
        <c:majorUnit val="2"/>
      </c:valAx>
      <c:valAx>
        <c:axId val="1258507664"/>
        <c:scaling>
          <c:orientation val="minMax"/>
          <c:max val="3"/>
          <c:min val="1"/>
        </c:scaling>
        <c:delete val="0"/>
        <c:axPos val="r"/>
        <c:numFmt formatCode="#,##0.0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258508208"/>
        <c:crosses val="max"/>
        <c:crossBetween val="between"/>
        <c:majorUnit val="0.30000000000000032"/>
      </c:valAx>
      <c:dateAx>
        <c:axId val="1258508208"/>
        <c:scaling>
          <c:orientation val="minMax"/>
        </c:scaling>
        <c:delete val="1"/>
        <c:axPos val="b"/>
        <c:numFmt formatCode="dd\/mm\/yy" sourceLinked="1"/>
        <c:majorTickMark val="out"/>
        <c:minorTickMark val="none"/>
        <c:tickLblPos val="none"/>
        <c:crossAx val="1258507664"/>
        <c:crosses val="autoZero"/>
        <c:auto val="1"/>
        <c:lblOffset val="100"/>
        <c:baseTimeUnit val="days"/>
      </c:dateAx>
    </c:plotArea>
    <c:legend>
      <c:legendPos val="r"/>
      <c:layout>
        <c:manualLayout>
          <c:xMode val="edge"/>
          <c:yMode val="edge"/>
          <c:x val="9.5489938757655282E-2"/>
          <c:y val="0.94025092592590409"/>
          <c:w val="0.87861293379994188"/>
          <c:h val="5.9446296296297024E-2"/>
        </c:manualLayout>
      </c:layout>
      <c:overlay val="0"/>
      <c:txPr>
        <a:bodyPr/>
        <a:lstStyle/>
        <a:p>
          <a:pPr>
            <a:defRPr>
              <a:solidFill>
                <a:srgbClr val="44546A"/>
              </a:solidFill>
            </a:defRPr>
          </a:pPr>
          <a:endParaRPr lang="sr-Latn-RS"/>
        </a:p>
      </c:txPr>
    </c:legend>
    <c:plotVisOnly val="1"/>
    <c:dispBlanksAs val="gap"/>
    <c:showDLblsOverMax val="0"/>
  </c:chart>
  <c:spPr>
    <a:ln>
      <a:noFill/>
    </a:ln>
  </c:spPr>
  <c:txPr>
    <a:bodyPr/>
    <a:lstStyle/>
    <a:p>
      <a:pPr>
        <a:defRPr sz="600">
          <a:solidFill>
            <a:schemeClr val="tx2"/>
          </a:solidFill>
          <a:latin typeface="+mn-lt"/>
          <a:cs typeface="Times New Roman" pitchFamily="18" charset="0"/>
        </a:defRPr>
      </a:pPr>
      <a:endParaRPr lang="sr-Latn-RS"/>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1384884077231522E-2"/>
          <c:y val="0.10592701089671445"/>
          <c:w val="0.80728885257806826"/>
          <c:h val="0.6924024691358025"/>
        </c:manualLayout>
      </c:layout>
      <c:areaChart>
        <c:grouping val="standard"/>
        <c:varyColors val="0"/>
        <c:ser>
          <c:idx val="0"/>
          <c:order val="0"/>
          <c:tx>
            <c:strRef>
              <c:f>'[Copy of Hartije od vrednosti na medjunarodnom trzistu SAJT (00000002) (00000002).xlsx]EUROBOND 2030'!$B$4</c:f>
              <c:strCache>
                <c:ptCount val="1"/>
                <c:pt idx="0">
                  <c:v>Цена на затварању</c:v>
                </c:pt>
              </c:strCache>
            </c:strRef>
          </c:tx>
          <c:spPr>
            <a:solidFill>
              <a:schemeClr val="accent1">
                <a:lumMod val="75000"/>
              </a:schemeClr>
            </a:solidFill>
            <a:ln w="25400">
              <a:noFill/>
            </a:ln>
          </c:spPr>
          <c:cat>
            <c:numRef>
              <c:f>'[Copy of Hartije od vrednosti na medjunarodnom trzistu SAJT (00000002) (00000002).xlsx]EUROBOND 2030'!$A$23:$A$110</c:f>
              <c:numCache>
                <c:formatCode>dd\/mm\/yy</c:formatCode>
                <c:ptCount val="88"/>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numCache>
            </c:numRef>
          </c:cat>
          <c:val>
            <c:numRef>
              <c:f>'[Copy of Hartije od vrednosti na medjunarodnom trzistu SAJT (00000002) (00000002).xlsx]EUROBOND 2030'!$B$23:$B$110</c:f>
              <c:numCache>
                <c:formatCode>#,##0.000</c:formatCode>
                <c:ptCount val="88"/>
                <c:pt idx="0">
                  <c:v>92.63</c:v>
                </c:pt>
                <c:pt idx="1">
                  <c:v>92.55</c:v>
                </c:pt>
                <c:pt idx="2">
                  <c:v>92.745999999999995</c:v>
                </c:pt>
                <c:pt idx="3">
                  <c:v>92.816999999999993</c:v>
                </c:pt>
                <c:pt idx="4">
                  <c:v>92.918000000000006</c:v>
                </c:pt>
                <c:pt idx="5">
                  <c:v>92.882999999999996</c:v>
                </c:pt>
                <c:pt idx="6">
                  <c:v>92.861999999999995</c:v>
                </c:pt>
                <c:pt idx="7">
                  <c:v>92.835999999999999</c:v>
                </c:pt>
                <c:pt idx="8">
                  <c:v>92.963999999999999</c:v>
                </c:pt>
                <c:pt idx="9">
                  <c:v>93.134</c:v>
                </c:pt>
                <c:pt idx="10">
                  <c:v>93.465000000000003</c:v>
                </c:pt>
                <c:pt idx="11">
                  <c:v>93.563999999999993</c:v>
                </c:pt>
                <c:pt idx="12">
                  <c:v>93.506</c:v>
                </c:pt>
                <c:pt idx="13">
                  <c:v>93.53</c:v>
                </c:pt>
                <c:pt idx="14">
                  <c:v>94.125</c:v>
                </c:pt>
                <c:pt idx="15">
                  <c:v>93.006</c:v>
                </c:pt>
                <c:pt idx="16">
                  <c:v>93.162000000000006</c:v>
                </c:pt>
                <c:pt idx="17">
                  <c:v>93.025000000000006</c:v>
                </c:pt>
                <c:pt idx="18">
                  <c:v>93.700999999999993</c:v>
                </c:pt>
                <c:pt idx="19">
                  <c:v>94.56</c:v>
                </c:pt>
                <c:pt idx="20">
                  <c:v>94.638000000000005</c:v>
                </c:pt>
                <c:pt idx="21">
                  <c:v>94.745999999999995</c:v>
                </c:pt>
                <c:pt idx="22">
                  <c:v>94.733000000000004</c:v>
                </c:pt>
                <c:pt idx="23">
                  <c:v>94.35</c:v>
                </c:pt>
                <c:pt idx="24">
                  <c:v>94.983000000000004</c:v>
                </c:pt>
                <c:pt idx="25">
                  <c:v>95.15</c:v>
                </c:pt>
                <c:pt idx="26">
                  <c:v>95.5</c:v>
                </c:pt>
                <c:pt idx="27">
                  <c:v>95.575000000000003</c:v>
                </c:pt>
                <c:pt idx="28">
                  <c:v>96.037000000000006</c:v>
                </c:pt>
                <c:pt idx="29">
                  <c:v>96.191999999999993</c:v>
                </c:pt>
                <c:pt idx="30">
                  <c:v>96.25</c:v>
                </c:pt>
                <c:pt idx="31">
                  <c:v>96.754000000000005</c:v>
                </c:pt>
                <c:pt idx="32">
                  <c:v>97.063000000000002</c:v>
                </c:pt>
                <c:pt idx="33">
                  <c:v>97.4</c:v>
                </c:pt>
                <c:pt idx="34">
                  <c:v>97.396000000000001</c:v>
                </c:pt>
                <c:pt idx="35">
                  <c:v>97.441999999999993</c:v>
                </c:pt>
                <c:pt idx="36">
                  <c:v>97.45</c:v>
                </c:pt>
                <c:pt idx="37">
                  <c:v>97.608000000000004</c:v>
                </c:pt>
                <c:pt idx="38">
                  <c:v>97.787000000000006</c:v>
                </c:pt>
                <c:pt idx="39">
                  <c:v>97.679000000000002</c:v>
                </c:pt>
                <c:pt idx="40">
                  <c:v>97.369</c:v>
                </c:pt>
                <c:pt idx="41">
                  <c:v>97.320999999999998</c:v>
                </c:pt>
                <c:pt idx="42">
                  <c:v>97.262</c:v>
                </c:pt>
                <c:pt idx="43">
                  <c:v>97.186999999999998</c:v>
                </c:pt>
                <c:pt idx="44">
                  <c:v>97.167000000000002</c:v>
                </c:pt>
                <c:pt idx="45">
                  <c:v>97.016999999999996</c:v>
                </c:pt>
                <c:pt idx="46">
                  <c:v>97.113</c:v>
                </c:pt>
                <c:pt idx="47">
                  <c:v>97.1</c:v>
                </c:pt>
                <c:pt idx="48">
                  <c:v>97.2</c:v>
                </c:pt>
                <c:pt idx="49">
                  <c:v>97.3</c:v>
                </c:pt>
                <c:pt idx="50">
                  <c:v>97.658000000000001</c:v>
                </c:pt>
                <c:pt idx="51">
                  <c:v>97.733000000000004</c:v>
                </c:pt>
                <c:pt idx="52">
                  <c:v>97.75</c:v>
                </c:pt>
                <c:pt idx="53">
                  <c:v>97.95</c:v>
                </c:pt>
                <c:pt idx="54">
                  <c:v>98.117000000000004</c:v>
                </c:pt>
                <c:pt idx="55">
                  <c:v>98.075000000000003</c:v>
                </c:pt>
                <c:pt idx="56">
                  <c:v>98.188000000000002</c:v>
                </c:pt>
                <c:pt idx="57">
                  <c:v>98.7</c:v>
                </c:pt>
                <c:pt idx="58">
                  <c:v>98.917000000000002</c:v>
                </c:pt>
                <c:pt idx="59">
                  <c:v>99</c:v>
                </c:pt>
                <c:pt idx="60">
                  <c:v>99.207999999999998</c:v>
                </c:pt>
                <c:pt idx="61">
                  <c:v>99.674999999999997</c:v>
                </c:pt>
                <c:pt idx="62">
                  <c:v>99.7</c:v>
                </c:pt>
                <c:pt idx="63">
                  <c:v>99.436999999999998</c:v>
                </c:pt>
                <c:pt idx="64">
                  <c:v>99.262</c:v>
                </c:pt>
                <c:pt idx="65">
                  <c:v>98.903000000000006</c:v>
                </c:pt>
                <c:pt idx="66">
                  <c:v>98.763000000000005</c:v>
                </c:pt>
                <c:pt idx="67">
                  <c:v>98.799000000000007</c:v>
                </c:pt>
                <c:pt idx="68">
                  <c:v>98.873999999999995</c:v>
                </c:pt>
                <c:pt idx="69">
                  <c:v>98.875</c:v>
                </c:pt>
                <c:pt idx="70">
                  <c:v>98.8</c:v>
                </c:pt>
                <c:pt idx="71">
                  <c:v>99.012</c:v>
                </c:pt>
                <c:pt idx="72">
                  <c:v>98.863</c:v>
                </c:pt>
                <c:pt idx="73">
                  <c:v>98.45</c:v>
                </c:pt>
                <c:pt idx="74">
                  <c:v>98.375</c:v>
                </c:pt>
                <c:pt idx="75">
                  <c:v>98.375</c:v>
                </c:pt>
                <c:pt idx="76">
                  <c:v>98.224999999999994</c:v>
                </c:pt>
                <c:pt idx="77">
                  <c:v>98.066999999999993</c:v>
                </c:pt>
                <c:pt idx="78">
                  <c:v>98.078999999999994</c:v>
                </c:pt>
                <c:pt idx="79">
                  <c:v>98.231999999999999</c:v>
                </c:pt>
                <c:pt idx="80">
                  <c:v>98.165000000000006</c:v>
                </c:pt>
                <c:pt idx="81">
                  <c:v>98.311999999999998</c:v>
                </c:pt>
                <c:pt idx="82">
                  <c:v>98.311999999999998</c:v>
                </c:pt>
                <c:pt idx="83">
                  <c:v>98.361999999999995</c:v>
                </c:pt>
                <c:pt idx="84">
                  <c:v>98.436999999999998</c:v>
                </c:pt>
                <c:pt idx="85">
                  <c:v>98.625</c:v>
                </c:pt>
                <c:pt idx="86">
                  <c:v>98.674999999999997</c:v>
                </c:pt>
                <c:pt idx="87">
                  <c:v>98.641999999999996</c:v>
                </c:pt>
              </c:numCache>
            </c:numRef>
          </c:val>
          <c:extLst>
            <c:ext xmlns:c16="http://schemas.microsoft.com/office/drawing/2014/chart" uri="{C3380CC4-5D6E-409C-BE32-E72D297353CC}">
              <c16:uniqueId val="{00000000-EB85-4016-8851-4EC9E82D880F}"/>
            </c:ext>
          </c:extLst>
        </c:ser>
        <c:dLbls>
          <c:showLegendKey val="0"/>
          <c:showVal val="0"/>
          <c:showCatName val="0"/>
          <c:showSerName val="0"/>
          <c:showPercent val="0"/>
          <c:showBubbleSize val="0"/>
        </c:dLbls>
        <c:axId val="1258522352"/>
        <c:axId val="1258515280"/>
      </c:areaChart>
      <c:lineChart>
        <c:grouping val="standard"/>
        <c:varyColors val="0"/>
        <c:ser>
          <c:idx val="1"/>
          <c:order val="1"/>
          <c:tx>
            <c:strRef>
              <c:f>'[Copy of Hartije od vrednosti na medjunarodnom trzistu SAJT (00000002) (00000002).xlsx]EUROBOND 2030'!$C$4</c:f>
              <c:strCache>
                <c:ptCount val="1"/>
                <c:pt idx="0">
                  <c:v>Срењни принос до доспећа</c:v>
                </c:pt>
              </c:strCache>
            </c:strRef>
          </c:tx>
          <c:marker>
            <c:symbol val="none"/>
          </c:marker>
          <c:cat>
            <c:numRef>
              <c:f>'[Copy of Hartije od vrednosti na medjunarodnom trzistu SAJT (00000002) (00000002).xlsx]EUROBOND 2030'!$A$23:$A$110</c:f>
              <c:numCache>
                <c:formatCode>dd\/mm\/yy</c:formatCode>
                <c:ptCount val="88"/>
                <c:pt idx="0">
                  <c:v>44286</c:v>
                </c:pt>
                <c:pt idx="1">
                  <c:v>44285</c:v>
                </c:pt>
                <c:pt idx="2">
                  <c:v>44284</c:v>
                </c:pt>
                <c:pt idx="3">
                  <c:v>44281</c:v>
                </c:pt>
                <c:pt idx="4">
                  <c:v>44280</c:v>
                </c:pt>
                <c:pt idx="5">
                  <c:v>44279</c:v>
                </c:pt>
                <c:pt idx="6">
                  <c:v>44278</c:v>
                </c:pt>
                <c:pt idx="7">
                  <c:v>44277</c:v>
                </c:pt>
                <c:pt idx="8">
                  <c:v>44274</c:v>
                </c:pt>
                <c:pt idx="9">
                  <c:v>44273</c:v>
                </c:pt>
                <c:pt idx="10">
                  <c:v>44272</c:v>
                </c:pt>
                <c:pt idx="11">
                  <c:v>44271</c:v>
                </c:pt>
                <c:pt idx="12">
                  <c:v>44270</c:v>
                </c:pt>
                <c:pt idx="13">
                  <c:v>44267</c:v>
                </c:pt>
                <c:pt idx="14">
                  <c:v>44266</c:v>
                </c:pt>
                <c:pt idx="15">
                  <c:v>44265</c:v>
                </c:pt>
                <c:pt idx="16">
                  <c:v>44264</c:v>
                </c:pt>
                <c:pt idx="17">
                  <c:v>44263</c:v>
                </c:pt>
                <c:pt idx="18">
                  <c:v>44260</c:v>
                </c:pt>
                <c:pt idx="19">
                  <c:v>44259</c:v>
                </c:pt>
                <c:pt idx="20">
                  <c:v>44258</c:v>
                </c:pt>
                <c:pt idx="21">
                  <c:v>44257</c:v>
                </c:pt>
                <c:pt idx="22">
                  <c:v>44256</c:v>
                </c:pt>
                <c:pt idx="23">
                  <c:v>44253</c:v>
                </c:pt>
                <c:pt idx="24">
                  <c:v>44252</c:v>
                </c:pt>
                <c:pt idx="25">
                  <c:v>44251</c:v>
                </c:pt>
                <c:pt idx="26">
                  <c:v>44250</c:v>
                </c:pt>
                <c:pt idx="27">
                  <c:v>44249</c:v>
                </c:pt>
                <c:pt idx="28">
                  <c:v>44246</c:v>
                </c:pt>
                <c:pt idx="29">
                  <c:v>44245</c:v>
                </c:pt>
                <c:pt idx="30">
                  <c:v>44244</c:v>
                </c:pt>
                <c:pt idx="31">
                  <c:v>44243</c:v>
                </c:pt>
                <c:pt idx="32">
                  <c:v>44242</c:v>
                </c:pt>
                <c:pt idx="33">
                  <c:v>44239</c:v>
                </c:pt>
                <c:pt idx="34">
                  <c:v>44238</c:v>
                </c:pt>
                <c:pt idx="35">
                  <c:v>44237</c:v>
                </c:pt>
                <c:pt idx="36">
                  <c:v>44236</c:v>
                </c:pt>
                <c:pt idx="37">
                  <c:v>44235</c:v>
                </c:pt>
                <c:pt idx="38">
                  <c:v>44232</c:v>
                </c:pt>
                <c:pt idx="39">
                  <c:v>44231</c:v>
                </c:pt>
                <c:pt idx="40">
                  <c:v>44230</c:v>
                </c:pt>
                <c:pt idx="41">
                  <c:v>44229</c:v>
                </c:pt>
                <c:pt idx="42">
                  <c:v>44228</c:v>
                </c:pt>
                <c:pt idx="43">
                  <c:v>44225</c:v>
                </c:pt>
                <c:pt idx="44">
                  <c:v>44224</c:v>
                </c:pt>
                <c:pt idx="45">
                  <c:v>44223</c:v>
                </c:pt>
                <c:pt idx="46">
                  <c:v>44222</c:v>
                </c:pt>
                <c:pt idx="47">
                  <c:v>44221</c:v>
                </c:pt>
                <c:pt idx="48">
                  <c:v>44218</c:v>
                </c:pt>
                <c:pt idx="49">
                  <c:v>44217</c:v>
                </c:pt>
                <c:pt idx="50">
                  <c:v>44216</c:v>
                </c:pt>
                <c:pt idx="51">
                  <c:v>44215</c:v>
                </c:pt>
                <c:pt idx="52">
                  <c:v>44214</c:v>
                </c:pt>
                <c:pt idx="53">
                  <c:v>44211</c:v>
                </c:pt>
                <c:pt idx="54">
                  <c:v>44210</c:v>
                </c:pt>
                <c:pt idx="55">
                  <c:v>44209</c:v>
                </c:pt>
                <c:pt idx="56">
                  <c:v>44208</c:v>
                </c:pt>
                <c:pt idx="57">
                  <c:v>44207</c:v>
                </c:pt>
                <c:pt idx="58">
                  <c:v>44204</c:v>
                </c:pt>
                <c:pt idx="59">
                  <c:v>44203</c:v>
                </c:pt>
                <c:pt idx="60">
                  <c:v>44202</c:v>
                </c:pt>
                <c:pt idx="61">
                  <c:v>44201</c:v>
                </c:pt>
                <c:pt idx="62">
                  <c:v>44200</c:v>
                </c:pt>
                <c:pt idx="63">
                  <c:v>44196</c:v>
                </c:pt>
                <c:pt idx="64">
                  <c:v>44195</c:v>
                </c:pt>
                <c:pt idx="65">
                  <c:v>44194</c:v>
                </c:pt>
                <c:pt idx="66">
                  <c:v>44193</c:v>
                </c:pt>
                <c:pt idx="67">
                  <c:v>44189</c:v>
                </c:pt>
                <c:pt idx="68">
                  <c:v>44188</c:v>
                </c:pt>
                <c:pt idx="69">
                  <c:v>44187</c:v>
                </c:pt>
                <c:pt idx="70">
                  <c:v>44186</c:v>
                </c:pt>
                <c:pt idx="71">
                  <c:v>44183</c:v>
                </c:pt>
                <c:pt idx="72">
                  <c:v>44182</c:v>
                </c:pt>
                <c:pt idx="73">
                  <c:v>44181</c:v>
                </c:pt>
                <c:pt idx="74">
                  <c:v>44180</c:v>
                </c:pt>
                <c:pt idx="75">
                  <c:v>44179</c:v>
                </c:pt>
                <c:pt idx="76">
                  <c:v>44176</c:v>
                </c:pt>
                <c:pt idx="77">
                  <c:v>44175</c:v>
                </c:pt>
                <c:pt idx="78">
                  <c:v>44174</c:v>
                </c:pt>
                <c:pt idx="79">
                  <c:v>44173</c:v>
                </c:pt>
                <c:pt idx="80">
                  <c:v>44172</c:v>
                </c:pt>
                <c:pt idx="81">
                  <c:v>44169</c:v>
                </c:pt>
                <c:pt idx="82">
                  <c:v>44168</c:v>
                </c:pt>
                <c:pt idx="83">
                  <c:v>44167</c:v>
                </c:pt>
                <c:pt idx="84">
                  <c:v>44166</c:v>
                </c:pt>
                <c:pt idx="85">
                  <c:v>44165</c:v>
                </c:pt>
                <c:pt idx="86">
                  <c:v>44162</c:v>
                </c:pt>
                <c:pt idx="87">
                  <c:v>44161</c:v>
                </c:pt>
              </c:numCache>
            </c:numRef>
          </c:cat>
          <c:val>
            <c:numRef>
              <c:f>'[Copy of Hartije od vrednosti na medjunarodnom trzistu SAJT (00000002) (00000002).xlsx]EUROBOND 2030'!$C$23:$C$110</c:f>
              <c:numCache>
                <c:formatCode>#,##0.000</c:formatCode>
                <c:ptCount val="88"/>
                <c:pt idx="0">
                  <c:v>3.01</c:v>
                </c:pt>
                <c:pt idx="1">
                  <c:v>3.0190000000000001</c:v>
                </c:pt>
                <c:pt idx="2">
                  <c:v>2.9939999999999998</c:v>
                </c:pt>
                <c:pt idx="3">
                  <c:v>2.9859999999999998</c:v>
                </c:pt>
                <c:pt idx="4">
                  <c:v>2.9729999999999999</c:v>
                </c:pt>
                <c:pt idx="5">
                  <c:v>2.976</c:v>
                </c:pt>
                <c:pt idx="6">
                  <c:v>2.9790000000000001</c:v>
                </c:pt>
                <c:pt idx="7">
                  <c:v>2.9820000000000002</c:v>
                </c:pt>
                <c:pt idx="8">
                  <c:v>2.9660000000000002</c:v>
                </c:pt>
                <c:pt idx="9">
                  <c:v>2.944</c:v>
                </c:pt>
                <c:pt idx="10">
                  <c:v>2.903</c:v>
                </c:pt>
                <c:pt idx="11">
                  <c:v>2.89</c:v>
                </c:pt>
                <c:pt idx="12">
                  <c:v>2.8970000000000002</c:v>
                </c:pt>
                <c:pt idx="13">
                  <c:v>2.8940000000000001</c:v>
                </c:pt>
                <c:pt idx="14">
                  <c:v>2.8209999999999997</c:v>
                </c:pt>
                <c:pt idx="15">
                  <c:v>2.9580000000000002</c:v>
                </c:pt>
                <c:pt idx="16">
                  <c:v>2.9379999999999997</c:v>
                </c:pt>
                <c:pt idx="17">
                  <c:v>2.9550000000000001</c:v>
                </c:pt>
                <c:pt idx="18">
                  <c:v>2.8719999999999999</c:v>
                </c:pt>
                <c:pt idx="19">
                  <c:v>2.766</c:v>
                </c:pt>
                <c:pt idx="20">
                  <c:v>2.7560000000000002</c:v>
                </c:pt>
                <c:pt idx="21">
                  <c:v>2.7429999999999999</c:v>
                </c:pt>
                <c:pt idx="22">
                  <c:v>2.7439999999999998</c:v>
                </c:pt>
                <c:pt idx="23">
                  <c:v>2.7909999999999999</c:v>
                </c:pt>
                <c:pt idx="24">
                  <c:v>2.714</c:v>
                </c:pt>
                <c:pt idx="25">
                  <c:v>2.6930000000000001</c:v>
                </c:pt>
                <c:pt idx="26">
                  <c:v>2.6509999999999998</c:v>
                </c:pt>
                <c:pt idx="27">
                  <c:v>2.6419999999999999</c:v>
                </c:pt>
                <c:pt idx="28">
                  <c:v>2.5859999999999999</c:v>
                </c:pt>
                <c:pt idx="29">
                  <c:v>2.5680000000000001</c:v>
                </c:pt>
                <c:pt idx="30">
                  <c:v>2.5609999999999999</c:v>
                </c:pt>
                <c:pt idx="31">
                  <c:v>2.5009999999999999</c:v>
                </c:pt>
                <c:pt idx="32">
                  <c:v>2.464</c:v>
                </c:pt>
                <c:pt idx="33">
                  <c:v>2.4249999999999998</c:v>
                </c:pt>
                <c:pt idx="34">
                  <c:v>2.4249999999999998</c:v>
                </c:pt>
                <c:pt idx="35">
                  <c:v>2.42</c:v>
                </c:pt>
                <c:pt idx="36">
                  <c:v>2.4180000000000001</c:v>
                </c:pt>
                <c:pt idx="37">
                  <c:v>2.4</c:v>
                </c:pt>
                <c:pt idx="38">
                  <c:v>2.379</c:v>
                </c:pt>
                <c:pt idx="39">
                  <c:v>2.3919999999999999</c:v>
                </c:pt>
                <c:pt idx="40">
                  <c:v>2.4279999999999999</c:v>
                </c:pt>
                <c:pt idx="41">
                  <c:v>2.4329999999999998</c:v>
                </c:pt>
                <c:pt idx="42">
                  <c:v>2.44</c:v>
                </c:pt>
                <c:pt idx="43">
                  <c:v>2.4489999999999998</c:v>
                </c:pt>
                <c:pt idx="44">
                  <c:v>2.4510000000000001</c:v>
                </c:pt>
                <c:pt idx="45">
                  <c:v>2.468</c:v>
                </c:pt>
                <c:pt idx="46">
                  <c:v>2.4569999999999999</c:v>
                </c:pt>
                <c:pt idx="47">
                  <c:v>2.4580000000000002</c:v>
                </c:pt>
                <c:pt idx="48">
                  <c:v>2.4470000000000001</c:v>
                </c:pt>
                <c:pt idx="49">
                  <c:v>2.4350000000000001</c:v>
                </c:pt>
                <c:pt idx="50">
                  <c:v>2.3929999999999998</c:v>
                </c:pt>
                <c:pt idx="51">
                  <c:v>2.3839999999999999</c:v>
                </c:pt>
                <c:pt idx="52">
                  <c:v>2.3820000000000001</c:v>
                </c:pt>
                <c:pt idx="53">
                  <c:v>2.359</c:v>
                </c:pt>
                <c:pt idx="54">
                  <c:v>2.34</c:v>
                </c:pt>
                <c:pt idx="55">
                  <c:v>2.3439999999999999</c:v>
                </c:pt>
                <c:pt idx="56">
                  <c:v>2.331</c:v>
                </c:pt>
                <c:pt idx="57">
                  <c:v>2.2720000000000002</c:v>
                </c:pt>
                <c:pt idx="58">
                  <c:v>2.2480000000000002</c:v>
                </c:pt>
                <c:pt idx="59">
                  <c:v>2.238</c:v>
                </c:pt>
                <c:pt idx="60">
                  <c:v>2.214</c:v>
                </c:pt>
                <c:pt idx="61">
                  <c:v>2.1619999999999999</c:v>
                </c:pt>
                <c:pt idx="62">
                  <c:v>2.1589999999999998</c:v>
                </c:pt>
                <c:pt idx="63">
                  <c:v>2.1880000000000002</c:v>
                </c:pt>
                <c:pt idx="64">
                  <c:v>2.2080000000000002</c:v>
                </c:pt>
                <c:pt idx="65">
                  <c:v>2.2490000000000001</c:v>
                </c:pt>
                <c:pt idx="66">
                  <c:v>2.2650000000000001</c:v>
                </c:pt>
                <c:pt idx="67">
                  <c:v>2.2610000000000001</c:v>
                </c:pt>
                <c:pt idx="68">
                  <c:v>2.2519999999999998</c:v>
                </c:pt>
                <c:pt idx="69">
                  <c:v>2.2519999999999998</c:v>
                </c:pt>
                <c:pt idx="70">
                  <c:v>2.2599999999999998</c:v>
                </c:pt>
                <c:pt idx="71">
                  <c:v>2.2359999999999998</c:v>
                </c:pt>
                <c:pt idx="72">
                  <c:v>2.2530000000000001</c:v>
                </c:pt>
                <c:pt idx="73">
                  <c:v>2.2999999999999998</c:v>
                </c:pt>
                <c:pt idx="74">
                  <c:v>2.3090000000000002</c:v>
                </c:pt>
                <c:pt idx="75">
                  <c:v>2.3090000000000002</c:v>
                </c:pt>
                <c:pt idx="76">
                  <c:v>2.3260000000000001</c:v>
                </c:pt>
                <c:pt idx="77">
                  <c:v>2.3439999999999999</c:v>
                </c:pt>
                <c:pt idx="78">
                  <c:v>2.3420000000000001</c:v>
                </c:pt>
                <c:pt idx="79">
                  <c:v>2.3250000000000002</c:v>
                </c:pt>
                <c:pt idx="80">
                  <c:v>2.3319999999999999</c:v>
                </c:pt>
                <c:pt idx="81">
                  <c:v>2.3149999999999999</c:v>
                </c:pt>
                <c:pt idx="82">
                  <c:v>2.3149999999999999</c:v>
                </c:pt>
                <c:pt idx="83">
                  <c:v>2.31</c:v>
                </c:pt>
                <c:pt idx="84">
                  <c:v>2.3010000000000002</c:v>
                </c:pt>
                <c:pt idx="85">
                  <c:v>2.2800000000000002</c:v>
                </c:pt>
                <c:pt idx="86">
                  <c:v>2.274</c:v>
                </c:pt>
                <c:pt idx="87">
                  <c:v>2.278</c:v>
                </c:pt>
              </c:numCache>
            </c:numRef>
          </c:val>
          <c:smooth val="0"/>
          <c:extLst>
            <c:ext xmlns:c16="http://schemas.microsoft.com/office/drawing/2014/chart" uri="{C3380CC4-5D6E-409C-BE32-E72D297353CC}">
              <c16:uniqueId val="{00000001-EB85-4016-8851-4EC9E82D880F}"/>
            </c:ext>
          </c:extLst>
        </c:ser>
        <c:dLbls>
          <c:showLegendKey val="0"/>
          <c:showVal val="0"/>
          <c:showCatName val="0"/>
          <c:showSerName val="0"/>
          <c:showPercent val="0"/>
          <c:showBubbleSize val="0"/>
        </c:dLbls>
        <c:marker val="1"/>
        <c:smooth val="0"/>
        <c:axId val="1059118784"/>
        <c:axId val="1059102144"/>
      </c:lineChart>
      <c:dateAx>
        <c:axId val="1258522352"/>
        <c:scaling>
          <c:orientation val="minMax"/>
          <c:max val="44286"/>
          <c:min val="44196"/>
        </c:scaling>
        <c:delete val="0"/>
        <c:axPos val="b"/>
        <c:numFmt formatCode="dd\/mm\/yy" sourceLinked="1"/>
        <c:majorTickMark val="out"/>
        <c:minorTickMark val="none"/>
        <c:tickLblPos val="nextTo"/>
        <c:spPr>
          <a:ln>
            <a:solidFill>
              <a:srgbClr val="44546A"/>
            </a:solidFill>
          </a:ln>
        </c:spPr>
        <c:txPr>
          <a:bodyPr rot="-2700000"/>
          <a:lstStyle/>
          <a:p>
            <a:pPr>
              <a:defRPr>
                <a:solidFill>
                  <a:srgbClr val="44546A"/>
                </a:solidFill>
              </a:defRPr>
            </a:pPr>
            <a:endParaRPr lang="sr-Latn-RS"/>
          </a:p>
        </c:txPr>
        <c:crossAx val="1258515280"/>
        <c:crosses val="autoZero"/>
        <c:auto val="1"/>
        <c:lblOffset val="100"/>
        <c:baseTimeUnit val="days"/>
        <c:majorUnit val="1"/>
        <c:majorTimeUnit val="months"/>
      </c:dateAx>
      <c:valAx>
        <c:axId val="1258515280"/>
        <c:scaling>
          <c:orientation val="minMax"/>
          <c:max val="100"/>
          <c:min val="85"/>
        </c:scaling>
        <c:delete val="0"/>
        <c:axPos val="l"/>
        <c:numFmt formatCode="[$€-2]\ #,##0" sourceLinked="0"/>
        <c:majorTickMark val="out"/>
        <c:minorTickMark val="none"/>
        <c:tickLblPos val="nextTo"/>
        <c:spPr>
          <a:ln>
            <a:solidFill>
              <a:srgbClr val="44546A"/>
            </a:solidFill>
          </a:ln>
        </c:spPr>
        <c:txPr>
          <a:bodyPr/>
          <a:lstStyle/>
          <a:p>
            <a:pPr>
              <a:defRPr>
                <a:solidFill>
                  <a:srgbClr val="44546A"/>
                </a:solidFill>
              </a:defRPr>
            </a:pPr>
            <a:endParaRPr lang="sr-Latn-RS"/>
          </a:p>
        </c:txPr>
        <c:crossAx val="1258522352"/>
        <c:crosses val="autoZero"/>
        <c:crossBetween val="between"/>
        <c:majorUnit val="2"/>
      </c:valAx>
      <c:valAx>
        <c:axId val="1059102144"/>
        <c:scaling>
          <c:orientation val="minMax"/>
        </c:scaling>
        <c:delete val="0"/>
        <c:axPos val="r"/>
        <c:numFmt formatCode="#,##0.000" sourceLinked="1"/>
        <c:majorTickMark val="out"/>
        <c:minorTickMark val="none"/>
        <c:tickLblPos val="nextTo"/>
        <c:spPr>
          <a:ln>
            <a:solidFill>
              <a:srgbClr val="44546A"/>
            </a:solidFill>
          </a:ln>
        </c:spPr>
        <c:txPr>
          <a:bodyPr/>
          <a:lstStyle/>
          <a:p>
            <a:pPr>
              <a:defRPr>
                <a:solidFill>
                  <a:srgbClr val="44546A"/>
                </a:solidFill>
              </a:defRPr>
            </a:pPr>
            <a:endParaRPr lang="sr-Latn-RS"/>
          </a:p>
        </c:txPr>
        <c:crossAx val="1059118784"/>
        <c:crosses val="max"/>
        <c:crossBetween val="between"/>
      </c:valAx>
      <c:dateAx>
        <c:axId val="1059118784"/>
        <c:scaling>
          <c:orientation val="minMax"/>
        </c:scaling>
        <c:delete val="1"/>
        <c:axPos val="b"/>
        <c:numFmt formatCode="dd\/mm\/yy" sourceLinked="1"/>
        <c:majorTickMark val="out"/>
        <c:minorTickMark val="none"/>
        <c:tickLblPos val="nextTo"/>
        <c:crossAx val="1059102144"/>
        <c:crosses val="autoZero"/>
        <c:auto val="1"/>
        <c:lblOffset val="100"/>
        <c:baseTimeUnit val="days"/>
        <c:majorUnit val="1"/>
        <c:minorUnit val="1"/>
      </c:dateAx>
    </c:plotArea>
    <c:legend>
      <c:legendPos val="r"/>
      <c:layout>
        <c:manualLayout>
          <c:xMode val="edge"/>
          <c:yMode val="edge"/>
          <c:x val="0"/>
          <c:y val="0.94025092592590409"/>
          <c:w val="1"/>
          <c:h val="5.9749063159012634E-2"/>
        </c:manualLayout>
      </c:layout>
      <c:overlay val="0"/>
      <c:txPr>
        <a:bodyPr/>
        <a:lstStyle/>
        <a:p>
          <a:pPr>
            <a:defRPr>
              <a:solidFill>
                <a:srgbClr val="44546A"/>
              </a:solidFill>
            </a:defRPr>
          </a:pPr>
          <a:endParaRPr lang="sr-Latn-RS"/>
        </a:p>
      </c:txPr>
    </c:legend>
    <c:plotVisOnly val="1"/>
    <c:dispBlanksAs val="gap"/>
    <c:showDLblsOverMax val="0"/>
  </c:chart>
  <c:spPr>
    <a:ln>
      <a:noFill/>
    </a:ln>
  </c:spPr>
  <c:txPr>
    <a:bodyPr/>
    <a:lstStyle/>
    <a:p>
      <a:pPr>
        <a:defRPr sz="600">
          <a:solidFill>
            <a:schemeClr val="tx2"/>
          </a:solidFill>
          <a:latin typeface="+mn-lt"/>
          <a:cs typeface="Times New Roman" pitchFamily="18" charset="0"/>
        </a:defRPr>
      </a:pPr>
      <a:endParaRPr lang="sr-Latn-RS"/>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947013702710755"/>
          <c:y val="0.1159364568431092"/>
          <c:w val="0.7124333482275842"/>
          <c:h val="0.65796894188418298"/>
        </c:manualLayout>
      </c:layout>
      <c:scatterChart>
        <c:scatterStyle val="lineMarker"/>
        <c:varyColors val="0"/>
        <c:ser>
          <c:idx val="0"/>
          <c:order val="0"/>
          <c:tx>
            <c:strRef>
              <c:f>'3Y_OUTPUT'!$C$123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'3Y_OUTPUT'!$C$129</c:f>
              <c:numCache>
                <c:formatCode>0.0</c:formatCode>
                <c:ptCount val="1"/>
                <c:pt idx="0">
                  <c:v>5.6420651765253211</c:v>
                </c:pt>
              </c:numCache>
            </c:numRef>
          </c:xVal>
          <c:yVal>
            <c:numRef>
              <c:f>'3Y_OUTPUT'!$C$124</c:f>
              <c:numCache>
                <c:formatCode>0.0</c:formatCode>
                <c:ptCount val="1"/>
                <c:pt idx="0">
                  <c:v>53.22371056563896</c:v>
                </c:pt>
              </c:numCache>
            </c:numRef>
          </c:yVal>
          <c:smooth val="0"/>
          <c:extLst>
            <c:ext xmlns:c16="http://schemas.microsoft.com/office/drawing/2014/chart" uri="{C3380CC4-5D6E-409C-BE32-E72D297353CC}">
              <c16:uniqueId val="{00000000-C69F-4D8F-9C0B-F83E38472DA6}"/>
            </c:ext>
          </c:extLst>
        </c:ser>
        <c:ser>
          <c:idx val="1"/>
          <c:order val="1"/>
          <c:tx>
            <c:strRef>
              <c:f>'3Y_OUTPUT'!$D$123</c:f>
              <c:strCache>
                <c:ptCount val="1"/>
                <c:pt idx="0">
                  <c:v>C2</c:v>
                </c:pt>
              </c:strCache>
            </c:strRef>
          </c:tx>
          <c:spPr>
            <a:ln w="127000" cap="flat" cmpd="dbl" algn="ctr">
              <a:solidFill>
                <a:srgbClr val="00B050">
                  <a:alpha val="50000"/>
                </a:srgbClr>
              </a:solidFill>
              <a:round/>
            </a:ln>
            <a:effectLst/>
          </c:spPr>
          <c:marker>
            <c:symbol val="circle"/>
            <c:size val="10"/>
            <c:spPr>
              <a:solidFill>
                <a:srgbClr val="00B050"/>
              </a:solidFill>
              <a:ln w="9525" cap="flat" cmpd="dbl" algn="ctr">
                <a:solidFill>
                  <a:srgbClr val="00B05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'3Y_OUTPUT'!$D$129</c:f>
              <c:numCache>
                <c:formatCode>0.0</c:formatCode>
                <c:ptCount val="1"/>
                <c:pt idx="0">
                  <c:v>6.0270950988368739</c:v>
                </c:pt>
              </c:numCache>
            </c:numRef>
          </c:xVal>
          <c:yVal>
            <c:numRef>
              <c:f>'3Y_OUTPUT'!$D$124</c:f>
              <c:numCache>
                <c:formatCode>0.0</c:formatCode>
                <c:ptCount val="1"/>
                <c:pt idx="0">
                  <c:v>53.382276175082112</c:v>
                </c:pt>
              </c:numCache>
            </c:numRef>
          </c:yVal>
          <c:smooth val="0"/>
          <c:extLst>
            <c:ext xmlns:c16="http://schemas.microsoft.com/office/drawing/2014/chart" uri="{C3380CC4-5D6E-409C-BE32-E72D297353CC}">
              <c16:uniqueId val="{00000001-C69F-4D8F-9C0B-F83E38472DA6}"/>
            </c:ext>
          </c:extLst>
        </c:ser>
        <c:ser>
          <c:idx val="2"/>
          <c:order val="2"/>
          <c:tx>
            <c:strRef>
              <c:f>'3Y_OUTPUT'!$E$123</c:f>
              <c:strCache>
                <c:ptCount val="1"/>
                <c:pt idx="0">
                  <c:v>C3</c:v>
                </c:pt>
              </c:strCache>
            </c:strRef>
          </c:tx>
          <c:spPr>
            <a:ln w="127000" cap="flat" cmpd="dbl" algn="ctr">
              <a:solidFill>
                <a:srgbClr val="9BBB59">
                  <a:alpha val="50000"/>
                </a:srgb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'3Y_OUTPUT'!$E$129</c:f>
              <c:numCache>
                <c:formatCode>0.0</c:formatCode>
                <c:ptCount val="1"/>
                <c:pt idx="0">
                  <c:v>6.0085382984301958</c:v>
                </c:pt>
              </c:numCache>
            </c:numRef>
          </c:xVal>
          <c:yVal>
            <c:numRef>
              <c:f>'3Y_OUTPUT'!$E$124</c:f>
              <c:numCache>
                <c:formatCode>0.0</c:formatCode>
                <c:ptCount val="1"/>
                <c:pt idx="0">
                  <c:v>53.22811095353417</c:v>
                </c:pt>
              </c:numCache>
            </c:numRef>
          </c:yVal>
          <c:smooth val="0"/>
          <c:extLst>
            <c:ext xmlns:c16="http://schemas.microsoft.com/office/drawing/2014/chart" uri="{C3380CC4-5D6E-409C-BE32-E72D297353CC}">
              <c16:uniqueId val="{00000002-C69F-4D8F-9C0B-F83E38472DA6}"/>
            </c:ext>
          </c:extLst>
        </c:ser>
        <c:ser>
          <c:idx val="3"/>
          <c:order val="3"/>
          <c:tx>
            <c:strRef>
              <c:f>'3Y_OUTPUT'!$F$123</c:f>
              <c:strCache>
                <c:ptCount val="1"/>
                <c:pt idx="0">
                  <c:v>C4</c:v>
                </c:pt>
              </c:strCache>
            </c:strRef>
          </c:tx>
          <c:spPr>
            <a:ln w="25400" cap="flat" cmpd="dbl" algn="ctr">
              <a:noFill/>
              <a:round/>
            </a:ln>
            <a:effectLst/>
          </c:spPr>
          <c:marker>
            <c:symbol val="circle"/>
            <c:size val="10"/>
            <c:spPr>
              <a:solidFill>
                <a:srgbClr val="1F497D">
                  <a:alpha val="98000"/>
                </a:srgbClr>
              </a:solidFill>
              <a:ln w="9525" cap="flat" cmpd="dbl" algn="ctr">
                <a:solidFill>
                  <a:srgbClr val="1F497D">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'3Y_OUTPUT'!$F$129</c:f>
              <c:numCache>
                <c:formatCode>0.0</c:formatCode>
                <c:ptCount val="1"/>
                <c:pt idx="0">
                  <c:v>4.8289429766661129</c:v>
                </c:pt>
              </c:numCache>
            </c:numRef>
          </c:xVal>
          <c:yVal>
            <c:numRef>
              <c:f>'3Y_OUTPUT'!$F$124</c:f>
              <c:numCache>
                <c:formatCode>0.0</c:formatCode>
                <c:ptCount val="1"/>
                <c:pt idx="0">
                  <c:v>53.533323352295817</c:v>
                </c:pt>
              </c:numCache>
            </c:numRef>
          </c:yVal>
          <c:smooth val="0"/>
          <c:extLst>
            <c:ext xmlns:c16="http://schemas.microsoft.com/office/drawing/2014/chart" uri="{C3380CC4-5D6E-409C-BE32-E72D297353CC}">
              <c16:uniqueId val="{00000003-C69F-4D8F-9C0B-F83E38472DA6}"/>
            </c:ext>
          </c:extLst>
        </c:ser>
        <c:dLbls>
          <c:showLegendKey val="0"/>
          <c:showVal val="0"/>
          <c:showCatName val="0"/>
          <c:showSerName val="0"/>
          <c:showPercent val="0"/>
          <c:showBubbleSize val="0"/>
        </c:dLbls>
        <c:axId val="253667200"/>
        <c:axId val="253681664"/>
      </c:scatterChart>
      <c:valAx>
        <c:axId val="253667200"/>
        <c:scaling>
          <c:orientation val="minMax"/>
          <c:max val="6.8"/>
          <c:min val="4.5"/>
        </c:scaling>
        <c:delete val="0"/>
        <c:axPos val="b"/>
        <c:majorGridlines>
          <c:spPr>
            <a:ln w="9525" cap="flat" cmpd="sng" algn="ctr">
              <a:noFill/>
              <a:round/>
            </a:ln>
            <a:effectLst/>
          </c:spPr>
        </c:majorGridlines>
        <c:minorGridlines>
          <c:spPr>
            <a:ln w="9525" cap="flat" cmpd="sng" algn="ctr">
              <a:noFill/>
              <a:round/>
            </a:ln>
            <a:effectLst/>
          </c:spPr>
        </c:minorGridlines>
        <c:title>
          <c:tx>
            <c:rich>
              <a:bodyPr rot="0" vert="horz"/>
              <a:lstStyle/>
              <a:p>
                <a:pPr>
                  <a:defRPr>
                    <a:solidFill>
                      <a:srgbClr val="44546A"/>
                    </a:solidFill>
                    <a:latin typeface="Calibri" panose="020F0502020204030204" pitchFamily="34" charset="0"/>
                    <a:cs typeface="Calibri" panose="020F0502020204030204" pitchFamily="34" charset="0"/>
                  </a:defRPr>
                </a:pPr>
                <a:r>
                  <a:rPr lang="sr-Cyrl-BA">
                    <a:solidFill>
                      <a:srgbClr val="44546A"/>
                    </a:solidFill>
                    <a:latin typeface="Calibri" panose="020F0502020204030204" pitchFamily="34" charset="0"/>
                    <a:cs typeface="Calibri" panose="020F0502020204030204" pitchFamily="34" charset="0"/>
                  </a:rPr>
                  <a:t>Ризик</a:t>
                </a:r>
              </a:p>
            </c:rich>
          </c:tx>
          <c:layout>
            <c:manualLayout>
              <c:xMode val="edge"/>
              <c:yMode val="edge"/>
              <c:x val="0.4712499835945263"/>
              <c:y val="0.9355306116778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rgbClr val="44546A"/>
                </a:solidFill>
                <a:latin typeface="Calibri" panose="020F0502020204030204" pitchFamily="34" charset="0"/>
                <a:cs typeface="Calibri" panose="020F0502020204030204" pitchFamily="34" charset="0"/>
              </a:defRPr>
            </a:pPr>
            <a:endParaRPr lang="sr-Latn-RS"/>
          </a:p>
        </c:txPr>
        <c:crossAx val="253681664"/>
        <c:crosses val="autoZero"/>
        <c:crossBetween val="midCat"/>
        <c:majorUnit val="0.5"/>
        <c:minorUnit val="0.1"/>
      </c:valAx>
      <c:valAx>
        <c:axId val="253681664"/>
        <c:scaling>
          <c:orientation val="minMax"/>
          <c:max val="53.6"/>
          <c:min val="53"/>
        </c:scaling>
        <c:delete val="0"/>
        <c:axPos val="l"/>
        <c:majorGridlines>
          <c:spPr>
            <a:ln w="9525" cap="flat" cmpd="sng" algn="ctr">
              <a:noFill/>
              <a:round/>
            </a:ln>
            <a:effectLst/>
          </c:spPr>
        </c:majorGridlines>
        <c:minorGridlines>
          <c:spPr>
            <a:ln w="9525" cap="flat" cmpd="sng" algn="ctr">
              <a:noFill/>
              <a:round/>
            </a:ln>
            <a:effectLst/>
          </c:spPr>
        </c:minorGridlines>
        <c:title>
          <c:tx>
            <c:rich>
              <a:bodyPr rot="-5400000" vert="horz"/>
              <a:lstStyle/>
              <a:p>
                <a:pPr>
                  <a:defRPr>
                    <a:solidFill>
                      <a:srgbClr val="44546A"/>
                    </a:solidFill>
                    <a:latin typeface="Calibri" panose="020F0502020204030204" pitchFamily="34" charset="0"/>
                    <a:cs typeface="Calibri" panose="020F0502020204030204" pitchFamily="34" charset="0"/>
                  </a:defRPr>
                </a:pPr>
                <a:r>
                  <a:rPr lang="sr-Cyrl-BA">
                    <a:solidFill>
                      <a:srgbClr val="44546A"/>
                    </a:solidFill>
                    <a:latin typeface="Calibri" panose="020F0502020204030204" pitchFamily="34" charset="0"/>
                    <a:cs typeface="Calibri" panose="020F0502020204030204" pitchFamily="34" charset="0"/>
                  </a:rPr>
                  <a:t>Трошкови (%)</a:t>
                </a:r>
              </a:p>
            </c:rich>
          </c:tx>
          <c:layout>
            <c:manualLayout>
              <c:xMode val="edge"/>
              <c:yMode val="edge"/>
              <c:x val="4.2641600474437186E-3"/>
              <c:y val="0.32453201268393489"/>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rgbClr val="44546A"/>
                </a:solidFill>
                <a:latin typeface="Calibri" panose="020F0502020204030204" pitchFamily="34" charset="0"/>
                <a:cs typeface="Calibri" panose="020F0502020204030204" pitchFamily="34" charset="0"/>
              </a:defRPr>
            </a:pPr>
            <a:endParaRPr lang="sr-Latn-RS"/>
          </a:p>
        </c:txPr>
        <c:crossAx val="253667200"/>
        <c:crosses val="autoZero"/>
        <c:crossBetween val="midCat"/>
      </c:valAx>
      <c:spPr>
        <a:solidFill>
          <a:sysClr val="window" lastClr="FFFFFF"/>
        </a:solid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mbria" panose="02040503050406030204" pitchFamily="18" charset="0"/>
        </a:defRPr>
      </a:pPr>
      <a:endParaRPr lang="sr-Latn-RS"/>
    </a:p>
  </c:tx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2893952934166"/>
          <c:y val="8.3992045285606692E-2"/>
          <c:w val="0.73758452487339898"/>
          <c:h val="0.7112994754411065"/>
        </c:manualLayout>
      </c:layout>
      <c:scatterChart>
        <c:scatterStyle val="lineMarker"/>
        <c:varyColors val="0"/>
        <c:ser>
          <c:idx val="0"/>
          <c:order val="0"/>
          <c:tx>
            <c:strRef>
              <c:f>'3Y_OUTPUT'!$C$133</c:f>
              <c:strCache>
                <c:ptCount val="1"/>
                <c:pt idx="0">
                  <c:v>C1</c:v>
                </c:pt>
              </c:strCache>
            </c:strRef>
          </c:tx>
          <c:spPr>
            <a:ln w="25400" cap="flat" cmpd="dbl" algn="ctr">
              <a:solidFill>
                <a:schemeClr val="accent1">
                  <a:alpha val="50000"/>
                </a:schemeClr>
              </a:solidFill>
              <a:round/>
            </a:ln>
            <a:effectLst/>
          </c:spPr>
          <c:marker>
            <c:symbol val="circle"/>
            <c:size val="10"/>
            <c:spPr>
              <a:solidFill>
                <a:srgbClr val="FF0000"/>
              </a:solidFill>
              <a:ln w="9525" cap="flat" cmpd="dbl" algn="ctr">
                <a:solidFill>
                  <a:srgbClr val="FF000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'3Y_OUTPUT'!$C$139</c:f>
              <c:numCache>
                <c:formatCode>0.0</c:formatCode>
                <c:ptCount val="1"/>
                <c:pt idx="0">
                  <c:v>0.56538135060334693</c:v>
                </c:pt>
              </c:numCache>
            </c:numRef>
          </c:xVal>
          <c:yVal>
            <c:numRef>
              <c:f>'3Y_OUTPUT'!$C$134</c:f>
              <c:numCache>
                <c:formatCode>0.0</c:formatCode>
                <c:ptCount val="1"/>
                <c:pt idx="0">
                  <c:v>1.2350085031101903</c:v>
                </c:pt>
              </c:numCache>
            </c:numRef>
          </c:yVal>
          <c:smooth val="0"/>
          <c:extLst>
            <c:ext xmlns:c16="http://schemas.microsoft.com/office/drawing/2014/chart" uri="{C3380CC4-5D6E-409C-BE32-E72D297353CC}">
              <c16:uniqueId val="{00000000-2152-4087-9F26-E367192FBC1A}"/>
            </c:ext>
          </c:extLst>
        </c:ser>
        <c:ser>
          <c:idx val="1"/>
          <c:order val="1"/>
          <c:tx>
            <c:strRef>
              <c:f>'3Y_OUTPUT'!$D$133</c:f>
              <c:strCache>
                <c:ptCount val="1"/>
                <c:pt idx="0">
                  <c:v>C2</c:v>
                </c:pt>
              </c:strCache>
            </c:strRef>
          </c:tx>
          <c:spPr>
            <a:ln w="25400" cap="flat" cmpd="dbl" algn="ctr">
              <a:noFill/>
              <a:round/>
            </a:ln>
            <a:effectLst/>
          </c:spPr>
          <c:marker>
            <c:symbol val="circle"/>
            <c:size val="10"/>
            <c:spPr>
              <a:solidFill>
                <a:srgbClr val="00B050"/>
              </a:solidFill>
              <a:ln w="34925" cap="flat" cmpd="dbl" algn="ctr">
                <a:no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'3Y_OUTPUT'!$D$139</c:f>
              <c:numCache>
                <c:formatCode>0.0</c:formatCode>
                <c:ptCount val="1"/>
                <c:pt idx="0">
                  <c:v>0.56944150550465134</c:v>
                </c:pt>
              </c:numCache>
            </c:numRef>
          </c:xVal>
          <c:yVal>
            <c:numRef>
              <c:f>'3Y_OUTPUT'!$D$134</c:f>
              <c:numCache>
                <c:formatCode>0.0</c:formatCode>
                <c:ptCount val="1"/>
                <c:pt idx="0">
                  <c:v>1.2925506333132002</c:v>
                </c:pt>
              </c:numCache>
            </c:numRef>
          </c:yVal>
          <c:smooth val="0"/>
          <c:extLst>
            <c:ext xmlns:c16="http://schemas.microsoft.com/office/drawing/2014/chart" uri="{C3380CC4-5D6E-409C-BE32-E72D297353CC}">
              <c16:uniqueId val="{00000001-2152-4087-9F26-E367192FBC1A}"/>
            </c:ext>
          </c:extLst>
        </c:ser>
        <c:ser>
          <c:idx val="2"/>
          <c:order val="2"/>
          <c:tx>
            <c:strRef>
              <c:f>'3Y_OUTPUT'!$E$133</c:f>
              <c:strCache>
                <c:ptCount val="1"/>
                <c:pt idx="0">
                  <c:v>C3</c:v>
                </c:pt>
              </c:strCache>
            </c:strRef>
          </c:tx>
          <c:spPr>
            <a:ln w="25400" cap="flat" cmpd="dbl" algn="ctr">
              <a:solidFill>
                <a:schemeClr val="accent3">
                  <a:alpha val="50000"/>
                </a:schemeClr>
              </a:solidFill>
              <a:round/>
            </a:ln>
            <a:effectLst/>
          </c:spPr>
          <c:marker>
            <c:symbol val="circle"/>
            <c:size val="10"/>
            <c:spPr>
              <a:solidFill>
                <a:srgbClr val="7030A0"/>
              </a:solidFill>
              <a:ln w="9525" cap="flat" cmpd="dbl" algn="ctr">
                <a:solidFill>
                  <a:srgbClr val="7030A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'3Y_OUTPUT'!$E$139</c:f>
              <c:numCache>
                <c:formatCode>0.0</c:formatCode>
                <c:ptCount val="1"/>
                <c:pt idx="0">
                  <c:v>0.62625863441511265</c:v>
                </c:pt>
              </c:numCache>
            </c:numRef>
          </c:xVal>
          <c:yVal>
            <c:numRef>
              <c:f>'3Y_OUTPUT'!$E$134</c:f>
              <c:numCache>
                <c:formatCode>0.0</c:formatCode>
                <c:ptCount val="1"/>
                <c:pt idx="0">
                  <c:v>1.1942247109506559</c:v>
                </c:pt>
              </c:numCache>
            </c:numRef>
          </c:yVal>
          <c:smooth val="0"/>
          <c:extLst>
            <c:ext xmlns:c16="http://schemas.microsoft.com/office/drawing/2014/chart" uri="{C3380CC4-5D6E-409C-BE32-E72D297353CC}">
              <c16:uniqueId val="{00000002-2152-4087-9F26-E367192FBC1A}"/>
            </c:ext>
          </c:extLst>
        </c:ser>
        <c:ser>
          <c:idx val="3"/>
          <c:order val="3"/>
          <c:tx>
            <c:strRef>
              <c:f>'3Y_OUTPUT'!$F$133</c:f>
              <c:strCache>
                <c:ptCount val="1"/>
                <c:pt idx="0">
                  <c:v>C4</c:v>
                </c:pt>
              </c:strCache>
            </c:strRef>
          </c:tx>
          <c:spPr>
            <a:ln w="25400" cap="flat" cmpd="dbl" algn="ctr">
              <a:solidFill>
                <a:schemeClr val="accent4">
                  <a:alpha val="50000"/>
                </a:schemeClr>
              </a:solidFill>
              <a:round/>
            </a:ln>
            <a:effectLst/>
          </c:spPr>
          <c:marker>
            <c:symbol val="circle"/>
            <c:size val="10"/>
            <c:spPr>
              <a:solidFill>
                <a:srgbClr val="0070C0"/>
              </a:solidFill>
              <a:ln w="9525" cap="flat" cmpd="dbl" algn="ctr">
                <a:solidFill>
                  <a:srgbClr val="0070C0">
                    <a:alpha val="70000"/>
                  </a:srgbClr>
                </a:solidFill>
                <a:round/>
              </a:ln>
              <a:effectLst/>
            </c:spPr>
          </c:marker>
          <c:dLbls>
            <c:spPr>
              <a:noFill/>
              <a:ln>
                <a:noFill/>
              </a:ln>
              <a:effectLst/>
            </c:spPr>
            <c:txPr>
              <a:bodyPr rot="0" vert="horz"/>
              <a:lstStyle/>
              <a:p>
                <a:pPr>
                  <a:defRPr>
                    <a:solidFill>
                      <a:srgbClr val="44546A"/>
                    </a:solidFill>
                  </a:defRPr>
                </a:pPr>
                <a:endParaRPr lang="sr-Latn-RS"/>
              </a:p>
            </c:txPr>
            <c:showLegendKey val="0"/>
            <c:showVal val="0"/>
            <c:showCatName val="0"/>
            <c:showSerName val="1"/>
            <c:showPercent val="0"/>
            <c:showBubbleSize val="0"/>
            <c:showLeaderLines val="0"/>
            <c:extLst>
              <c:ext xmlns:c15="http://schemas.microsoft.com/office/drawing/2012/chart" uri="{CE6537A1-D6FC-4f65-9D91-7224C49458BB}">
                <c15:showLeaderLines val="0"/>
              </c:ext>
            </c:extLst>
          </c:dLbls>
          <c:xVal>
            <c:numRef>
              <c:f>'3Y_OUTPUT'!$F$139</c:f>
              <c:numCache>
                <c:formatCode>0.0</c:formatCode>
                <c:ptCount val="1"/>
                <c:pt idx="0">
                  <c:v>0.72631345484796195</c:v>
                </c:pt>
              </c:numCache>
            </c:numRef>
          </c:xVal>
          <c:yVal>
            <c:numRef>
              <c:f>'3Y_OUTPUT'!$F$134</c:f>
              <c:numCache>
                <c:formatCode>0.0</c:formatCode>
                <c:ptCount val="1"/>
                <c:pt idx="0">
                  <c:v>1.5419141783208368</c:v>
                </c:pt>
              </c:numCache>
            </c:numRef>
          </c:yVal>
          <c:smooth val="0"/>
          <c:extLst>
            <c:ext xmlns:c16="http://schemas.microsoft.com/office/drawing/2014/chart" uri="{C3380CC4-5D6E-409C-BE32-E72D297353CC}">
              <c16:uniqueId val="{00000003-2152-4087-9F26-E367192FBC1A}"/>
            </c:ext>
          </c:extLst>
        </c:ser>
        <c:dLbls>
          <c:showLegendKey val="0"/>
          <c:showVal val="0"/>
          <c:showCatName val="0"/>
          <c:showSerName val="0"/>
          <c:showPercent val="0"/>
          <c:showBubbleSize val="0"/>
        </c:dLbls>
        <c:axId val="253612416"/>
        <c:axId val="253614336"/>
      </c:scatterChart>
      <c:valAx>
        <c:axId val="253612416"/>
        <c:scaling>
          <c:orientation val="minMax"/>
          <c:max val="0.8"/>
          <c:min val="0.5"/>
        </c:scaling>
        <c:delete val="0"/>
        <c:axPos val="b"/>
        <c:majorGridlines>
          <c:spPr>
            <a:ln w="9525" cap="flat" cmpd="sng" algn="ctr">
              <a:noFill/>
              <a:prstDash val="dash"/>
              <a:round/>
            </a:ln>
            <a:effectLst/>
          </c:spPr>
        </c:majorGridlines>
        <c:minorGridlines>
          <c:spPr>
            <a:ln w="9525" cap="flat" cmpd="sng" algn="ctr">
              <a:solidFill>
                <a:sysClr val="window" lastClr="FFFFFF"/>
              </a:solidFill>
              <a:round/>
            </a:ln>
            <a:effectLst/>
          </c:spPr>
        </c:minorGridlines>
        <c:title>
          <c:tx>
            <c:rich>
              <a:bodyPr rot="0" vert="horz"/>
              <a:lstStyle/>
              <a:p>
                <a:pPr>
                  <a:defRPr>
                    <a:solidFill>
                      <a:srgbClr val="44546A"/>
                    </a:solidFill>
                  </a:defRPr>
                </a:pPr>
                <a:r>
                  <a:rPr lang="sr-Cyrl-RS">
                    <a:solidFill>
                      <a:srgbClr val="44546A"/>
                    </a:solidFill>
                  </a:rPr>
                  <a:t>Ризик</a:t>
                </a:r>
              </a:p>
            </c:rich>
          </c:tx>
          <c:layout>
            <c:manualLayout>
              <c:xMode val="edge"/>
              <c:yMode val="edge"/>
              <c:x val="0.47124973398595482"/>
              <c:y val="0.92970168612191961"/>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rgbClr val="44546A"/>
                </a:solidFill>
              </a:defRPr>
            </a:pPr>
            <a:endParaRPr lang="sr-Latn-RS"/>
          </a:p>
        </c:txPr>
        <c:crossAx val="253614336"/>
        <c:crosses val="autoZero"/>
        <c:crossBetween val="midCat"/>
      </c:valAx>
      <c:valAx>
        <c:axId val="253614336"/>
        <c:scaling>
          <c:orientation val="minMax"/>
          <c:max val="1.6"/>
          <c:min val="1.1000000000000001"/>
        </c:scaling>
        <c:delete val="0"/>
        <c:axPos val="l"/>
        <c:majorGridlines>
          <c:spPr>
            <a:ln w="9525" cap="flat" cmpd="sng" algn="ctr">
              <a:noFill/>
              <a:prstDash val="dash"/>
              <a:round/>
            </a:ln>
            <a:effectLst/>
          </c:spPr>
        </c:majorGridlines>
        <c:minorGridlines>
          <c:spPr>
            <a:ln w="9525" cap="flat" cmpd="sng" algn="ctr">
              <a:noFill/>
              <a:round/>
            </a:ln>
            <a:effectLst/>
          </c:spPr>
        </c:minorGridlines>
        <c:title>
          <c:tx>
            <c:rich>
              <a:bodyPr rot="-5400000" vert="horz"/>
              <a:lstStyle/>
              <a:p>
                <a:pPr>
                  <a:defRPr>
                    <a:solidFill>
                      <a:srgbClr val="44546A"/>
                    </a:solidFill>
                  </a:defRPr>
                </a:pPr>
                <a:r>
                  <a:rPr lang="sr-Cyrl-CS">
                    <a:solidFill>
                      <a:srgbClr val="44546A"/>
                    </a:solidFill>
                  </a:rPr>
                  <a:t>Трошкови (%)</a:t>
                </a:r>
              </a:p>
            </c:rich>
          </c:tx>
          <c:layout>
            <c:manualLayout>
              <c:xMode val="edge"/>
              <c:yMode val="edge"/>
              <c:x val="5.5101280905570449E-3"/>
              <c:y val="0.26999821173104432"/>
            </c:manualLayout>
          </c:layout>
          <c:overlay val="0"/>
          <c:spPr>
            <a:noFill/>
            <a:ln>
              <a:noFill/>
            </a:ln>
            <a:effectLst/>
          </c:spPr>
        </c:title>
        <c:numFmt formatCode="0.00" sourceLinked="0"/>
        <c:majorTickMark val="none"/>
        <c:minorTickMark val="none"/>
        <c:tickLblPos val="nextTo"/>
        <c:spPr>
          <a:noFill/>
          <a:ln>
            <a:noFill/>
          </a:ln>
          <a:effectLst/>
        </c:spPr>
        <c:txPr>
          <a:bodyPr rot="0"/>
          <a:lstStyle/>
          <a:p>
            <a:pPr>
              <a:defRPr sz="800">
                <a:solidFill>
                  <a:srgbClr val="44546A"/>
                </a:solidFill>
              </a:defRPr>
            </a:pPr>
            <a:endParaRPr lang="sr-Latn-RS"/>
          </a:p>
        </c:txPr>
        <c:crossAx val="253612416"/>
        <c:crosses val="autoZero"/>
        <c:crossBetween val="midCat"/>
        <c:majorUnit val="0.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latin typeface="Calibri" panose="020F0502020204030204" pitchFamily="34" charset="0"/>
          <a:cs typeface="Calibri" panose="020F0502020204030204" pitchFamily="34" charset="0"/>
        </a:defRPr>
      </a:pPr>
      <a:endParaRPr lang="sr-Latn-RS"/>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7368051268925991E-2"/>
          <c:y val="2.4498269896193772E-2"/>
          <c:w val="0.9372012977727866"/>
          <c:h val="0.90122138542350005"/>
        </c:manualLayout>
      </c:layout>
      <c:lineChart>
        <c:grouping val="standard"/>
        <c:varyColors val="0"/>
        <c:ser>
          <c:idx val="0"/>
          <c:order val="0"/>
          <c:spPr>
            <a:ln w="28575" cap="rnd" cmpd="sng" algn="ctr">
              <a:solidFill>
                <a:schemeClr val="accent1">
                  <a:shade val="40000"/>
                  <a:shade val="95000"/>
                  <a:satMod val="105000"/>
                </a:schemeClr>
              </a:solidFill>
              <a:prstDash val="solid"/>
              <a:round/>
            </a:ln>
            <a:effectLst/>
          </c:spPr>
          <c:marker>
            <c:spPr>
              <a:solidFill>
                <a:schemeClr val="accent1">
                  <a:shade val="38000"/>
                </a:schemeClr>
              </a:solidFill>
              <a:ln w="9525" cap="flat" cmpd="sng" algn="ctr">
                <a:solidFill>
                  <a:schemeClr val="accent1">
                    <a:shade val="38000"/>
                    <a:shade val="95000"/>
                    <a:satMod val="105000"/>
                  </a:schemeClr>
                </a:solidFill>
                <a:prstDash val="solid"/>
                <a:round/>
              </a:ln>
              <a:effectLst/>
            </c:spPr>
          </c:marker>
          <c:dLbls>
            <c:numFmt formatCode="#,##0.0" sourceLinked="0"/>
            <c:spPr>
              <a:noFill/>
              <a:ln>
                <a:noFill/>
              </a:ln>
              <a:effectLst/>
            </c:spPr>
            <c:txPr>
              <a:bodyPr rot="0" spcFirstLastPara="1" vertOverflow="ellipsis" vert="horz" wrap="square" anchor="ctr" anchorCtr="1"/>
              <a:lstStyle/>
              <a:p>
                <a:pPr>
                  <a:defRPr sz="750" b="0" i="0" u="none" strike="noStrike" kern="1200" baseline="0">
                    <a:solidFill>
                      <a:schemeClr val="tx2"/>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val>
          <c:smooth val="0"/>
          <c:extLst>
            <c:ext xmlns:c16="http://schemas.microsoft.com/office/drawing/2014/chart" uri="{C3380CC4-5D6E-409C-BE32-E72D297353CC}">
              <c16:uniqueId val="{00000000-3145-4EB0-95CB-140C2D09A687}"/>
            </c:ext>
          </c:extLst>
        </c:ser>
        <c:ser>
          <c:idx val="1"/>
          <c:order val="1"/>
          <c:spPr>
            <a:ln w="28575" cap="rnd" cmpd="sng" algn="ctr">
              <a:solidFill>
                <a:schemeClr val="accent1">
                  <a:shade val="51000"/>
                  <a:shade val="95000"/>
                  <a:satMod val="105000"/>
                </a:schemeClr>
              </a:solidFill>
              <a:prstDash val="solid"/>
              <a:round/>
            </a:ln>
            <a:effectLst/>
          </c:spPr>
          <c:marker>
            <c:symbol val="diamond"/>
            <c:size val="10"/>
            <c:spPr>
              <a:solidFill>
                <a:schemeClr val="accent1">
                  <a:shade val="45000"/>
                </a:schemeClr>
              </a:solidFill>
              <a:ln w="9525" cap="flat" cmpd="sng" algn="ctr">
                <a:solidFill>
                  <a:schemeClr val="accent1">
                    <a:shade val="45000"/>
                    <a:shade val="95000"/>
                    <a:satMod val="105000"/>
                  </a:schemeClr>
                </a:solidFill>
                <a:prstDash val="solid"/>
                <a:round/>
              </a:ln>
              <a:effectLst/>
            </c:spPr>
          </c:marker>
          <c:dLbls>
            <c:spPr>
              <a:noFill/>
              <a:ln>
                <a:noFill/>
              </a:ln>
              <a:effectLst/>
            </c:spPr>
            <c:txPr>
              <a:bodyPr rot="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kursa'!$H$57:$P$57</c:f>
              <c:numCache>
                <c:formatCode>#,##0.0</c:formatCode>
                <c:ptCount val="9"/>
                <c:pt idx="0">
                  <c:v>67.678479463063553</c:v>
                </c:pt>
                <c:pt idx="1">
                  <c:v>57.788223811969416</c:v>
                </c:pt>
                <c:pt idx="2">
                  <c:v>53.621882530067857</c:v>
                </c:pt>
                <c:pt idx="3">
                  <c:v>51.970945883657429</c:v>
                </c:pt>
                <c:pt idx="4">
                  <c:v>57.4</c:v>
                </c:pt>
                <c:pt idx="5">
                  <c:v>59</c:v>
                </c:pt>
                <c:pt idx="6">
                  <c:v>58.3</c:v>
                </c:pt>
                <c:pt idx="7">
                  <c:v>56.5</c:v>
                </c:pt>
                <c:pt idx="8">
                  <c:v>54.4</c:v>
                </c:pt>
              </c:numCache>
            </c:numRef>
          </c:val>
          <c:smooth val="0"/>
          <c:extLst>
            <c:ext xmlns:c16="http://schemas.microsoft.com/office/drawing/2014/chart" uri="{C3380CC4-5D6E-409C-BE32-E72D297353CC}">
              <c16:uniqueId val="{00000001-3145-4EB0-95CB-140C2D09A687}"/>
            </c:ext>
          </c:extLst>
        </c:ser>
        <c:ser>
          <c:idx val="2"/>
          <c:order val="2"/>
          <c:spPr>
            <a:ln w="28575" cap="rnd" cmpd="sng" algn="ctr">
              <a:solidFill>
                <a:schemeClr val="accent1">
                  <a:shade val="62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kursa'!$H$58:$P$58</c:f>
              <c:numCache>
                <c:formatCode>#,##0.0</c:formatCode>
                <c:ptCount val="9"/>
                <c:pt idx="0">
                  <c:v>67.678479463063553</c:v>
                </c:pt>
                <c:pt idx="1">
                  <c:v>57.788223811969416</c:v>
                </c:pt>
                <c:pt idx="2">
                  <c:v>53.621882530067857</c:v>
                </c:pt>
                <c:pt idx="3">
                  <c:v>51.970945883657429</c:v>
                </c:pt>
                <c:pt idx="4">
                  <c:v>57.4</c:v>
                </c:pt>
                <c:pt idx="5">
                  <c:v>59.865304348808799</c:v>
                </c:pt>
                <c:pt idx="6">
                  <c:v>59.112964094831753</c:v>
                </c:pt>
                <c:pt idx="7">
                  <c:v>57.302278708177823</c:v>
                </c:pt>
                <c:pt idx="8">
                  <c:v>55.093099328088748</c:v>
                </c:pt>
              </c:numCache>
            </c:numRef>
          </c:val>
          <c:smooth val="0"/>
          <c:extLst>
            <c:ext xmlns:c16="http://schemas.microsoft.com/office/drawing/2014/chart" uri="{C3380CC4-5D6E-409C-BE32-E72D297353CC}">
              <c16:uniqueId val="{00000002-3145-4EB0-95CB-140C2D09A687}"/>
            </c:ext>
          </c:extLst>
        </c:ser>
        <c:ser>
          <c:idx val="3"/>
          <c:order val="3"/>
          <c:spPr>
            <a:ln w="28575" cap="rnd" cmpd="sng" algn="ctr">
              <a:solidFill>
                <a:schemeClr val="accent1">
                  <a:shade val="7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kursa'!$H$59:$P$59</c:f>
              <c:numCache>
                <c:formatCode>#,##0.0</c:formatCode>
                <c:ptCount val="9"/>
                <c:pt idx="0">
                  <c:v>67.678479463063553</c:v>
                </c:pt>
                <c:pt idx="1">
                  <c:v>57.788223811969416</c:v>
                </c:pt>
                <c:pt idx="2">
                  <c:v>53.621882530067857</c:v>
                </c:pt>
                <c:pt idx="3">
                  <c:v>51.9709458836574</c:v>
                </c:pt>
                <c:pt idx="4">
                  <c:v>57.4</c:v>
                </c:pt>
                <c:pt idx="5">
                  <c:v>60.691847012401823</c:v>
                </c:pt>
                <c:pt idx="6">
                  <c:v>59.906113573610078</c:v>
                </c:pt>
                <c:pt idx="7">
                  <c:v>58.071133276480133</c:v>
                </c:pt>
                <c:pt idx="8">
                  <c:v>55.832312184108886</c:v>
                </c:pt>
              </c:numCache>
            </c:numRef>
          </c:val>
          <c:smooth val="0"/>
          <c:extLst>
            <c:ext xmlns:c16="http://schemas.microsoft.com/office/drawing/2014/chart" uri="{C3380CC4-5D6E-409C-BE32-E72D297353CC}">
              <c16:uniqueId val="{00000003-3145-4EB0-95CB-140C2D09A687}"/>
            </c:ext>
          </c:extLst>
        </c:ser>
        <c:ser>
          <c:idx val="4"/>
          <c:order val="4"/>
          <c:spPr>
            <a:ln w="28575" cap="rnd" cmpd="sng" algn="ctr">
              <a:solidFill>
                <a:schemeClr val="accent1">
                  <a:shade val="8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kursa'!$H$60:$P$60</c:f>
              <c:numCache>
                <c:formatCode>#,##0.0</c:formatCode>
                <c:ptCount val="9"/>
                <c:pt idx="0">
                  <c:v>67.678479463063553</c:v>
                </c:pt>
                <c:pt idx="1">
                  <c:v>57.788223811969416</c:v>
                </c:pt>
                <c:pt idx="2">
                  <c:v>53.621882530067857</c:v>
                </c:pt>
                <c:pt idx="3">
                  <c:v>51.9709458836574</c:v>
                </c:pt>
                <c:pt idx="4">
                  <c:v>57.4</c:v>
                </c:pt>
                <c:pt idx="5">
                  <c:v>61.518389675994847</c:v>
                </c:pt>
                <c:pt idx="6">
                  <c:v>60.69926305238841</c:v>
                </c:pt>
                <c:pt idx="7">
                  <c:v>58.839987844782449</c:v>
                </c:pt>
                <c:pt idx="8">
                  <c:v>56.571525040129025</c:v>
                </c:pt>
              </c:numCache>
            </c:numRef>
          </c:val>
          <c:smooth val="0"/>
          <c:extLst>
            <c:ext xmlns:c16="http://schemas.microsoft.com/office/drawing/2014/chart" uri="{C3380CC4-5D6E-409C-BE32-E72D297353CC}">
              <c16:uniqueId val="{00000004-3145-4EB0-95CB-140C2D09A687}"/>
            </c:ext>
          </c:extLst>
        </c:ser>
        <c:ser>
          <c:idx val="5"/>
          <c:order val="5"/>
          <c:spPr>
            <a:ln w="28575" cap="rnd" cmpd="sng" algn="ctr">
              <a:solidFill>
                <a:schemeClr val="accent1">
                  <a:shade val="9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kursa'!$H$61:$P$61</c:f>
              <c:numCache>
                <c:formatCode>#,##0.0</c:formatCode>
                <c:ptCount val="9"/>
                <c:pt idx="0">
                  <c:v>67.678479463063553</c:v>
                </c:pt>
                <c:pt idx="1">
                  <c:v>57.788223811969416</c:v>
                </c:pt>
                <c:pt idx="2">
                  <c:v>53.621882530067857</c:v>
                </c:pt>
                <c:pt idx="3">
                  <c:v>51.9709458836574</c:v>
                </c:pt>
                <c:pt idx="4">
                  <c:v>57.4</c:v>
                </c:pt>
                <c:pt idx="5">
                  <c:v>62.344932339587864</c:v>
                </c:pt>
                <c:pt idx="6">
                  <c:v>61.492412531166728</c:v>
                </c:pt>
                <c:pt idx="7">
                  <c:v>59.608842413084751</c:v>
                </c:pt>
                <c:pt idx="8">
                  <c:v>57.310737896149156</c:v>
                </c:pt>
              </c:numCache>
            </c:numRef>
          </c:val>
          <c:smooth val="0"/>
          <c:extLst>
            <c:ext xmlns:c16="http://schemas.microsoft.com/office/drawing/2014/chart" uri="{C3380CC4-5D6E-409C-BE32-E72D297353CC}">
              <c16:uniqueId val="{00000005-3145-4EB0-95CB-140C2D09A687}"/>
            </c:ext>
          </c:extLst>
        </c:ser>
        <c:ser>
          <c:idx val="6"/>
          <c:order val="6"/>
          <c:spPr>
            <a:ln w="28575" cap="rnd" cmpd="sng" algn="ctr">
              <a:solidFill>
                <a:schemeClr val="accent1">
                  <a:tint val="95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6-3145-4EB0-95CB-140C2D09A687}"/>
                </c:ext>
              </c:extLst>
            </c:dLbl>
            <c:dLbl>
              <c:idx val="1"/>
              <c:delete val="1"/>
              <c:extLst>
                <c:ext xmlns:c15="http://schemas.microsoft.com/office/drawing/2012/chart" uri="{CE6537A1-D6FC-4f65-9D91-7224C49458BB}"/>
                <c:ext xmlns:c16="http://schemas.microsoft.com/office/drawing/2014/chart" uri="{C3380CC4-5D6E-409C-BE32-E72D297353CC}">
                  <c16:uniqueId val="{00000007-3145-4EB0-95CB-140C2D09A687}"/>
                </c:ext>
              </c:extLst>
            </c:dLbl>
            <c:dLbl>
              <c:idx val="2"/>
              <c:delete val="1"/>
              <c:extLst>
                <c:ext xmlns:c15="http://schemas.microsoft.com/office/drawing/2012/chart" uri="{CE6537A1-D6FC-4f65-9D91-7224C49458BB}"/>
                <c:ext xmlns:c16="http://schemas.microsoft.com/office/drawing/2014/chart" uri="{C3380CC4-5D6E-409C-BE32-E72D297353CC}">
                  <c16:uniqueId val="{00000008-3145-4EB0-95CB-140C2D09A687}"/>
                </c:ext>
              </c:extLst>
            </c:dLbl>
            <c:dLbl>
              <c:idx val="3"/>
              <c:delete val="1"/>
              <c:extLst>
                <c:ext xmlns:c15="http://schemas.microsoft.com/office/drawing/2012/chart" uri="{CE6537A1-D6FC-4f65-9D91-7224C49458BB}"/>
                <c:ext xmlns:c16="http://schemas.microsoft.com/office/drawing/2014/chart" uri="{C3380CC4-5D6E-409C-BE32-E72D297353CC}">
                  <c16:uniqueId val="{00000009-3145-4EB0-95CB-140C2D09A687}"/>
                </c:ext>
              </c:extLst>
            </c:dLbl>
            <c:dLbl>
              <c:idx val="4"/>
              <c:delete val="1"/>
              <c:extLst>
                <c:ext xmlns:c15="http://schemas.microsoft.com/office/drawing/2012/chart" uri="{CE6537A1-D6FC-4f65-9D91-7224C49458BB}"/>
                <c:ext xmlns:c16="http://schemas.microsoft.com/office/drawing/2014/chart" uri="{C3380CC4-5D6E-409C-BE32-E72D297353CC}">
                  <c16:uniqueId val="{0000000A-3145-4EB0-95CB-140C2D09A687}"/>
                </c:ext>
              </c:extLst>
            </c:dLbl>
            <c:spPr>
              <a:noFill/>
              <a:ln>
                <a:noFill/>
              </a:ln>
              <a:effectLst/>
            </c:spPr>
            <c:txPr>
              <a:bodyPr rot="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kursa'!$H$62:$P$62</c:f>
              <c:numCache>
                <c:formatCode>#,##0.0</c:formatCode>
                <c:ptCount val="9"/>
                <c:pt idx="0">
                  <c:v>67.678479463063553</c:v>
                </c:pt>
                <c:pt idx="1">
                  <c:v>57.788223811969416</c:v>
                </c:pt>
                <c:pt idx="2">
                  <c:v>53.621882530067857</c:v>
                </c:pt>
                <c:pt idx="3">
                  <c:v>51.9709458836574</c:v>
                </c:pt>
                <c:pt idx="4">
                  <c:v>57.4</c:v>
                </c:pt>
                <c:pt idx="5">
                  <c:v>63.171475003180873</c:v>
                </c:pt>
                <c:pt idx="6">
                  <c:v>62.28556200994506</c:v>
                </c:pt>
                <c:pt idx="7">
                  <c:v>60.377696981387061</c:v>
                </c:pt>
                <c:pt idx="8">
                  <c:v>58.049950752169288</c:v>
                </c:pt>
              </c:numCache>
            </c:numRef>
          </c:val>
          <c:smooth val="0"/>
          <c:extLst>
            <c:ext xmlns:c16="http://schemas.microsoft.com/office/drawing/2014/chart" uri="{C3380CC4-5D6E-409C-BE32-E72D297353CC}">
              <c16:uniqueId val="{0000000B-3145-4EB0-95CB-140C2D09A687}"/>
            </c:ext>
          </c:extLst>
        </c:ser>
        <c:ser>
          <c:idx val="7"/>
          <c:order val="7"/>
          <c:spPr>
            <a:ln w="28575" cap="rnd" cmpd="sng" algn="ctr">
              <a:solidFill>
                <a:schemeClr val="accent1">
                  <a:tint val="8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kursa'!$H$63:$P$63</c:f>
              <c:numCache>
                <c:formatCode>#,##0.0</c:formatCode>
                <c:ptCount val="9"/>
                <c:pt idx="0">
                  <c:v>67.678479463063553</c:v>
                </c:pt>
                <c:pt idx="1">
                  <c:v>57.788223811969416</c:v>
                </c:pt>
                <c:pt idx="2">
                  <c:v>53.621882530067857</c:v>
                </c:pt>
                <c:pt idx="3">
                  <c:v>51.9709458836574</c:v>
                </c:pt>
                <c:pt idx="4">
                  <c:v>57.4</c:v>
                </c:pt>
                <c:pt idx="5">
                  <c:v>58.212219021622758</c:v>
                </c:pt>
                <c:pt idx="6">
                  <c:v>57.526665137275089</c:v>
                </c:pt>
                <c:pt idx="7">
                  <c:v>55.764569571573205</c:v>
                </c:pt>
                <c:pt idx="8">
                  <c:v>53.614673616048478</c:v>
                </c:pt>
              </c:numCache>
            </c:numRef>
          </c:val>
          <c:smooth val="0"/>
          <c:extLst>
            <c:ext xmlns:c16="http://schemas.microsoft.com/office/drawing/2014/chart" uri="{C3380CC4-5D6E-409C-BE32-E72D297353CC}">
              <c16:uniqueId val="{0000000C-3145-4EB0-95CB-140C2D09A687}"/>
            </c:ext>
          </c:extLst>
        </c:ser>
        <c:ser>
          <c:idx val="8"/>
          <c:order val="8"/>
          <c:spPr>
            <a:ln w="28575" cap="rnd" cmpd="sng" algn="ctr">
              <a:solidFill>
                <a:schemeClr val="accent1">
                  <a:tint val="74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kursa'!$H$64:$P$64</c:f>
              <c:numCache>
                <c:formatCode>#,##0.0</c:formatCode>
                <c:ptCount val="9"/>
                <c:pt idx="0">
                  <c:v>67.678479463063553</c:v>
                </c:pt>
                <c:pt idx="1">
                  <c:v>57.788223811969416</c:v>
                </c:pt>
                <c:pt idx="2">
                  <c:v>53.621882530067857</c:v>
                </c:pt>
                <c:pt idx="3">
                  <c:v>51.9709458836574</c:v>
                </c:pt>
                <c:pt idx="4">
                  <c:v>57.4</c:v>
                </c:pt>
                <c:pt idx="5">
                  <c:v>57.385676358029734</c:v>
                </c:pt>
                <c:pt idx="6">
                  <c:v>56.733515658496771</c:v>
                </c:pt>
                <c:pt idx="7">
                  <c:v>54.995715003270909</c:v>
                </c:pt>
                <c:pt idx="8">
                  <c:v>52.875460760028346</c:v>
                </c:pt>
              </c:numCache>
            </c:numRef>
          </c:val>
          <c:smooth val="0"/>
          <c:extLst>
            <c:ext xmlns:c16="http://schemas.microsoft.com/office/drawing/2014/chart" uri="{C3380CC4-5D6E-409C-BE32-E72D297353CC}">
              <c16:uniqueId val="{0000000D-3145-4EB0-95CB-140C2D09A687}"/>
            </c:ext>
          </c:extLst>
        </c:ser>
        <c:ser>
          <c:idx val="9"/>
          <c:order val="9"/>
          <c:spPr>
            <a:ln w="28575" cap="rnd" cmpd="sng" algn="ctr">
              <a:solidFill>
                <a:schemeClr val="accent1">
                  <a:tint val="63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kursa'!$H$65:$P$65</c:f>
              <c:numCache>
                <c:formatCode>#,##0.0</c:formatCode>
                <c:ptCount val="9"/>
                <c:pt idx="0">
                  <c:v>67.678479463063553</c:v>
                </c:pt>
                <c:pt idx="1">
                  <c:v>57.788223811969416</c:v>
                </c:pt>
                <c:pt idx="2">
                  <c:v>53.621882530067857</c:v>
                </c:pt>
                <c:pt idx="3">
                  <c:v>51.9709458836574</c:v>
                </c:pt>
                <c:pt idx="4">
                  <c:v>57.4</c:v>
                </c:pt>
                <c:pt idx="5">
                  <c:v>56.559133694436717</c:v>
                </c:pt>
                <c:pt idx="6">
                  <c:v>55.940366179718438</c:v>
                </c:pt>
                <c:pt idx="7">
                  <c:v>54.226860434968593</c:v>
                </c:pt>
                <c:pt idx="8">
                  <c:v>52.136247904008215</c:v>
                </c:pt>
              </c:numCache>
            </c:numRef>
          </c:val>
          <c:smooth val="0"/>
          <c:extLst>
            <c:ext xmlns:c16="http://schemas.microsoft.com/office/drawing/2014/chart" uri="{C3380CC4-5D6E-409C-BE32-E72D297353CC}">
              <c16:uniqueId val="{0000000E-3145-4EB0-95CB-140C2D09A687}"/>
            </c:ext>
          </c:extLst>
        </c:ser>
        <c:ser>
          <c:idx val="10"/>
          <c:order val="10"/>
          <c:spPr>
            <a:ln w="28575" cap="rnd" cmpd="sng" algn="ctr">
              <a:solidFill>
                <a:schemeClr val="accent1">
                  <a:tint val="52000"/>
                  <a:shade val="95000"/>
                  <a:satMod val="105000"/>
                </a:schemeClr>
              </a:solidFill>
              <a:prstDash val="solid"/>
              <a:round/>
            </a:ln>
            <a:effectLst/>
          </c:spPr>
          <c:marker>
            <c:symbol val="none"/>
          </c:marker>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kursa'!$H$66:$P$66</c:f>
              <c:numCache>
                <c:formatCode>#,##0.0</c:formatCode>
                <c:ptCount val="9"/>
                <c:pt idx="0">
                  <c:v>67.678479463063553</c:v>
                </c:pt>
                <c:pt idx="1">
                  <c:v>57.788223811969416</c:v>
                </c:pt>
                <c:pt idx="2">
                  <c:v>53.621882530067857</c:v>
                </c:pt>
                <c:pt idx="3">
                  <c:v>51.9709458836574</c:v>
                </c:pt>
                <c:pt idx="4">
                  <c:v>57.4</c:v>
                </c:pt>
                <c:pt idx="5">
                  <c:v>55.732591030843693</c:v>
                </c:pt>
                <c:pt idx="6">
                  <c:v>55.147216700940113</c:v>
                </c:pt>
                <c:pt idx="7">
                  <c:v>53.458005866666291</c:v>
                </c:pt>
                <c:pt idx="8">
                  <c:v>51.397035047988084</c:v>
                </c:pt>
              </c:numCache>
            </c:numRef>
          </c:val>
          <c:smooth val="0"/>
          <c:extLst>
            <c:ext xmlns:c16="http://schemas.microsoft.com/office/drawing/2014/chart" uri="{C3380CC4-5D6E-409C-BE32-E72D297353CC}">
              <c16:uniqueId val="{0000000F-3145-4EB0-95CB-140C2D09A687}"/>
            </c:ext>
          </c:extLst>
        </c:ser>
        <c:ser>
          <c:idx val="11"/>
          <c:order val="11"/>
          <c:spPr>
            <a:ln w="28575" cap="rnd" cmpd="sng" algn="ctr">
              <a:solidFill>
                <a:schemeClr val="accent1">
                  <a:tint val="41000"/>
                  <a:shade val="95000"/>
                  <a:satMod val="105000"/>
                </a:schemeClr>
              </a:solidFill>
              <a:prstDash val="solid"/>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10-3145-4EB0-95CB-140C2D09A687}"/>
                </c:ext>
              </c:extLst>
            </c:dLbl>
            <c:dLbl>
              <c:idx val="1"/>
              <c:delete val="1"/>
              <c:extLst>
                <c:ext xmlns:c15="http://schemas.microsoft.com/office/drawing/2012/chart" uri="{CE6537A1-D6FC-4f65-9D91-7224C49458BB}"/>
                <c:ext xmlns:c16="http://schemas.microsoft.com/office/drawing/2014/chart" uri="{C3380CC4-5D6E-409C-BE32-E72D297353CC}">
                  <c16:uniqueId val="{00000011-3145-4EB0-95CB-140C2D09A687}"/>
                </c:ext>
              </c:extLst>
            </c:dLbl>
            <c:dLbl>
              <c:idx val="2"/>
              <c:delete val="1"/>
              <c:extLst>
                <c:ext xmlns:c15="http://schemas.microsoft.com/office/drawing/2012/chart" uri="{CE6537A1-D6FC-4f65-9D91-7224C49458BB}"/>
                <c:ext xmlns:c16="http://schemas.microsoft.com/office/drawing/2014/chart" uri="{C3380CC4-5D6E-409C-BE32-E72D297353CC}">
                  <c16:uniqueId val="{00000012-3145-4EB0-95CB-140C2D09A687}"/>
                </c:ext>
              </c:extLst>
            </c:dLbl>
            <c:dLbl>
              <c:idx val="3"/>
              <c:delete val="1"/>
              <c:extLst>
                <c:ext xmlns:c15="http://schemas.microsoft.com/office/drawing/2012/chart" uri="{CE6537A1-D6FC-4f65-9D91-7224C49458BB}"/>
                <c:ext xmlns:c16="http://schemas.microsoft.com/office/drawing/2014/chart" uri="{C3380CC4-5D6E-409C-BE32-E72D297353CC}">
                  <c16:uniqueId val="{00000013-3145-4EB0-95CB-140C2D09A687}"/>
                </c:ext>
              </c:extLst>
            </c:dLbl>
            <c:dLbl>
              <c:idx val="4"/>
              <c:delete val="1"/>
              <c:extLst>
                <c:ext xmlns:c15="http://schemas.microsoft.com/office/drawing/2012/chart" uri="{CE6537A1-D6FC-4f65-9D91-7224C49458BB}"/>
                <c:ext xmlns:c16="http://schemas.microsoft.com/office/drawing/2014/chart" uri="{C3380CC4-5D6E-409C-BE32-E72D297353CC}">
                  <c16:uniqueId val="{00000014-3145-4EB0-95CB-140C2D09A687}"/>
                </c:ext>
              </c:extLst>
            </c:dLbl>
            <c:dLbl>
              <c:idx val="8"/>
              <c:layout>
                <c:manualLayout>
                  <c:x val="-1.1695417616883329E-2"/>
                  <c:y val="1.51205558779462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3145-4EB0-95CB-140C2D09A687}"/>
                </c:ext>
              </c:extLst>
            </c:dLbl>
            <c:spPr>
              <a:noFill/>
              <a:ln>
                <a:noFill/>
              </a:ln>
              <a:effectLst/>
            </c:spPr>
            <c:txPr>
              <a:bodyPr rot="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shade val="95000"/>
                          <a:satMod val="105000"/>
                        </a:schemeClr>
                      </a:solidFill>
                      <a:prstDash val="solid"/>
                      <a:round/>
                    </a:ln>
                    <a:effectLst/>
                  </c:spPr>
                </c15:leaderLines>
              </c:ext>
            </c:extLst>
          </c:dLbls>
          <c:cat>
            <c:numRef>
              <c:f>'uticaj promene kursa'!$H$56:$P$56</c:f>
              <c:numCache>
                <c:formatCode>General</c:formatCode>
                <c:ptCount val="9"/>
                <c:pt idx="0">
                  <c:v>2016</c:v>
                </c:pt>
                <c:pt idx="1">
                  <c:v>2017</c:v>
                </c:pt>
                <c:pt idx="2">
                  <c:v>2018</c:v>
                </c:pt>
                <c:pt idx="3">
                  <c:v>2019</c:v>
                </c:pt>
                <c:pt idx="4">
                  <c:v>2020</c:v>
                </c:pt>
                <c:pt idx="5">
                  <c:v>2021</c:v>
                </c:pt>
                <c:pt idx="6">
                  <c:v>2022</c:v>
                </c:pt>
                <c:pt idx="7">
                  <c:v>2023</c:v>
                </c:pt>
                <c:pt idx="8">
                  <c:v>2024</c:v>
                </c:pt>
              </c:numCache>
            </c:numRef>
          </c:cat>
          <c:val>
            <c:numRef>
              <c:f>'uticaj promene kursa'!$H$67:$P$67</c:f>
              <c:numCache>
                <c:formatCode>#,##0.0</c:formatCode>
                <c:ptCount val="9"/>
                <c:pt idx="0">
                  <c:v>67.678479463063553</c:v>
                </c:pt>
                <c:pt idx="1">
                  <c:v>57.788223811969416</c:v>
                </c:pt>
                <c:pt idx="2">
                  <c:v>53.621882530067857</c:v>
                </c:pt>
                <c:pt idx="3">
                  <c:v>51.9709458836574</c:v>
                </c:pt>
                <c:pt idx="4">
                  <c:v>57.4</c:v>
                </c:pt>
                <c:pt idx="5">
                  <c:v>54.906048367250669</c:v>
                </c:pt>
                <c:pt idx="6">
                  <c:v>54.354067222161795</c:v>
                </c:pt>
                <c:pt idx="7">
                  <c:v>52.689151298363988</c:v>
                </c:pt>
                <c:pt idx="8">
                  <c:v>50.657822191967952</c:v>
                </c:pt>
              </c:numCache>
            </c:numRef>
          </c:val>
          <c:smooth val="0"/>
          <c:extLst>
            <c:ext xmlns:c16="http://schemas.microsoft.com/office/drawing/2014/chart" uri="{C3380CC4-5D6E-409C-BE32-E72D297353CC}">
              <c16:uniqueId val="{00000016-3145-4EB0-95CB-140C2D09A687}"/>
            </c:ext>
          </c:extLst>
        </c:ser>
        <c:dLbls>
          <c:showLegendKey val="0"/>
          <c:showVal val="0"/>
          <c:showCatName val="0"/>
          <c:showSerName val="0"/>
          <c:showPercent val="0"/>
          <c:showBubbleSize val="0"/>
        </c:dLbls>
        <c:marker val="1"/>
        <c:smooth val="0"/>
        <c:axId val="75069312"/>
        <c:axId val="75070848"/>
      </c:lineChart>
      <c:catAx>
        <c:axId val="75069312"/>
        <c:scaling>
          <c:orientation val="minMax"/>
        </c:scaling>
        <c:delete val="0"/>
        <c:axPos val="b"/>
        <c:majorGridlines>
          <c:spPr>
            <a:ln w="9525" cap="flat" cmpd="sng" algn="ctr">
              <a:noFill/>
              <a:prstDash val="solid"/>
              <a:round/>
            </a:ln>
            <a:effectLst/>
          </c:spPr>
        </c:majorGridlines>
        <c:minorGridlines>
          <c:spPr>
            <a:ln w="9525" cap="flat" cmpd="sng" algn="ctr">
              <a:noFill/>
              <a:prstDash val="solid"/>
              <a:round/>
            </a:ln>
            <a:effectLst/>
          </c:spPr>
        </c:minorGridlines>
        <c:numFmt formatCode="General" sourceLinked="1"/>
        <c:majorTickMark val="none"/>
        <c:minorTickMark val="none"/>
        <c:tickLblPos val="nextTo"/>
        <c:spPr>
          <a:noFill/>
          <a:ln w="9525" cap="flat" cmpd="sng" algn="ctr">
            <a:solidFill>
              <a:srgbClr val="44546A"/>
            </a:solid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crossAx val="75070848"/>
        <c:crosses val="autoZero"/>
        <c:auto val="0"/>
        <c:lblAlgn val="ctr"/>
        <c:lblOffset val="100"/>
        <c:noMultiLvlLbl val="0"/>
      </c:catAx>
      <c:valAx>
        <c:axId val="75070848"/>
        <c:scaling>
          <c:orientation val="minMax"/>
          <c:max val="70"/>
          <c:min val="50"/>
        </c:scaling>
        <c:delete val="0"/>
        <c:axPos val="l"/>
        <c:majorGridlines>
          <c:spPr>
            <a:ln w="9525" cap="flat" cmpd="sng" algn="ctr">
              <a:noFill/>
              <a:prstDash val="solid"/>
              <a:round/>
            </a:ln>
            <a:effectLst/>
          </c:spPr>
        </c:majorGridlines>
        <c:numFmt formatCode="#,##0.0" sourceLinked="0"/>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750" b="0" i="0" u="none" strike="noStrike" kern="1200" baseline="0">
                <a:solidFill>
                  <a:srgbClr val="44546A"/>
                </a:solidFill>
                <a:latin typeface="+mn-lt"/>
                <a:ea typeface="+mn-ea"/>
                <a:cs typeface="+mn-cs"/>
              </a:defRPr>
            </a:pPr>
            <a:endParaRPr lang="sr-Latn-RS"/>
          </a:p>
        </c:txPr>
        <c:crossAx val="75069312"/>
        <c:crosses val="autoZero"/>
        <c:crossBetween val="between"/>
        <c:majorUnit val="10"/>
        <c:minorUnit val="2"/>
      </c:valAx>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750">
          <a:solidFill>
            <a:schemeClr val="tx2"/>
          </a:solidFill>
        </a:defRPr>
      </a:pPr>
      <a:endParaRPr lang="sr-Latn-R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695771217679017E-2"/>
          <c:y val="2.4159100824797955E-2"/>
          <c:w val="0.78066919398057932"/>
          <c:h val="0.56251461320958074"/>
        </c:manualLayout>
      </c:layout>
      <c:lineChart>
        <c:grouping val="standard"/>
        <c:varyColors val="0"/>
        <c:ser>
          <c:idx val="0"/>
          <c:order val="0"/>
          <c:tx>
            <c:strRef>
              <c:f>'[Chart in Microsoft Word]Benchmark stope na sekundarnom'!$B$2</c:f>
              <c:strCache>
                <c:ptCount val="1"/>
                <c:pt idx="0">
                  <c:v>5Г 2018</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sekundarnom'!$B$3:$B$39</c:f>
              <c:numCache>
                <c:formatCode>0.00%</c:formatCode>
                <c:ptCount val="27"/>
                <c:pt idx="0">
                  <c:v>3.6200000000000003E-2</c:v>
                </c:pt>
                <c:pt idx="1">
                  <c:v>3.7999999999999999E-2</c:v>
                </c:pt>
                <c:pt idx="2">
                  <c:v>3.7999999999999999E-2</c:v>
                </c:pt>
                <c:pt idx="3">
                  <c:v>3.7699999999999997E-2</c:v>
                </c:pt>
                <c:pt idx="4">
                  <c:v>3.85E-2</c:v>
                </c:pt>
                <c:pt idx="5">
                  <c:v>2.8500000000000001E-2</c:v>
                </c:pt>
                <c:pt idx="6">
                  <c:v>2.5499999999999998E-2</c:v>
                </c:pt>
                <c:pt idx="7">
                  <c:v>2.4E-2</c:v>
                </c:pt>
                <c:pt idx="8">
                  <c:v>2.4E-2</c:v>
                </c:pt>
                <c:pt idx="9">
                  <c:v>2.4E-2</c:v>
                </c:pt>
                <c:pt idx="10">
                  <c:v>2.3E-2</c:v>
                </c:pt>
                <c:pt idx="11">
                  <c:v>2.3E-2</c:v>
                </c:pt>
                <c:pt idx="12">
                  <c:v>2.3E-2</c:v>
                </c:pt>
                <c:pt idx="13">
                  <c:v>2.3E-2</c:v>
                </c:pt>
                <c:pt idx="14">
                  <c:v>2.2700000000000001E-2</c:v>
                </c:pt>
                <c:pt idx="15">
                  <c:v>2.3599999999999999E-2</c:v>
                </c:pt>
                <c:pt idx="16">
                  <c:v>2.3E-2</c:v>
                </c:pt>
                <c:pt idx="17">
                  <c:v>2.23E-2</c:v>
                </c:pt>
                <c:pt idx="18">
                  <c:v>2.1999999999999999E-2</c:v>
                </c:pt>
                <c:pt idx="19">
                  <c:v>2.1499999999999998E-2</c:v>
                </c:pt>
                <c:pt idx="20">
                  <c:v>2.12E-2</c:v>
                </c:pt>
                <c:pt idx="22">
                  <c:v>2.2099999999999998E-2</c:v>
                </c:pt>
                <c:pt idx="23">
                  <c:v>2.0199999999999999E-2</c:v>
                </c:pt>
                <c:pt idx="24">
                  <c:v>1.8200000000000001E-2</c:v>
                </c:pt>
                <c:pt idx="25">
                  <c:v>1.7299999999999999E-2</c:v>
                </c:pt>
                <c:pt idx="26">
                  <c:v>1.67E-2</c:v>
                </c:pt>
              </c:numCache>
            </c:numRef>
          </c:val>
          <c:smooth val="0"/>
          <c:extLst>
            <c:ext xmlns:c16="http://schemas.microsoft.com/office/drawing/2014/chart" uri="{C3380CC4-5D6E-409C-BE32-E72D297353CC}">
              <c16:uniqueId val="{00000000-BE71-48C1-9A40-FC8F85230CC7}"/>
            </c:ext>
          </c:extLst>
        </c:ser>
        <c:ser>
          <c:idx val="1"/>
          <c:order val="1"/>
          <c:tx>
            <c:strRef>
              <c:f>'[Chart in Microsoft Word]Benchmark stope na sekundarnom'!$C$2</c:f>
              <c:strCache>
                <c:ptCount val="1"/>
                <c:pt idx="0">
                  <c:v>7Г 2016</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sekundarnom'!$C$3:$C$39</c:f>
              <c:numCache>
                <c:formatCode>0.00%</c:formatCode>
                <c:ptCount val="27"/>
                <c:pt idx="0">
                  <c:v>3.8600000000000002E-2</c:v>
                </c:pt>
                <c:pt idx="1">
                  <c:v>3.85E-2</c:v>
                </c:pt>
                <c:pt idx="2">
                  <c:v>3.8699999999999998E-2</c:v>
                </c:pt>
                <c:pt idx="3">
                  <c:v>3.8899999999999997E-2</c:v>
                </c:pt>
                <c:pt idx="4">
                  <c:v>3.7199999999999997E-2</c:v>
                </c:pt>
                <c:pt idx="5">
                  <c:v>3.2800000000000003E-2</c:v>
                </c:pt>
                <c:pt idx="6">
                  <c:v>3.2500000000000001E-2</c:v>
                </c:pt>
                <c:pt idx="7">
                  <c:v>2.76E-2</c:v>
                </c:pt>
                <c:pt idx="8">
                  <c:v>2.4E-2</c:v>
                </c:pt>
                <c:pt idx="9">
                  <c:v>2.47E-2</c:v>
                </c:pt>
                <c:pt idx="10">
                  <c:v>2.3300000000000001E-2</c:v>
                </c:pt>
                <c:pt idx="11">
                  <c:v>2.2700000000000001E-2</c:v>
                </c:pt>
                <c:pt idx="12">
                  <c:v>2.3199999999999998E-2</c:v>
                </c:pt>
                <c:pt idx="13">
                  <c:v>2.3199999999999998E-2</c:v>
                </c:pt>
                <c:pt idx="14">
                  <c:v>2.3199999999999998E-2</c:v>
                </c:pt>
                <c:pt idx="15">
                  <c:v>2.5999999999999999E-2</c:v>
                </c:pt>
                <c:pt idx="16">
                  <c:v>2.75E-2</c:v>
                </c:pt>
                <c:pt idx="17">
                  <c:v>2.5000000000000001E-2</c:v>
                </c:pt>
                <c:pt idx="18">
                  <c:v>2.4E-2</c:v>
                </c:pt>
                <c:pt idx="19">
                  <c:v>2.35E-2</c:v>
                </c:pt>
                <c:pt idx="20">
                  <c:v>2.18E-2</c:v>
                </c:pt>
                <c:pt idx="21">
                  <c:v>2.2100000000000002E-2</c:v>
                </c:pt>
                <c:pt idx="22">
                  <c:v>2.2499999999999999E-2</c:v>
                </c:pt>
                <c:pt idx="23">
                  <c:v>2.1100000000000001E-2</c:v>
                </c:pt>
                <c:pt idx="24">
                  <c:v>1.95E-2</c:v>
                </c:pt>
                <c:pt idx="25">
                  <c:v>1.7899999999999999E-2</c:v>
                </c:pt>
                <c:pt idx="26">
                  <c:v>1.7299999999999999E-2</c:v>
                </c:pt>
              </c:numCache>
            </c:numRef>
          </c:val>
          <c:smooth val="0"/>
          <c:extLst>
            <c:ext xmlns:c16="http://schemas.microsoft.com/office/drawing/2014/chart" uri="{C3380CC4-5D6E-409C-BE32-E72D297353CC}">
              <c16:uniqueId val="{00000001-BE71-48C1-9A40-FC8F85230CC7}"/>
            </c:ext>
          </c:extLst>
        </c:ser>
        <c:ser>
          <c:idx val="2"/>
          <c:order val="2"/>
          <c:tx>
            <c:strRef>
              <c:f>'[Chart in Microsoft Word]Benchmark stope na sekundarnom'!$D$2</c:f>
              <c:strCache>
                <c:ptCount val="1"/>
                <c:pt idx="0">
                  <c:v>7Г 2019</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sekundarnom'!$D$3:$D$39</c:f>
              <c:numCache>
                <c:formatCode>0.00%</c:formatCode>
                <c:ptCount val="27"/>
                <c:pt idx="0">
                  <c:v>4.5400000000000003E-2</c:v>
                </c:pt>
                <c:pt idx="1">
                  <c:v>4.4999999999999998E-2</c:v>
                </c:pt>
                <c:pt idx="2">
                  <c:v>4.5400000000000003E-2</c:v>
                </c:pt>
                <c:pt idx="3">
                  <c:v>4.4900000000000002E-2</c:v>
                </c:pt>
                <c:pt idx="4">
                  <c:v>4.2000000000000003E-2</c:v>
                </c:pt>
                <c:pt idx="5">
                  <c:v>0.04</c:v>
                </c:pt>
                <c:pt idx="6">
                  <c:v>3.5999999999999997E-2</c:v>
                </c:pt>
                <c:pt idx="7">
                  <c:v>3.5000000000000003E-2</c:v>
                </c:pt>
                <c:pt idx="8">
                  <c:v>3.4000000000000002E-2</c:v>
                </c:pt>
                <c:pt idx="9">
                  <c:v>3.2000000000000001E-2</c:v>
                </c:pt>
                <c:pt idx="10">
                  <c:v>2.8500000000000001E-2</c:v>
                </c:pt>
                <c:pt idx="11">
                  <c:v>2.8299999999999999E-2</c:v>
                </c:pt>
                <c:pt idx="12">
                  <c:v>2.9000000000000001E-2</c:v>
                </c:pt>
                <c:pt idx="13">
                  <c:v>2.81E-2</c:v>
                </c:pt>
                <c:pt idx="14">
                  <c:v>2.6800000000000001E-2</c:v>
                </c:pt>
                <c:pt idx="15">
                  <c:v>3.2800000000000003E-2</c:v>
                </c:pt>
                <c:pt idx="16">
                  <c:v>3.2099999999999997E-2</c:v>
                </c:pt>
                <c:pt idx="17">
                  <c:v>2.8400000000000002E-2</c:v>
                </c:pt>
                <c:pt idx="18">
                  <c:v>2.8000000000000001E-2</c:v>
                </c:pt>
                <c:pt idx="19">
                  <c:v>2.8000000000000001E-2</c:v>
                </c:pt>
                <c:pt idx="20">
                  <c:v>2.7199999999999998E-2</c:v>
                </c:pt>
                <c:pt idx="21">
                  <c:v>2.8500000000000001E-2</c:v>
                </c:pt>
                <c:pt idx="22">
                  <c:v>2.8400000000000002E-2</c:v>
                </c:pt>
                <c:pt idx="23">
                  <c:v>2.63E-2</c:v>
                </c:pt>
                <c:pt idx="24">
                  <c:v>2.7300000000000001E-2</c:v>
                </c:pt>
                <c:pt idx="25">
                  <c:v>2.1999999999999999E-2</c:v>
                </c:pt>
                <c:pt idx="26">
                  <c:v>2.29E-2</c:v>
                </c:pt>
              </c:numCache>
            </c:numRef>
          </c:val>
          <c:smooth val="0"/>
          <c:extLst>
            <c:ext xmlns:c16="http://schemas.microsoft.com/office/drawing/2014/chart" uri="{C3380CC4-5D6E-409C-BE32-E72D297353CC}">
              <c16:uniqueId val="{00000002-BE71-48C1-9A40-FC8F85230CC7}"/>
            </c:ext>
          </c:extLst>
        </c:ser>
        <c:ser>
          <c:idx val="4"/>
          <c:order val="3"/>
          <c:tx>
            <c:strRef>
              <c:f>'[Chart in Microsoft Word]Benchmark stope na sekundarnom'!$E$2</c:f>
              <c:strCache>
                <c:ptCount val="1"/>
                <c:pt idx="0">
                  <c:v>10Г 2018</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sekundarnom'!$E$3:$E$39</c:f>
              <c:numCache>
                <c:formatCode>0.00%</c:formatCode>
                <c:ptCount val="27"/>
                <c:pt idx="0">
                  <c:v>4.87E-2</c:v>
                </c:pt>
                <c:pt idx="1">
                  <c:v>4.87E-2</c:v>
                </c:pt>
                <c:pt idx="2">
                  <c:v>4.8300000000000003E-2</c:v>
                </c:pt>
                <c:pt idx="3">
                  <c:v>4.8000000000000001E-2</c:v>
                </c:pt>
                <c:pt idx="4">
                  <c:v>4.8000000000000001E-2</c:v>
                </c:pt>
                <c:pt idx="5">
                  <c:v>4.5999999999999999E-2</c:v>
                </c:pt>
                <c:pt idx="6">
                  <c:v>3.7499999999999999E-2</c:v>
                </c:pt>
                <c:pt idx="7">
                  <c:v>3.3500000000000002E-2</c:v>
                </c:pt>
                <c:pt idx="8">
                  <c:v>3.4000000000000002E-2</c:v>
                </c:pt>
                <c:pt idx="9">
                  <c:v>3.3000000000000002E-2</c:v>
                </c:pt>
                <c:pt idx="10">
                  <c:v>2.9000000000000001E-2</c:v>
                </c:pt>
                <c:pt idx="11">
                  <c:v>2.9600000000000001E-2</c:v>
                </c:pt>
                <c:pt idx="12">
                  <c:v>3.0200000000000001E-2</c:v>
                </c:pt>
                <c:pt idx="13">
                  <c:v>0.03</c:v>
                </c:pt>
                <c:pt idx="14">
                  <c:v>2.9000000000000001E-2</c:v>
                </c:pt>
                <c:pt idx="15">
                  <c:v>0.03</c:v>
                </c:pt>
                <c:pt idx="16">
                  <c:v>3.4000000000000002E-2</c:v>
                </c:pt>
                <c:pt idx="17">
                  <c:v>3.2800000000000003E-2</c:v>
                </c:pt>
                <c:pt idx="18">
                  <c:v>3.2500000000000001E-2</c:v>
                </c:pt>
                <c:pt idx="19">
                  <c:v>3.3000000000000002E-2</c:v>
                </c:pt>
                <c:pt idx="20">
                  <c:v>3.3000000000000002E-2</c:v>
                </c:pt>
                <c:pt idx="21">
                  <c:v>3.3500000000000002E-2</c:v>
                </c:pt>
                <c:pt idx="22">
                  <c:v>3.2300000000000002E-2</c:v>
                </c:pt>
                <c:pt idx="23">
                  <c:v>2.9700000000000001E-2</c:v>
                </c:pt>
                <c:pt idx="24">
                  <c:v>2.76E-2</c:v>
                </c:pt>
                <c:pt idx="25">
                  <c:v>2.4400000000000002E-2</c:v>
                </c:pt>
                <c:pt idx="26">
                  <c:v>2.4799999999999999E-2</c:v>
                </c:pt>
              </c:numCache>
            </c:numRef>
          </c:val>
          <c:smooth val="0"/>
          <c:extLst>
            <c:ext xmlns:c16="http://schemas.microsoft.com/office/drawing/2014/chart" uri="{C3380CC4-5D6E-409C-BE32-E72D297353CC}">
              <c16:uniqueId val="{00000003-BE71-48C1-9A40-FC8F85230CC7}"/>
            </c:ext>
          </c:extLst>
        </c:ser>
        <c:ser>
          <c:idx val="3"/>
          <c:order val="4"/>
          <c:tx>
            <c:strRef>
              <c:f>'[Chart in Microsoft Word]Benchmark stope na sekundarnom'!$F$2</c:f>
              <c:strCache>
                <c:ptCount val="1"/>
                <c:pt idx="0">
                  <c:v>12,5 2020</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sekundarnom'!$F$3:$F$39</c:f>
              <c:numCache>
                <c:formatCode>General</c:formatCode>
                <c:ptCount val="27"/>
                <c:pt idx="13" formatCode="0.00%">
                  <c:v>3.3399999999999999E-2</c:v>
                </c:pt>
                <c:pt idx="14" formatCode="0.00%">
                  <c:v>3.3300000000000003E-2</c:v>
                </c:pt>
                <c:pt idx="15" formatCode="0.00%">
                  <c:v>3.5400000000000001E-2</c:v>
                </c:pt>
                <c:pt idx="16" formatCode="0.00%">
                  <c:v>3.6700000000000003E-2</c:v>
                </c:pt>
                <c:pt idx="17" formatCode="0.00%">
                  <c:v>3.73E-2</c:v>
                </c:pt>
                <c:pt idx="18" formatCode="0.00%">
                  <c:v>3.8899999999999997E-2</c:v>
                </c:pt>
                <c:pt idx="19" formatCode="0.00%">
                  <c:v>3.8800000000000001E-2</c:v>
                </c:pt>
                <c:pt idx="20" formatCode="0.00%">
                  <c:v>3.9199999999999999E-2</c:v>
                </c:pt>
                <c:pt idx="21" formatCode="0.00%">
                  <c:v>4.2500000000000003E-2</c:v>
                </c:pt>
                <c:pt idx="22" formatCode="0.00%">
                  <c:v>4.07E-2</c:v>
                </c:pt>
                <c:pt idx="23" formatCode="0.00%">
                  <c:v>3.7100000000000001E-2</c:v>
                </c:pt>
                <c:pt idx="24" formatCode="0.00%">
                  <c:v>3.44E-2</c:v>
                </c:pt>
                <c:pt idx="25" formatCode="0.00%">
                  <c:v>3.3000000000000002E-2</c:v>
                </c:pt>
                <c:pt idx="26" formatCode="0.00%">
                  <c:v>3.44E-2</c:v>
                </c:pt>
              </c:numCache>
            </c:numRef>
          </c:val>
          <c:smooth val="0"/>
          <c:extLst>
            <c:ext xmlns:c16="http://schemas.microsoft.com/office/drawing/2014/chart" uri="{C3380CC4-5D6E-409C-BE32-E72D297353CC}">
              <c16:uniqueId val="{00000004-BE71-48C1-9A40-FC8F85230CC7}"/>
            </c:ext>
          </c:extLst>
        </c:ser>
        <c:ser>
          <c:idx val="5"/>
          <c:order val="5"/>
          <c:tx>
            <c:strRef>
              <c:f>'[Chart in Microsoft Word]Benchmark stope na sekundarnom'!$G$2</c:f>
              <c:strCache>
                <c:ptCount val="1"/>
                <c:pt idx="0">
                  <c:v>Референтна КС НБС</c:v>
                </c:pt>
              </c:strCache>
            </c:strRef>
          </c:tx>
          <c:marker>
            <c:symbol val="none"/>
          </c:marker>
          <c:cat>
            <c:strRef>
              <c:f>'[Chart in Microsoft Word]Benchmark stope na sekundarnom'!$A$3:$A$39</c:f>
              <c:strCache>
                <c:ptCount val="27"/>
                <c:pt idx="0">
                  <c:v>јануар 2019</c:v>
                </c:pt>
                <c:pt idx="1">
                  <c:v>фебруар 2019</c:v>
                </c:pt>
                <c:pt idx="2">
                  <c:v>март 2019</c:v>
                </c:pt>
                <c:pt idx="3">
                  <c:v>април 2019</c:v>
                </c:pt>
                <c:pt idx="4">
                  <c:v>мај 2019</c:v>
                </c:pt>
                <c:pt idx="5">
                  <c:v>јун 2019</c:v>
                </c:pt>
                <c:pt idx="6">
                  <c:v>јул 2019</c:v>
                </c:pt>
                <c:pt idx="7">
                  <c:v>август 2019</c:v>
                </c:pt>
                <c:pt idx="8">
                  <c:v>септембар 2019</c:v>
                </c:pt>
                <c:pt idx="9">
                  <c:v>октобар 2019</c:v>
                </c:pt>
                <c:pt idx="10">
                  <c:v>новембар 2019</c:v>
                </c:pt>
                <c:pt idx="11">
                  <c:v>децембар 2019</c:v>
                </c:pt>
                <c:pt idx="12">
                  <c:v>јануар 2020</c:v>
                </c:pt>
                <c:pt idx="13">
                  <c:v>фебруар 2020</c:v>
                </c:pt>
                <c:pt idx="14">
                  <c:v>март 2020</c:v>
                </c:pt>
                <c:pt idx="15">
                  <c:v>април 2020</c:v>
                </c:pt>
                <c:pt idx="16">
                  <c:v>мај 2020</c:v>
                </c:pt>
                <c:pt idx="17">
                  <c:v>јун 2020</c:v>
                </c:pt>
                <c:pt idx="18">
                  <c:v>јул 2020</c:v>
                </c:pt>
                <c:pt idx="19">
                  <c:v>август 2020</c:v>
                </c:pt>
                <c:pt idx="20">
                  <c:v>септембар 2020</c:v>
                </c:pt>
                <c:pt idx="21">
                  <c:v>октобар 2020</c:v>
                </c:pt>
                <c:pt idx="22">
                  <c:v>новембар 2020</c:v>
                </c:pt>
                <c:pt idx="23">
                  <c:v>децембар 2020</c:v>
                </c:pt>
                <c:pt idx="24">
                  <c:v>јануар 2021</c:v>
                </c:pt>
                <c:pt idx="25">
                  <c:v>фебруар 2021</c:v>
                </c:pt>
                <c:pt idx="26">
                  <c:v>март 2021</c:v>
                </c:pt>
              </c:strCache>
            </c:strRef>
          </c:cat>
          <c:val>
            <c:numRef>
              <c:f>'[Chart in Microsoft Word]Benchmark stope na sekundarnom'!$G$3:$G$39</c:f>
              <c:numCache>
                <c:formatCode>0.00%</c:formatCode>
                <c:ptCount val="27"/>
                <c:pt idx="0">
                  <c:v>0.03</c:v>
                </c:pt>
                <c:pt idx="1">
                  <c:v>0.03</c:v>
                </c:pt>
                <c:pt idx="2">
                  <c:v>0.03</c:v>
                </c:pt>
                <c:pt idx="3">
                  <c:v>2.75E-2</c:v>
                </c:pt>
                <c:pt idx="4">
                  <c:v>2.75E-2</c:v>
                </c:pt>
                <c:pt idx="5">
                  <c:v>2.75E-2</c:v>
                </c:pt>
                <c:pt idx="6">
                  <c:v>2.75E-2</c:v>
                </c:pt>
                <c:pt idx="7">
                  <c:v>2.5000000000000001E-2</c:v>
                </c:pt>
                <c:pt idx="8">
                  <c:v>2.5000000000000001E-2</c:v>
                </c:pt>
                <c:pt idx="9">
                  <c:v>2.5000000000000001E-2</c:v>
                </c:pt>
                <c:pt idx="10">
                  <c:v>2.2499999999999999E-2</c:v>
                </c:pt>
                <c:pt idx="11">
                  <c:v>2.2499999999999999E-2</c:v>
                </c:pt>
                <c:pt idx="12">
                  <c:v>2.2499999999999999E-2</c:v>
                </c:pt>
                <c:pt idx="13">
                  <c:v>2.2499999999999999E-2</c:v>
                </c:pt>
                <c:pt idx="14">
                  <c:v>1.7500000000000002E-2</c:v>
                </c:pt>
                <c:pt idx="15">
                  <c:v>1.7500000000000002E-2</c:v>
                </c:pt>
                <c:pt idx="16">
                  <c:v>1.4999999999999999E-2</c:v>
                </c:pt>
                <c:pt idx="17">
                  <c:v>1.2500000000000001E-2</c:v>
                </c:pt>
                <c:pt idx="18">
                  <c:v>1.2500000000000001E-2</c:v>
                </c:pt>
                <c:pt idx="19">
                  <c:v>1.2500000000000001E-2</c:v>
                </c:pt>
                <c:pt idx="20">
                  <c:v>1.2500000000000001E-2</c:v>
                </c:pt>
                <c:pt idx="21">
                  <c:v>1.2500000000000001E-2</c:v>
                </c:pt>
                <c:pt idx="22">
                  <c:v>1.2500000000000001E-2</c:v>
                </c:pt>
                <c:pt idx="23">
                  <c:v>0.01</c:v>
                </c:pt>
                <c:pt idx="24">
                  <c:v>0.01</c:v>
                </c:pt>
                <c:pt idx="25">
                  <c:v>0.01</c:v>
                </c:pt>
                <c:pt idx="26">
                  <c:v>0.01</c:v>
                </c:pt>
              </c:numCache>
            </c:numRef>
          </c:val>
          <c:smooth val="0"/>
          <c:extLst>
            <c:ext xmlns:c16="http://schemas.microsoft.com/office/drawing/2014/chart" uri="{C3380CC4-5D6E-409C-BE32-E72D297353CC}">
              <c16:uniqueId val="{00000005-BE71-48C1-9A40-FC8F85230CC7}"/>
            </c:ext>
          </c:extLst>
        </c:ser>
        <c:dLbls>
          <c:showLegendKey val="0"/>
          <c:showVal val="0"/>
          <c:showCatName val="0"/>
          <c:showSerName val="0"/>
          <c:showPercent val="0"/>
          <c:showBubbleSize val="0"/>
        </c:dLbls>
        <c:smooth val="0"/>
        <c:axId val="254869232"/>
        <c:axId val="254869624"/>
      </c:lineChart>
      <c:catAx>
        <c:axId val="254869232"/>
        <c:scaling>
          <c:orientation val="minMax"/>
        </c:scaling>
        <c:delete val="0"/>
        <c:axPos val="b"/>
        <c:numFmt formatCode="General" sourceLinked="1"/>
        <c:majorTickMark val="out"/>
        <c:minorTickMark val="none"/>
        <c:tickLblPos val="nextTo"/>
        <c:spPr>
          <a:ln>
            <a:solidFill>
              <a:srgbClr val="44546A"/>
            </a:solidFill>
          </a:ln>
        </c:spPr>
        <c:txPr>
          <a:bodyPr/>
          <a:lstStyle/>
          <a:p>
            <a:pPr>
              <a:defRPr>
                <a:solidFill>
                  <a:srgbClr val="44546A"/>
                </a:solidFill>
              </a:defRPr>
            </a:pPr>
            <a:endParaRPr lang="sr-Latn-RS"/>
          </a:p>
        </c:txPr>
        <c:crossAx val="254869624"/>
        <c:crosses val="autoZero"/>
        <c:auto val="1"/>
        <c:lblAlgn val="ctr"/>
        <c:lblOffset val="100"/>
        <c:noMultiLvlLbl val="1"/>
      </c:catAx>
      <c:valAx>
        <c:axId val="254869624"/>
        <c:scaling>
          <c:orientation val="minMax"/>
          <c:max val="6.0000000000000012E-2"/>
          <c:min val="0"/>
        </c:scaling>
        <c:delete val="0"/>
        <c:axPos val="l"/>
        <c:numFmt formatCode="0.0%" sourceLinked="0"/>
        <c:majorTickMark val="out"/>
        <c:minorTickMark val="none"/>
        <c:tickLblPos val="nextTo"/>
        <c:txPr>
          <a:bodyPr/>
          <a:lstStyle/>
          <a:p>
            <a:pPr>
              <a:defRPr>
                <a:solidFill>
                  <a:srgbClr val="44546A"/>
                </a:solidFill>
              </a:defRPr>
            </a:pPr>
            <a:endParaRPr lang="sr-Latn-RS"/>
          </a:p>
        </c:txPr>
        <c:crossAx val="254869232"/>
        <c:crosses val="autoZero"/>
        <c:crossBetween val="between"/>
      </c:valAx>
      <c:spPr>
        <a:pattFill prst="dotGrid">
          <a:fgClr>
            <a:srgbClr val="000000">
              <a:alpha val="0"/>
            </a:srgbClr>
          </a:fgClr>
          <a:bgClr>
            <a:srgbClr val="FFFFFF"/>
          </a:bgClr>
        </a:pattFill>
        <a:ln w="25400">
          <a:noFill/>
        </a:ln>
      </c:spPr>
    </c:plotArea>
    <c:legend>
      <c:legendPos val="b"/>
      <c:layout>
        <c:manualLayout>
          <c:xMode val="edge"/>
          <c:yMode val="edge"/>
          <c:x val="3.7069672068821335E-2"/>
          <c:y val="0.83778766784586711"/>
          <c:w val="0.91744620492715312"/>
          <c:h val="0.13546958804062537"/>
        </c:manualLayout>
      </c:layout>
      <c:overlay val="0"/>
      <c:txPr>
        <a:bodyPr/>
        <a:lstStyle/>
        <a:p>
          <a:pPr>
            <a:defRPr>
              <a:solidFill>
                <a:srgbClr val="44546A"/>
              </a:solidFill>
            </a:defRPr>
          </a:pPr>
          <a:endParaRPr lang="sr-Latn-RS"/>
        </a:p>
      </c:txPr>
    </c:legend>
    <c:plotVisOnly val="1"/>
    <c:dispBlanksAs val="gap"/>
    <c:showDLblsOverMax val="0"/>
  </c:chart>
  <c:spPr>
    <a:ln>
      <a:noFill/>
    </a:ln>
  </c:spPr>
  <c:txPr>
    <a:bodyPr/>
    <a:lstStyle/>
    <a:p>
      <a:pPr>
        <a:defRPr sz="600">
          <a:solidFill>
            <a:schemeClr val="tx2"/>
          </a:solidFill>
        </a:defRPr>
      </a:pPr>
      <a:endParaRPr lang="sr-Latn-RS"/>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689145095651171E-2"/>
          <c:y val="7.1831046892334341E-2"/>
          <c:w val="0.8732576954888811"/>
          <c:h val="0.51934410260573094"/>
        </c:manualLayout>
      </c:layout>
      <c:lineChart>
        <c:grouping val="standard"/>
        <c:varyColors val="0"/>
        <c:ser>
          <c:idx val="0"/>
          <c:order val="0"/>
          <c:tx>
            <c:v>Просечно време до доспећа динарских ХоВ</c:v>
          </c:tx>
          <c:spPr>
            <a:ln w="28575" cap="rnd">
              <a:solidFill>
                <a:schemeClr val="accent1"/>
              </a:solidFill>
              <a:round/>
            </a:ln>
            <a:effectLst/>
          </c:spPr>
          <c:marker>
            <c:symbol val="none"/>
          </c:marker>
          <c:dLbls>
            <c:dLbl>
              <c:idx val="36"/>
              <c:layout>
                <c:manualLayout>
                  <c:x val="-3.3884791708192148E-2"/>
                  <c:y val="0.1168387585572422"/>
                </c:manualLayout>
              </c:layout>
              <c:showLegendKey val="0"/>
              <c:showVal val="1"/>
              <c:showCatName val="0"/>
              <c:showSerName val="0"/>
              <c:showPercent val="0"/>
              <c:showBubbleSize val="0"/>
              <c:extLst>
                <c:ext xmlns:c15="http://schemas.microsoft.com/office/drawing/2012/chart" uri="{CE6537A1-D6FC-4f65-9D91-7224C49458BB}">
                  <c15:layout>
                    <c:manualLayout>
                      <c:w val="0.11530810990663241"/>
                      <c:h val="0.16484563140947583"/>
                    </c:manualLayout>
                  </c15:layout>
                </c:ext>
                <c:ext xmlns:c16="http://schemas.microsoft.com/office/drawing/2014/chart" uri="{C3380CC4-5D6E-409C-BE32-E72D297353CC}">
                  <c16:uniqueId val="{00000000-2ABB-4F04-AF1B-0B373479A111}"/>
                </c:ext>
              </c:extLst>
            </c:dLbl>
            <c:dLbl>
              <c:idx val="48"/>
              <c:layout>
                <c:manualLayout>
                  <c:x val="-4.4150105259180318E-3"/>
                  <c:y val="0.111111111111111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ABB-4F04-AF1B-0B373479A111}"/>
                </c:ext>
              </c:extLst>
            </c:dLbl>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ATM!$B$80:$B$123</c:f>
              <c:strCache>
                <c:ptCount val="37"/>
                <c:pt idx="0">
                  <c:v>Јануар 2017</c:v>
                </c:pt>
                <c:pt idx="1">
                  <c:v>Фебруар 2017</c:v>
                </c:pt>
                <c:pt idx="2">
                  <c:v>Март 2017</c:v>
                </c:pt>
                <c:pt idx="3">
                  <c:v>Април 2017</c:v>
                </c:pt>
                <c:pt idx="4">
                  <c:v>Мај 2017</c:v>
                </c:pt>
                <c:pt idx="5">
                  <c:v>Јануар 2018</c:v>
                </c:pt>
                <c:pt idx="6">
                  <c:v>Фебруар 2018</c:v>
                </c:pt>
                <c:pt idx="7">
                  <c:v>Март 2018</c:v>
                </c:pt>
                <c:pt idx="8">
                  <c:v>Април 2018</c:v>
                </c:pt>
                <c:pt idx="9">
                  <c:v>Мај 2018</c:v>
                </c:pt>
                <c:pt idx="10">
                  <c:v>Јун 2018</c:v>
                </c:pt>
                <c:pt idx="11">
                  <c:v>Јул 2018</c:v>
                </c:pt>
                <c:pt idx="12">
                  <c:v>Август 2018</c:v>
                </c:pt>
                <c:pt idx="13">
                  <c:v>Септембар 2018</c:v>
                </c:pt>
                <c:pt idx="14">
                  <c:v>Октобар 2018</c:v>
                </c:pt>
                <c:pt idx="15">
                  <c:v>Новембар 2018</c:v>
                </c:pt>
                <c:pt idx="16">
                  <c:v>Децембар 2018</c:v>
                </c:pt>
                <c:pt idx="17">
                  <c:v>Јануар 2019</c:v>
                </c:pt>
                <c:pt idx="18">
                  <c:v>Фебруар 2019</c:v>
                </c:pt>
                <c:pt idx="19">
                  <c:v>Март 2019</c:v>
                </c:pt>
                <c:pt idx="20">
                  <c:v>Април 2019</c:v>
                </c:pt>
                <c:pt idx="21">
                  <c:v>Мај 2019</c:v>
                </c:pt>
                <c:pt idx="22">
                  <c:v>Јун 2019</c:v>
                </c:pt>
                <c:pt idx="23">
                  <c:v>Јул 2019</c:v>
                </c:pt>
                <c:pt idx="24">
                  <c:v>Август 2019</c:v>
                </c:pt>
                <c:pt idx="25">
                  <c:v>Септембар 2019</c:v>
                </c:pt>
                <c:pt idx="26">
                  <c:v>Октобар 2019</c:v>
                </c:pt>
                <c:pt idx="27">
                  <c:v>Новембар 2019</c:v>
                </c:pt>
                <c:pt idx="28">
                  <c:v>Децембар 2019</c:v>
                </c:pt>
                <c:pt idx="29">
                  <c:v>Август 2020</c:v>
                </c:pt>
                <c:pt idx="30">
                  <c:v>Септембар 2020</c:v>
                </c:pt>
                <c:pt idx="31">
                  <c:v>Октобар 2020</c:v>
                </c:pt>
                <c:pt idx="32">
                  <c:v>Новембар 2020</c:v>
                </c:pt>
                <c:pt idx="33">
                  <c:v>Децембар 2020</c:v>
                </c:pt>
                <c:pt idx="34">
                  <c:v>Јануар 2021</c:v>
                </c:pt>
                <c:pt idx="35">
                  <c:v>Фебруар 2021</c:v>
                </c:pt>
                <c:pt idx="36">
                  <c:v>Март 2021</c:v>
                </c:pt>
              </c:strCache>
              <c:extLst/>
            </c:strRef>
          </c:cat>
          <c:val>
            <c:numRef>
              <c:f>ATM!$C$80:$C$123</c:f>
              <c:numCache>
                <c:formatCode>#,##0.000</c:formatCode>
                <c:ptCount val="37"/>
                <c:pt idx="0">
                  <c:v>2.2744431578203148</c:v>
                </c:pt>
                <c:pt idx="1">
                  <c:v>2.3055766178030832</c:v>
                </c:pt>
                <c:pt idx="2">
                  <c:v>2.2577478731007421</c:v>
                </c:pt>
                <c:pt idx="3">
                  <c:v>2.3322430500000744</c:v>
                </c:pt>
                <c:pt idx="4">
                  <c:v>2.45314292546017</c:v>
                </c:pt>
                <c:pt idx="5">
                  <c:v>2.3888429254601702</c:v>
                </c:pt>
                <c:pt idx="6">
                  <c:v>2.9749044523125296</c:v>
                </c:pt>
                <c:pt idx="7">
                  <c:v>3.4579408470312272</c:v>
                </c:pt>
                <c:pt idx="8">
                  <c:v>3.5996024262553723</c:v>
                </c:pt>
                <c:pt idx="9">
                  <c:v>3.7459899092751501</c:v>
                </c:pt>
                <c:pt idx="10">
                  <c:v>3.8456126939231798</c:v>
                </c:pt>
                <c:pt idx="11">
                  <c:v>3.91921816133204</c:v>
                </c:pt>
                <c:pt idx="12">
                  <c:v>3.9531429259053499</c:v>
                </c:pt>
                <c:pt idx="13">
                  <c:v>3.5418962713980511</c:v>
                </c:pt>
                <c:pt idx="14">
                  <c:v>3.4569647645487356</c:v>
                </c:pt>
                <c:pt idx="15">
                  <c:v>3.4226839888154408</c:v>
                </c:pt>
                <c:pt idx="16">
                  <c:v>3.3845972032956824</c:v>
                </c:pt>
                <c:pt idx="17">
                  <c:v>3.5019999999999998</c:v>
                </c:pt>
                <c:pt idx="18">
                  <c:v>3.9489999999999998</c:v>
                </c:pt>
                <c:pt idx="19">
                  <c:v>3.871</c:v>
                </c:pt>
                <c:pt idx="20">
                  <c:v>3.8358191367510268</c:v>
                </c:pt>
                <c:pt idx="21">
                  <c:v>3.908687907298674</c:v>
                </c:pt>
                <c:pt idx="22">
                  <c:v>3.9534817092905126</c:v>
                </c:pt>
                <c:pt idx="23">
                  <c:v>3.9447309159295449</c:v>
                </c:pt>
                <c:pt idx="24">
                  <c:v>3.9282126458596296</c:v>
                </c:pt>
                <c:pt idx="25">
                  <c:v>3.8690069319821903</c:v>
                </c:pt>
                <c:pt idx="26">
                  <c:v>3.9349961244927654</c:v>
                </c:pt>
                <c:pt idx="27">
                  <c:v>3.8636732823398314</c:v>
                </c:pt>
                <c:pt idx="28">
                  <c:v>3.8444332330566096</c:v>
                </c:pt>
                <c:pt idx="29">
                  <c:v>3.7396182566764304</c:v>
                </c:pt>
                <c:pt idx="30" formatCode="#,##0.0">
                  <c:v>3.7396182566764304</c:v>
                </c:pt>
                <c:pt idx="31">
                  <c:v>3.88</c:v>
                </c:pt>
                <c:pt idx="32">
                  <c:v>3.94</c:v>
                </c:pt>
                <c:pt idx="33">
                  <c:v>3.92</c:v>
                </c:pt>
                <c:pt idx="34">
                  <c:v>4.05</c:v>
                </c:pt>
                <c:pt idx="35">
                  <c:v>4.01</c:v>
                </c:pt>
                <c:pt idx="36" formatCode="#,##0.00">
                  <c:v>3.98</c:v>
                </c:pt>
              </c:numCache>
              <c:extLst/>
            </c:numRef>
          </c:val>
          <c:smooth val="0"/>
          <c:extLst>
            <c:ext xmlns:c16="http://schemas.microsoft.com/office/drawing/2014/chart" uri="{C3380CC4-5D6E-409C-BE32-E72D297353CC}">
              <c16:uniqueId val="{00000002-2ABB-4F04-AF1B-0B373479A111}"/>
            </c:ext>
          </c:extLst>
        </c:ser>
        <c:ser>
          <c:idx val="1"/>
          <c:order val="1"/>
          <c:tx>
            <c:v>Просечно време до доспећа еурских ХоВ</c:v>
          </c:tx>
          <c:spPr>
            <a:ln w="28575" cap="rnd">
              <a:solidFill>
                <a:schemeClr val="accent2"/>
              </a:solidFill>
              <a:round/>
            </a:ln>
            <a:effectLst/>
          </c:spPr>
          <c:marker>
            <c:symbol val="none"/>
          </c:marker>
          <c:dLbls>
            <c:dLbl>
              <c:idx val="36"/>
              <c:layout>
                <c:manualLayout>
                  <c:x val="-6.776958341638429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ABB-4F04-AF1B-0B373479A111}"/>
                </c:ext>
              </c:extLst>
            </c:dLbl>
            <c:dLbl>
              <c:idx val="48"/>
              <c:layout>
                <c:manualLayout>
                  <c:x val="-1.4716701753060466E-3"/>
                  <c:y val="-5.5555555555555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ABB-4F04-AF1B-0B373479A111}"/>
                </c:ext>
              </c:extLst>
            </c:dLbl>
            <c:spPr>
              <a:noFill/>
              <a:ln>
                <a:noFill/>
              </a:ln>
              <a:effectLst/>
            </c:spPr>
            <c:txPr>
              <a:bodyPr rot="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ATM!$B$80:$B$123</c:f>
              <c:strCache>
                <c:ptCount val="37"/>
                <c:pt idx="0">
                  <c:v>Јануар 2017</c:v>
                </c:pt>
                <c:pt idx="1">
                  <c:v>Фебруар 2017</c:v>
                </c:pt>
                <c:pt idx="2">
                  <c:v>Март 2017</c:v>
                </c:pt>
                <c:pt idx="3">
                  <c:v>Април 2017</c:v>
                </c:pt>
                <c:pt idx="4">
                  <c:v>Мај 2017</c:v>
                </c:pt>
                <c:pt idx="5">
                  <c:v>Јануар 2018</c:v>
                </c:pt>
                <c:pt idx="6">
                  <c:v>Фебруар 2018</c:v>
                </c:pt>
                <c:pt idx="7">
                  <c:v>Март 2018</c:v>
                </c:pt>
                <c:pt idx="8">
                  <c:v>Април 2018</c:v>
                </c:pt>
                <c:pt idx="9">
                  <c:v>Мај 2018</c:v>
                </c:pt>
                <c:pt idx="10">
                  <c:v>Јун 2018</c:v>
                </c:pt>
                <c:pt idx="11">
                  <c:v>Јул 2018</c:v>
                </c:pt>
                <c:pt idx="12">
                  <c:v>Август 2018</c:v>
                </c:pt>
                <c:pt idx="13">
                  <c:v>Септембар 2018</c:v>
                </c:pt>
                <c:pt idx="14">
                  <c:v>Октобар 2018</c:v>
                </c:pt>
                <c:pt idx="15">
                  <c:v>Новембар 2018</c:v>
                </c:pt>
                <c:pt idx="16">
                  <c:v>Децембар 2018</c:v>
                </c:pt>
                <c:pt idx="17">
                  <c:v>Јануар 2019</c:v>
                </c:pt>
                <c:pt idx="18">
                  <c:v>Фебруар 2019</c:v>
                </c:pt>
                <c:pt idx="19">
                  <c:v>Март 2019</c:v>
                </c:pt>
                <c:pt idx="20">
                  <c:v>Април 2019</c:v>
                </c:pt>
                <c:pt idx="21">
                  <c:v>Мај 2019</c:v>
                </c:pt>
                <c:pt idx="22">
                  <c:v>Јун 2019</c:v>
                </c:pt>
                <c:pt idx="23">
                  <c:v>Јул 2019</c:v>
                </c:pt>
                <c:pt idx="24">
                  <c:v>Август 2019</c:v>
                </c:pt>
                <c:pt idx="25">
                  <c:v>Септембар 2019</c:v>
                </c:pt>
                <c:pt idx="26">
                  <c:v>Октобар 2019</c:v>
                </c:pt>
                <c:pt idx="27">
                  <c:v>Новембар 2019</c:v>
                </c:pt>
                <c:pt idx="28">
                  <c:v>Децембар 2019</c:v>
                </c:pt>
                <c:pt idx="29">
                  <c:v>Август 2020</c:v>
                </c:pt>
                <c:pt idx="30">
                  <c:v>Септембар 2020</c:v>
                </c:pt>
                <c:pt idx="31">
                  <c:v>Октобар 2020</c:v>
                </c:pt>
                <c:pt idx="32">
                  <c:v>Новембар 2020</c:v>
                </c:pt>
                <c:pt idx="33">
                  <c:v>Децембар 2020</c:v>
                </c:pt>
                <c:pt idx="34">
                  <c:v>Јануар 2021</c:v>
                </c:pt>
                <c:pt idx="35">
                  <c:v>Фебруар 2021</c:v>
                </c:pt>
                <c:pt idx="36">
                  <c:v>Март 2021</c:v>
                </c:pt>
              </c:strCache>
              <c:extLst/>
            </c:strRef>
          </c:cat>
          <c:val>
            <c:numRef>
              <c:f>ATM!$D$80:$D$123</c:f>
              <c:numCache>
                <c:formatCode>#,##0.000</c:formatCode>
                <c:ptCount val="37"/>
                <c:pt idx="0">
                  <c:v>3.0767465391094229</c:v>
                </c:pt>
                <c:pt idx="1">
                  <c:v>3.1861380112999025</c:v>
                </c:pt>
                <c:pt idx="2">
                  <c:v>3.3145522287372806</c:v>
                </c:pt>
                <c:pt idx="3">
                  <c:v>3.2252300220400598</c:v>
                </c:pt>
                <c:pt idx="4">
                  <c:v>3.1921816133204102</c:v>
                </c:pt>
                <c:pt idx="5">
                  <c:v>3.3850251959053499</c:v>
                </c:pt>
                <c:pt idx="6">
                  <c:v>3.4768906815133001</c:v>
                </c:pt>
                <c:pt idx="7">
                  <c:v>3.6421450414399521</c:v>
                </c:pt>
                <c:pt idx="8">
                  <c:v>3.6610010970593514</c:v>
                </c:pt>
                <c:pt idx="9">
                  <c:v>3.6768906815132998</c:v>
                </c:pt>
                <c:pt idx="10">
                  <c:v>3.6939659391674602</c:v>
                </c:pt>
                <c:pt idx="11">
                  <c:v>3.7145641398248901</c:v>
                </c:pt>
                <c:pt idx="12">
                  <c:v>3.7508718497823201</c:v>
                </c:pt>
                <c:pt idx="13">
                  <c:v>3.7250000000000001</c:v>
                </c:pt>
                <c:pt idx="14">
                  <c:v>3.639666374694055</c:v>
                </c:pt>
                <c:pt idx="15">
                  <c:v>3.5569999999999999</c:v>
                </c:pt>
                <c:pt idx="16">
                  <c:v>3.532</c:v>
                </c:pt>
                <c:pt idx="17">
                  <c:v>3.9140000000000001</c:v>
                </c:pt>
                <c:pt idx="18">
                  <c:v>4.0759999999999996</c:v>
                </c:pt>
                <c:pt idx="19">
                  <c:v>3.9870000000000001</c:v>
                </c:pt>
                <c:pt idx="20">
                  <c:v>3.9697855596679679</c:v>
                </c:pt>
                <c:pt idx="21">
                  <c:v>3.9725148540982271</c:v>
                </c:pt>
                <c:pt idx="22">
                  <c:v>4.2471234195046668</c:v>
                </c:pt>
                <c:pt idx="23">
                  <c:v>4.1749257654509879</c:v>
                </c:pt>
                <c:pt idx="24">
                  <c:v>4.167188937210339</c:v>
                </c:pt>
                <c:pt idx="25">
                  <c:v>4.125897801213652</c:v>
                </c:pt>
                <c:pt idx="26">
                  <c:v>4.0601012479141136</c:v>
                </c:pt>
                <c:pt idx="27">
                  <c:v>3.9779094670921955</c:v>
                </c:pt>
                <c:pt idx="28">
                  <c:v>3.8942668177798891</c:v>
                </c:pt>
                <c:pt idx="29">
                  <c:v>4.7373563507009235</c:v>
                </c:pt>
                <c:pt idx="30" formatCode="#,##0.0">
                  <c:v>4.7373563507009235</c:v>
                </c:pt>
                <c:pt idx="31">
                  <c:v>4.74</c:v>
                </c:pt>
                <c:pt idx="32">
                  <c:v>4.7</c:v>
                </c:pt>
                <c:pt idx="33">
                  <c:v>4.71</c:v>
                </c:pt>
                <c:pt idx="34">
                  <c:v>4.62</c:v>
                </c:pt>
                <c:pt idx="35">
                  <c:v>5.09</c:v>
                </c:pt>
                <c:pt idx="36" formatCode="#,##0.00">
                  <c:v>5.34</c:v>
                </c:pt>
              </c:numCache>
              <c:extLst/>
            </c:numRef>
          </c:val>
          <c:smooth val="0"/>
          <c:extLst>
            <c:ext xmlns:c16="http://schemas.microsoft.com/office/drawing/2014/chart" uri="{C3380CC4-5D6E-409C-BE32-E72D297353CC}">
              <c16:uniqueId val="{00000005-2ABB-4F04-AF1B-0B373479A111}"/>
            </c:ext>
          </c:extLst>
        </c:ser>
        <c:dLbls>
          <c:showLegendKey val="0"/>
          <c:showVal val="0"/>
          <c:showCatName val="0"/>
          <c:showSerName val="0"/>
          <c:showPercent val="0"/>
          <c:showBubbleSize val="0"/>
        </c:dLbls>
        <c:smooth val="0"/>
        <c:axId val="272849056"/>
        <c:axId val="272849448"/>
      </c:lineChart>
      <c:catAx>
        <c:axId val="272849056"/>
        <c:scaling>
          <c:orientation val="minMax"/>
        </c:scaling>
        <c:delete val="0"/>
        <c:axPos val="b"/>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crossAx val="272849448"/>
        <c:crosses val="autoZero"/>
        <c:auto val="0"/>
        <c:lblAlgn val="ctr"/>
        <c:lblOffset val="100"/>
        <c:noMultiLvlLbl val="0"/>
      </c:catAx>
      <c:valAx>
        <c:axId val="272849448"/>
        <c:scaling>
          <c:orientation val="minMax"/>
          <c:max val="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2"/>
                </a:solidFill>
                <a:latin typeface="+mn-lt"/>
                <a:ea typeface="+mn-ea"/>
                <a:cs typeface="+mn-cs"/>
              </a:defRPr>
            </a:pPr>
            <a:endParaRPr lang="sr-Latn-RS"/>
          </a:p>
        </c:txPr>
        <c:crossAx val="272849056"/>
        <c:crossesAt val="1"/>
        <c:crossBetween val="between"/>
      </c:valAx>
      <c:spPr>
        <a:noFill/>
        <a:ln>
          <a:noFill/>
        </a:ln>
        <a:effectLst/>
      </c:spPr>
    </c:plotArea>
    <c:legend>
      <c:legendPos val="b"/>
      <c:layout>
        <c:manualLayout>
          <c:xMode val="edge"/>
          <c:yMode val="edge"/>
          <c:x val="0.10781594488188977"/>
          <c:y val="0.84357767134778261"/>
          <c:w val="0.78036502662600704"/>
          <c:h val="0.15642232865221745"/>
        </c:manualLayout>
      </c:layout>
      <c:overlay val="0"/>
      <c:spPr>
        <a:noFill/>
        <a:ln>
          <a:noFill/>
        </a:ln>
        <a:effectLst/>
      </c:spPr>
      <c:txPr>
        <a:bodyPr rot="0" spcFirstLastPara="1" vertOverflow="ellipsis" vert="horz" wrap="square" anchor="ctr" anchorCtr="1"/>
        <a:lstStyle/>
        <a:p>
          <a:pPr>
            <a:defRPr sz="600" b="0" i="0" u="none" strike="noStrike" kern="1200" baseline="0">
              <a:solidFill>
                <a:srgbClr val="44546A"/>
              </a:solidFill>
              <a:latin typeface="+mn-lt"/>
              <a:ea typeface="+mn-ea"/>
              <a:cs typeface="+mn-cs"/>
            </a:defRPr>
          </a:pPr>
          <a:endParaRPr lang="sr-Latn-RS"/>
        </a:p>
      </c:txPr>
    </c:legend>
    <c:plotVisOnly val="1"/>
    <c:dispBlanksAs val="gap"/>
    <c:showDLblsOverMax val="0"/>
  </c:chart>
  <c:spPr>
    <a:solidFill>
      <a:schemeClr val="bg1"/>
    </a:solidFill>
    <a:ln w="9525" cap="flat" cmpd="sng" algn="ctr">
      <a:noFill/>
      <a:round/>
    </a:ln>
    <a:effectLst/>
  </c:spPr>
  <c:txPr>
    <a:bodyPr/>
    <a:lstStyle/>
    <a:p>
      <a:pPr>
        <a:defRPr sz="600">
          <a:solidFill>
            <a:schemeClr val="tx2"/>
          </a:solidFill>
        </a:defRPr>
      </a:pPr>
      <a:endParaRPr lang="sr-Latn-R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0.17162162162162162"/>
          <c:w val="0.91418918918918923"/>
          <c:h val="0.72349849849849845"/>
        </c:manualLayout>
      </c:layout>
      <c:barChart>
        <c:barDir val="col"/>
        <c:grouping val="clustered"/>
        <c:varyColors val="0"/>
        <c:ser>
          <c:idx val="0"/>
          <c:order val="0"/>
          <c:tx>
            <c:strRef>
              <c:f>'Osn. makroekon. agregati'!$B$6</c:f>
              <c:strCache>
                <c:ptCount val="1"/>
                <c:pt idx="0">
                  <c:v>Дефицит текућег рачуна, % БДП</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240F-4D89-AA4C-E82A13E82725}"/>
              </c:ext>
            </c:extLst>
          </c:dPt>
          <c:dPt>
            <c:idx val="1"/>
            <c:invertIfNegative val="0"/>
            <c:bubble3D val="0"/>
            <c:spPr>
              <a:solidFill>
                <a:srgbClr val="ED1C24"/>
              </a:solidFill>
              <a:ln>
                <a:noFill/>
              </a:ln>
              <a:effectLst/>
            </c:spPr>
            <c:extLst>
              <c:ext xmlns:c16="http://schemas.microsoft.com/office/drawing/2014/chart" uri="{C3380CC4-5D6E-409C-BE32-E72D297353CC}">
                <c16:uniqueId val="{00000003-240F-4D89-AA4C-E82A13E82725}"/>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40F-4D89-AA4C-E82A13E82725}"/>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40F-4D89-AA4C-E82A13E827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agregati'!$E$6,'Osn. makroekon. agregati'!$F$6)</c:f>
              <c:numCache>
                <c:formatCode>0.0</c:formatCode>
                <c:ptCount val="2"/>
                <c:pt idx="0">
                  <c:v>-5.5</c:v>
                </c:pt>
                <c:pt idx="1">
                  <c:v>-5.3</c:v>
                </c:pt>
              </c:numCache>
            </c:numRef>
          </c:val>
          <c:extLst>
            <c:ext xmlns:c16="http://schemas.microsoft.com/office/drawing/2014/chart" uri="{C3380CC4-5D6E-409C-BE32-E72D297353CC}">
              <c16:uniqueId val="{00000004-240F-4D89-AA4C-E82A13E82725}"/>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2022</a:t>
                </a:r>
              </a:p>
            </c:rich>
          </c:tx>
          <c:layout>
            <c:manualLayout>
              <c:xMode val="edge"/>
              <c:yMode val="edge"/>
              <c:x val="0.37948348348348349"/>
              <c:y val="7.3190476190476209E-3"/>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0"/>
          <c:min val="-8"/>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138138138138135E-2"/>
          <c:y val="8.867129629629629E-2"/>
          <c:w val="0.91418918918918923"/>
          <c:h val="0.72349849849849845"/>
        </c:manualLayout>
      </c:layout>
      <c:barChart>
        <c:barDir val="col"/>
        <c:grouping val="clustered"/>
        <c:varyColors val="0"/>
        <c:ser>
          <c:idx val="0"/>
          <c:order val="0"/>
          <c:tx>
            <c:strRef>
              <c:f>'Osn. makroekon. agregati'!$B$7</c:f>
              <c:strCache>
                <c:ptCount val="1"/>
                <c:pt idx="0">
                  <c:v>Инфлација, %</c:v>
                </c:pt>
              </c:strCache>
            </c:strRef>
          </c:tx>
          <c:spPr>
            <a:solidFill>
              <a:schemeClr val="accent1"/>
            </a:solidFill>
            <a:ln>
              <a:noFill/>
            </a:ln>
            <a:effectLst/>
          </c:spPr>
          <c:invertIfNegative val="0"/>
          <c:dPt>
            <c:idx val="0"/>
            <c:invertIfNegative val="0"/>
            <c:bubble3D val="0"/>
            <c:spPr>
              <a:solidFill>
                <a:srgbClr val="29489A"/>
              </a:solidFill>
              <a:ln>
                <a:noFill/>
              </a:ln>
              <a:effectLst/>
            </c:spPr>
            <c:extLst>
              <c:ext xmlns:c16="http://schemas.microsoft.com/office/drawing/2014/chart" uri="{C3380CC4-5D6E-409C-BE32-E72D297353CC}">
                <c16:uniqueId val="{00000001-A533-458B-99B4-F8D96900733F}"/>
              </c:ext>
            </c:extLst>
          </c:dPt>
          <c:dPt>
            <c:idx val="1"/>
            <c:invertIfNegative val="0"/>
            <c:bubble3D val="0"/>
            <c:spPr>
              <a:solidFill>
                <a:srgbClr val="ED1C24"/>
              </a:solidFill>
              <a:ln>
                <a:noFill/>
              </a:ln>
              <a:effectLst/>
            </c:spPr>
            <c:extLst>
              <c:ext xmlns:c16="http://schemas.microsoft.com/office/drawing/2014/chart" uri="{C3380CC4-5D6E-409C-BE32-E72D297353CC}">
                <c16:uniqueId val="{00000003-A533-458B-99B4-F8D96900733F}"/>
              </c:ext>
            </c:extLst>
          </c:dPt>
          <c:dLbls>
            <c:dLbl>
              <c:idx val="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29489A"/>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1-A533-458B-99B4-F8D96900733F}"/>
                </c:ext>
              </c:extLst>
            </c:dLbl>
            <c:dLbl>
              <c:idx val="1"/>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ED1C24"/>
                      </a:solidFill>
                      <a:latin typeface="+mn-lt"/>
                      <a:ea typeface="+mn-ea"/>
                      <a:cs typeface="+mn-cs"/>
                    </a:defRPr>
                  </a:pPr>
                  <a:endParaRPr lang="sr-Latn-RS"/>
                </a:p>
              </c:txPr>
              <c:showLegendKey val="0"/>
              <c:showVal val="1"/>
              <c:showCatName val="0"/>
              <c:showSerName val="0"/>
              <c:showPercent val="0"/>
              <c:showBubbleSize val="0"/>
              <c:extLst>
                <c:ext xmlns:c16="http://schemas.microsoft.com/office/drawing/2014/chart" uri="{C3380CC4-5D6E-409C-BE32-E72D297353CC}">
                  <c16:uniqueId val="{00000003-A533-458B-99B4-F8D96900733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('Osn. makroekon. agregati'!$C$7,'Osn. makroekon. agregati'!$D$7)</c:f>
              <c:numCache>
                <c:formatCode>0.0</c:formatCode>
                <c:ptCount val="2"/>
                <c:pt idx="0">
                  <c:v>2</c:v>
                </c:pt>
                <c:pt idx="1">
                  <c:v>2.6</c:v>
                </c:pt>
              </c:numCache>
            </c:numRef>
          </c:val>
          <c:extLst>
            <c:ext xmlns:c16="http://schemas.microsoft.com/office/drawing/2014/chart" uri="{C3380CC4-5D6E-409C-BE32-E72D297353CC}">
              <c16:uniqueId val="{00000004-A533-458B-99B4-F8D96900733F}"/>
            </c:ext>
          </c:extLst>
        </c:ser>
        <c:dLbls>
          <c:showLegendKey val="0"/>
          <c:showVal val="0"/>
          <c:showCatName val="0"/>
          <c:showSerName val="0"/>
          <c:showPercent val="0"/>
          <c:showBubbleSize val="0"/>
        </c:dLbls>
        <c:gapWidth val="15"/>
        <c:axId val="1768831680"/>
        <c:axId val="1768853440"/>
      </c:barChart>
      <c:catAx>
        <c:axId val="1768831680"/>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2021</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sr-Latn-RS"/>
            </a:p>
          </c:txPr>
        </c:title>
        <c:majorTickMark val="none"/>
        <c:minorTickMark val="none"/>
        <c:tickLblPos val="none"/>
        <c:spPr>
          <a:noFill/>
          <a:ln w="12700" cap="flat" cmpd="sng" algn="ctr">
            <a:solidFill>
              <a:srgbClr val="898989"/>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53440"/>
        <c:crossesAt val="0"/>
        <c:auto val="1"/>
        <c:lblAlgn val="ctr"/>
        <c:lblOffset val="100"/>
        <c:noMultiLvlLbl val="0"/>
      </c:catAx>
      <c:valAx>
        <c:axId val="1768853440"/>
        <c:scaling>
          <c:orientation val="minMax"/>
          <c:max val="6"/>
          <c:min val="0"/>
        </c:scaling>
        <c:delete val="0"/>
        <c:axPos val="l"/>
        <c:numFmt formatCode="0.0" sourceLinked="1"/>
        <c:majorTickMark val="out"/>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7688316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sr-Latn-R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withinLinear" id="16">
  <a:schemeClr val="accent3"/>
</cs:colorStyle>
</file>

<file path=word/charts/colors51.xml><?xml version="1.0" encoding="utf-8"?>
<cs:colorStyle xmlns:cs="http://schemas.microsoft.com/office/drawing/2012/chartStyle" xmlns:a="http://schemas.openxmlformats.org/drawingml/2006/main" meth="withinLinear" id="16">
  <a:schemeClr val="accent3"/>
</cs:colorStyle>
</file>

<file path=word/charts/colors5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withinLinear" id="14">
  <a:schemeClr val="accent1"/>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1.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charts/style52.xml><?xml version="1.0" encoding="utf-8"?>
<cs:chartStyle xmlns:cs="http://schemas.microsoft.com/office/drawing/2012/chartStyle" xmlns:a="http://schemas.openxmlformats.org/drawingml/2006/main" id="34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9525" cap="rnd">
        <a:solidFill>
          <a:schemeClr val="phClr"/>
        </a:solidFill>
        <a:round/>
      </a:ln>
    </cs:spPr>
  </cs:dataPointLine>
  <cs:dataPointMarker>
    <cs:lnRef idx="0">
      <cs:styleClr val="auto"/>
    </cs:lnRef>
    <cs:fillRef idx="3">
      <cs:styleClr val="auto"/>
    </cs:fillRef>
    <cs:effectRef idx="3"/>
    <cs:fontRef idx="minor">
      <a:schemeClr val="tx1"/>
    </cs:fontRef>
    <cs:spPr>
      <a:ln w="9525" cap="rnd">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6.xml><?xml version="1.0" encoding="utf-8"?>
<cs:chartStyle xmlns:cs="http://schemas.microsoft.com/office/drawing/2012/chartStyle" xmlns:a="http://schemas.openxmlformats.org/drawingml/2006/main" id="105">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0.15625</cdr:x>
      <cdr:y>0.05755</cdr:y>
    </cdr:from>
    <cdr:to>
      <cdr:x>0.92804</cdr:x>
      <cdr:y>0.23488</cdr:y>
    </cdr:to>
    <cdr:grpSp>
      <cdr:nvGrpSpPr>
        <cdr:cNvPr id="10" name="Group 9"/>
        <cdr:cNvGrpSpPr/>
      </cdr:nvGrpSpPr>
      <cdr:grpSpPr>
        <a:xfrm xmlns:a="http://schemas.openxmlformats.org/drawingml/2006/main">
          <a:off x="428624" y="107731"/>
          <a:ext cx="2117162" cy="331952"/>
          <a:chOff x="429343" y="107731"/>
          <a:chExt cx="2120710" cy="331952"/>
        </a:xfrm>
      </cdr:grpSpPr>
      <cdr:grpSp>
        <cdr:nvGrpSpPr>
          <cdr:cNvPr id="9" name="Group 8"/>
          <cdr:cNvGrpSpPr/>
        </cdr:nvGrpSpPr>
        <cdr:grpSpPr>
          <a:xfrm xmlns:a="http://schemas.openxmlformats.org/drawingml/2006/main">
            <a:off x="1165304" y="107731"/>
            <a:ext cx="1384749" cy="183979"/>
            <a:chOff x="1152166" y="22335"/>
            <a:chExt cx="1384749" cy="183979"/>
          </a:xfrm>
        </cdr:grpSpPr>
        <cdr:sp macro="" textlink="">
          <cdr:nvSpPr>
            <cdr:cNvPr id="4" name="TextBox 3"/>
            <cdr:cNvSpPr txBox="1"/>
          </cdr:nvSpPr>
          <cdr:spPr>
            <a:xfrm xmlns:a="http://schemas.openxmlformats.org/drawingml/2006/main">
              <a:off x="1152166" y="31860"/>
              <a:ext cx="396664" cy="1744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700" b="1">
                  <a:solidFill>
                    <a:srgbClr val="00A651"/>
                  </a:solidFill>
                </a:rPr>
                <a:t>САД</a:t>
              </a:r>
              <a:endParaRPr lang="en-GB" sz="700" b="1">
                <a:solidFill>
                  <a:srgbClr val="00A651"/>
                </a:solidFill>
              </a:endParaRPr>
            </a:p>
          </cdr:txBody>
        </cdr:sp>
        <cdr:sp macro="" textlink="">
          <cdr:nvSpPr>
            <cdr:cNvPr id="5" name="TextBox 1"/>
            <cdr:cNvSpPr txBox="1"/>
          </cdr:nvSpPr>
          <cdr:spPr>
            <a:xfrm xmlns:a="http://schemas.openxmlformats.org/drawingml/2006/main">
              <a:off x="1592314" y="22335"/>
              <a:ext cx="576965" cy="1440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700" b="1">
                  <a:solidFill>
                    <a:srgbClr val="7F3F98"/>
                  </a:solidFill>
                </a:rPr>
                <a:t>Еврозона</a:t>
              </a:r>
              <a:endParaRPr lang="en-GB" sz="700" b="1">
                <a:solidFill>
                  <a:srgbClr val="7F3F98"/>
                </a:solidFill>
              </a:endParaRPr>
            </a:p>
          </cdr:txBody>
        </cdr:sp>
        <cdr:sp macro="" textlink="">
          <cdr:nvSpPr>
            <cdr:cNvPr id="6" name="TextBox 1"/>
            <cdr:cNvSpPr txBox="1"/>
          </cdr:nvSpPr>
          <cdr:spPr>
            <a:xfrm xmlns:a="http://schemas.openxmlformats.org/drawingml/2006/main">
              <a:off x="2248432" y="31860"/>
              <a:ext cx="288483" cy="13137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700" b="1">
                  <a:solidFill>
                    <a:srgbClr val="EC008C"/>
                  </a:solidFill>
                </a:rPr>
                <a:t>УК</a:t>
              </a:r>
              <a:endParaRPr lang="en-GB" sz="700" b="1">
                <a:solidFill>
                  <a:srgbClr val="EC008C"/>
                </a:solidFill>
              </a:endParaRPr>
            </a:p>
          </cdr:txBody>
        </cdr:sp>
      </cdr:grpSp>
      <cdr:sp macro="" textlink="">
        <cdr:nvSpPr>
          <cdr:cNvPr id="7" name="TextBox 1"/>
          <cdr:cNvSpPr txBox="1"/>
        </cdr:nvSpPr>
        <cdr:spPr>
          <a:xfrm xmlns:a="http://schemas.openxmlformats.org/drawingml/2006/main">
            <a:off x="429345" y="161924"/>
            <a:ext cx="793327" cy="16608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апр.</a:t>
            </a:r>
            <a:r>
              <a:rPr lang="sr-Cyrl-RS" sz="700" b="0" baseline="0">
                <a:solidFill>
                  <a:schemeClr val="tx2"/>
                </a:solidFill>
              </a:rPr>
              <a:t> 2021.</a:t>
            </a:r>
            <a:endParaRPr lang="en-GB" sz="700" b="0">
              <a:solidFill>
                <a:schemeClr val="tx2"/>
              </a:solidFill>
            </a:endParaRPr>
          </a:p>
        </cdr:txBody>
      </cdr:sp>
      <cdr:sp macro="" textlink="">
        <cdr:nvSpPr>
          <cdr:cNvPr id="8" name="TextBox 1"/>
          <cdr:cNvSpPr txBox="1"/>
        </cdr:nvSpPr>
        <cdr:spPr>
          <a:xfrm xmlns:a="http://schemas.openxmlformats.org/drawingml/2006/main">
            <a:off x="429343" y="276225"/>
            <a:ext cx="793327" cy="16345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00" b="0">
                <a:solidFill>
                  <a:schemeClr val="tx2"/>
                </a:solidFill>
              </a:rPr>
              <a:t>WEO, </a:t>
            </a:r>
            <a:r>
              <a:rPr lang="sr-Cyrl-RS" sz="700" b="0">
                <a:solidFill>
                  <a:schemeClr val="tx2"/>
                </a:solidFill>
              </a:rPr>
              <a:t>окт.</a:t>
            </a:r>
            <a:r>
              <a:rPr lang="sr-Cyrl-RS" sz="700" b="0" baseline="0">
                <a:solidFill>
                  <a:schemeClr val="tx2"/>
                </a:solidFill>
              </a:rPr>
              <a:t> 2020.</a:t>
            </a:r>
            <a:endParaRPr lang="en-GB" sz="700" b="0">
              <a:solidFill>
                <a:schemeClr val="tx2"/>
              </a:solidFill>
            </a:endParaRPr>
          </a:p>
        </cdr:txBody>
      </cdr:sp>
    </cdr:grpSp>
  </cdr:relSizeAnchor>
</c:userShapes>
</file>

<file path=word/drawings/drawing10.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0.5244</cdr:x>
      <cdr:y>0.62451</cdr:y>
    </cdr:from>
    <cdr:to>
      <cdr:x>0.93199</cdr:x>
      <cdr:y>0.86049</cdr:y>
    </cdr:to>
    <cdr:sp macro="" textlink="">
      <cdr:nvSpPr>
        <cdr:cNvPr id="3" name="TextBox 1"/>
        <cdr:cNvSpPr txBox="1"/>
      </cdr:nvSpPr>
      <cdr:spPr>
        <a:xfrm xmlns:a="http://schemas.openxmlformats.org/drawingml/2006/main">
          <a:off x="698503" y="831847"/>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1.xml><?xml version="1.0" encoding="utf-8"?>
<c:userShapes xmlns:c="http://schemas.openxmlformats.org/drawingml/2006/chart">
  <cdr:relSizeAnchor xmlns:cdr="http://schemas.openxmlformats.org/drawingml/2006/chartDrawing">
    <cdr:from>
      <cdr:x>0.05959</cdr:x>
      <cdr:y>0.63166</cdr:y>
    </cdr:from>
    <cdr:to>
      <cdr:x>0.46719</cdr:x>
      <cdr:y>0.86764</cdr:y>
    </cdr:to>
    <cdr:sp macro="" textlink="">
      <cdr:nvSpPr>
        <cdr:cNvPr id="2" name="TextBox 1"/>
        <cdr:cNvSpPr txBox="1"/>
      </cdr:nvSpPr>
      <cdr:spPr>
        <a:xfrm xmlns:a="http://schemas.openxmlformats.org/drawingml/2006/main">
          <a:off x="79374" y="841372"/>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0.5244</cdr:x>
      <cdr:y>0.62451</cdr:y>
    </cdr:from>
    <cdr:to>
      <cdr:x>0.93199</cdr:x>
      <cdr:y>0.86049</cdr:y>
    </cdr:to>
    <cdr:sp macro="" textlink="">
      <cdr:nvSpPr>
        <cdr:cNvPr id="3" name="TextBox 1"/>
        <cdr:cNvSpPr txBox="1"/>
      </cdr:nvSpPr>
      <cdr:spPr>
        <a:xfrm xmlns:a="http://schemas.openxmlformats.org/drawingml/2006/main">
          <a:off x="700568" y="796933"/>
          <a:ext cx="544517" cy="301133"/>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12.xml><?xml version="1.0" encoding="utf-8"?>
<c:userShapes xmlns:c="http://schemas.openxmlformats.org/drawingml/2006/chart">
  <cdr:relSizeAnchor xmlns:cdr="http://schemas.openxmlformats.org/drawingml/2006/chartDrawing">
    <cdr:from>
      <cdr:x>0.08449</cdr:x>
      <cdr:y>0.00619</cdr:y>
    </cdr:from>
    <cdr:to>
      <cdr:x>0.26505</cdr:x>
      <cdr:y>0.7144</cdr:y>
    </cdr:to>
    <cdr:sp macro="" textlink="">
      <cdr:nvSpPr>
        <cdr:cNvPr id="2" name="TextBox 1">
          <a:extLst xmlns:a="http://schemas.openxmlformats.org/drawingml/2006/main">
            <a:ext uri="{FF2B5EF4-FFF2-40B4-BE49-F238E27FC236}">
              <a16:creationId xmlns:a16="http://schemas.microsoft.com/office/drawing/2014/main" id="{35CC0BCD-2E0C-4161-857B-AA6CEE5B7E27}"/>
            </a:ext>
          </a:extLst>
        </cdr:cNvPr>
        <cdr:cNvSpPr txBox="1"/>
      </cdr:nvSpPr>
      <cdr:spPr>
        <a:xfrm xmlns:a="http://schemas.openxmlformats.org/drawingml/2006/main">
          <a:off x="231776" y="12700"/>
          <a:ext cx="495300" cy="1453243"/>
        </a:xfrm>
        <a:prstGeom xmlns:a="http://schemas.openxmlformats.org/drawingml/2006/main" prst="rect">
          <a:avLst/>
        </a:prstGeom>
        <a:solidFill xmlns:a="http://schemas.openxmlformats.org/drawingml/2006/main">
          <a:schemeClr val="accent5">
            <a:alpha val="10000"/>
          </a:schemeClr>
        </a:solidFill>
        <a:ln xmlns:a="http://schemas.openxmlformats.org/drawingml/2006/main">
          <a:solidFill>
            <a:schemeClr val="accent1"/>
          </a:solidFill>
          <a:prstDash val="dash"/>
        </a:ln>
      </cdr:spPr>
      <cdr:txBody>
        <a:bodyPr xmlns:a="http://schemas.openxmlformats.org/drawingml/2006/main" wrap="square"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endParaRPr lang="en-GB" sz="750" b="1">
            <a:solidFill>
              <a:schemeClr val="tx2"/>
            </a:solidFill>
            <a:latin typeface="+mn-lt"/>
            <a:cs typeface="Arial" panose="020B0604020202020204" pitchFamily="34" charset="0"/>
          </a:endParaRPr>
        </a:p>
      </cdr:txBody>
    </cdr:sp>
  </cdr:relSizeAnchor>
  <cdr:relSizeAnchor xmlns:cdr="http://schemas.openxmlformats.org/drawingml/2006/chartDrawing">
    <cdr:from>
      <cdr:x>0.81019</cdr:x>
      <cdr:y>0.00619</cdr:y>
    </cdr:from>
    <cdr:to>
      <cdr:x>0.99074</cdr:x>
      <cdr:y>0.7144</cdr:y>
    </cdr:to>
    <cdr:sp macro="" textlink="">
      <cdr:nvSpPr>
        <cdr:cNvPr id="3" name="TextBox 1">
          <a:extLst xmlns:a="http://schemas.openxmlformats.org/drawingml/2006/main">
            <a:ext uri="{FF2B5EF4-FFF2-40B4-BE49-F238E27FC236}">
              <a16:creationId xmlns:a16="http://schemas.microsoft.com/office/drawing/2014/main" id="{CB67022E-D6AD-4B7B-A85C-598295CBC51B}"/>
            </a:ext>
          </a:extLst>
        </cdr:cNvPr>
        <cdr:cNvSpPr txBox="1"/>
      </cdr:nvSpPr>
      <cdr:spPr>
        <a:xfrm xmlns:a="http://schemas.openxmlformats.org/drawingml/2006/main">
          <a:off x="2222501" y="12700"/>
          <a:ext cx="495299" cy="1453243"/>
        </a:xfrm>
        <a:prstGeom xmlns:a="http://schemas.openxmlformats.org/drawingml/2006/main" prst="rect">
          <a:avLst/>
        </a:prstGeom>
        <a:solidFill xmlns:a="http://schemas.openxmlformats.org/drawingml/2006/main">
          <a:schemeClr val="accent5">
            <a:alpha val="10000"/>
          </a:schemeClr>
        </a:solidFill>
        <a:ln xmlns:a="http://schemas.openxmlformats.org/drawingml/2006/main">
          <a:solidFill>
            <a:schemeClr val="accent1"/>
          </a:solidFill>
          <a:prstDash val="dash"/>
        </a:ln>
      </cdr:spPr>
      <cdr:txBody>
        <a:bodyPr xmlns:a="http://schemas.openxmlformats.org/drawingml/2006/main" wrap="square"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endParaRPr lang="en-GB" sz="750" b="1">
            <a:solidFill>
              <a:schemeClr val="tx2"/>
            </a:solidFill>
            <a:latin typeface="+mn-lt"/>
            <a:cs typeface="Arial" panose="020B0604020202020204" pitchFamily="34" charset="0"/>
          </a:endParaRPr>
        </a:p>
      </cdr:txBody>
    </cdr:sp>
  </cdr:relSizeAnchor>
</c:userShapes>
</file>

<file path=word/drawings/drawing13.xml><?xml version="1.0" encoding="utf-8"?>
<c:userShapes xmlns:c="http://schemas.openxmlformats.org/drawingml/2006/chart">
  <cdr:relSizeAnchor xmlns:cdr="http://schemas.openxmlformats.org/drawingml/2006/chartDrawing">
    <cdr:from>
      <cdr:x>0.59388</cdr:x>
      <cdr:y>0</cdr:y>
    </cdr:from>
    <cdr:to>
      <cdr:x>0.98264</cdr:x>
      <cdr:y>0.73936</cdr:y>
    </cdr:to>
    <cdr:sp macro="" textlink="">
      <cdr:nvSpPr>
        <cdr:cNvPr id="3" name="TextBox 2"/>
        <cdr:cNvSpPr txBox="1"/>
      </cdr:nvSpPr>
      <cdr:spPr>
        <a:xfrm xmlns:a="http://schemas.openxmlformats.org/drawingml/2006/main">
          <a:off x="1629131" y="0"/>
          <a:ext cx="1066443" cy="1485478"/>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4.xml><?xml version="1.0" encoding="utf-8"?>
<c:userShapes xmlns:c="http://schemas.openxmlformats.org/drawingml/2006/chart">
  <cdr:relSizeAnchor xmlns:cdr="http://schemas.openxmlformats.org/drawingml/2006/chartDrawing">
    <cdr:from>
      <cdr:x>0.58495</cdr:x>
      <cdr:y>0</cdr:y>
    </cdr:from>
    <cdr:to>
      <cdr:x>0.97222</cdr:x>
      <cdr:y>0.73863</cdr:y>
    </cdr:to>
    <cdr:sp macro="" textlink="">
      <cdr:nvSpPr>
        <cdr:cNvPr id="3" name="TextBox 2"/>
        <cdr:cNvSpPr txBox="1"/>
      </cdr:nvSpPr>
      <cdr:spPr>
        <a:xfrm xmlns:a="http://schemas.openxmlformats.org/drawingml/2006/main">
          <a:off x="1680064" y="0"/>
          <a:ext cx="1112302" cy="153056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5.xml><?xml version="1.0" encoding="utf-8"?>
<c:userShapes xmlns:c="http://schemas.openxmlformats.org/drawingml/2006/chart">
  <cdr:relSizeAnchor xmlns:cdr="http://schemas.openxmlformats.org/drawingml/2006/chartDrawing">
    <cdr:from>
      <cdr:x>0.51307</cdr:x>
      <cdr:y>0.00827</cdr:y>
    </cdr:from>
    <cdr:to>
      <cdr:x>0.96515</cdr:x>
      <cdr:y>0.76895</cdr:y>
    </cdr:to>
    <cdr:sp macro="" textlink="">
      <cdr:nvSpPr>
        <cdr:cNvPr id="3" name="TextBox 2"/>
        <cdr:cNvSpPr txBox="1"/>
      </cdr:nvSpPr>
      <cdr:spPr>
        <a:xfrm xmlns:a="http://schemas.openxmlformats.org/drawingml/2006/main">
          <a:off x="1407455" y="19051"/>
          <a:ext cx="1240145" cy="1752600"/>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vertOverflow="clip" wrap="square" rtlCol="0" anchor="t"/>
        <a:lstStyle xmlns:a="http://schemas.openxmlformats.org/drawingml/2006/main"/>
        <a:p xmlns:a="http://schemas.openxmlformats.org/drawingml/2006/main">
          <a:pPr algn="ctr"/>
          <a:r>
            <a:rPr lang="sr-Cyrl-RS" sz="750" b="1">
              <a:solidFill>
                <a:schemeClr val="tx2"/>
              </a:solidFill>
              <a:latin typeface="+mn-lt"/>
              <a:cs typeface="Arial" panose="020B0604020202020204" pitchFamily="34" charset="0"/>
            </a:rPr>
            <a:t>ПРОЈЕКЦИЈА</a:t>
          </a:r>
          <a:endParaRPr lang="en-GB" sz="750" b="1">
            <a:solidFill>
              <a:schemeClr val="tx2"/>
            </a:solidFill>
            <a:latin typeface="+mn-lt"/>
            <a:cs typeface="Arial" panose="020B0604020202020204" pitchFamily="34" charset="0"/>
          </a:endParaRPr>
        </a:p>
      </cdr:txBody>
    </cdr:sp>
  </cdr:relSizeAnchor>
</c:userShapes>
</file>

<file path=word/drawings/drawing16.xml><?xml version="1.0" encoding="utf-8"?>
<c:userShapes xmlns:c="http://schemas.openxmlformats.org/drawingml/2006/chart">
  <cdr:relSizeAnchor xmlns:cdr="http://schemas.openxmlformats.org/drawingml/2006/chartDrawing">
    <cdr:from>
      <cdr:x>0.05793</cdr:x>
      <cdr:y>0.85649</cdr:y>
    </cdr:from>
    <cdr:to>
      <cdr:x>0.35061</cdr:x>
      <cdr:y>0.98363</cdr:y>
    </cdr:to>
    <cdr:sp macro="" textlink="">
      <cdr:nvSpPr>
        <cdr:cNvPr id="2" name="TextBox 1"/>
        <cdr:cNvSpPr txBox="1"/>
      </cdr:nvSpPr>
      <cdr:spPr>
        <a:xfrm xmlns:a="http://schemas.openxmlformats.org/drawingml/2006/main">
          <a:off x="180975" y="1495425"/>
          <a:ext cx="914400" cy="22199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en-GB" sz="1100"/>
        </a:p>
      </cdr:txBody>
    </cdr:sp>
  </cdr:relSizeAnchor>
  <cdr:relSizeAnchor xmlns:cdr="http://schemas.openxmlformats.org/drawingml/2006/chartDrawing">
    <cdr:from>
      <cdr:x>0.0167</cdr:x>
      <cdr:y>0.80715</cdr:y>
    </cdr:from>
    <cdr:to>
      <cdr:x>0.966</cdr:x>
      <cdr:y>0.97722</cdr:y>
    </cdr:to>
    <cdr:grpSp>
      <cdr:nvGrpSpPr>
        <cdr:cNvPr id="14" name="Group 13">
          <a:extLst xmlns:a="http://schemas.openxmlformats.org/drawingml/2006/main">
            <a:ext uri="{FF2B5EF4-FFF2-40B4-BE49-F238E27FC236}">
              <a16:creationId xmlns:a16="http://schemas.microsoft.com/office/drawing/2014/main" id="{E5DF6495-1465-4ED1-B2B5-3FD50C725FC0}"/>
            </a:ext>
          </a:extLst>
        </cdr:cNvPr>
        <cdr:cNvGrpSpPr/>
      </cdr:nvGrpSpPr>
      <cdr:grpSpPr>
        <a:xfrm xmlns:a="http://schemas.openxmlformats.org/drawingml/2006/main">
          <a:off x="45811" y="1356981"/>
          <a:ext cx="2604120" cy="285921"/>
          <a:chOff x="45821" y="1367971"/>
          <a:chExt cx="2604115" cy="288224"/>
        </a:xfrm>
      </cdr:grpSpPr>
      <cdr:grpSp>
        <cdr:nvGrpSpPr>
          <cdr:cNvPr id="11" name="Group 10">
            <a:extLst xmlns:a="http://schemas.openxmlformats.org/drawingml/2006/main">
              <a:ext uri="{FF2B5EF4-FFF2-40B4-BE49-F238E27FC236}">
                <a16:creationId xmlns:a16="http://schemas.microsoft.com/office/drawing/2014/main" id="{84A6910A-4076-44B1-B308-51212BC89DFE}"/>
              </a:ext>
            </a:extLst>
          </cdr:cNvPr>
          <cdr:cNvGrpSpPr/>
        </cdr:nvGrpSpPr>
        <cdr:grpSpPr>
          <a:xfrm xmlns:a="http://schemas.openxmlformats.org/drawingml/2006/main">
            <a:off x="45821" y="1367972"/>
            <a:ext cx="2506991" cy="288223"/>
            <a:chOff x="113912" y="1530553"/>
            <a:chExt cx="2855160" cy="325604"/>
          </a:xfrm>
        </cdr:grpSpPr>
        <cdr:grpSp>
          <cdr:nvGrpSpPr>
            <cdr:cNvPr id="6" name="Group 5">
              <a:extLst xmlns:a="http://schemas.openxmlformats.org/drawingml/2006/main">
                <a:ext uri="{FF2B5EF4-FFF2-40B4-BE49-F238E27FC236}">
                  <a16:creationId xmlns:a16="http://schemas.microsoft.com/office/drawing/2014/main" id="{6280970F-1A39-45CB-A80B-A0C7080ABCF5}"/>
                </a:ext>
              </a:extLst>
            </cdr:cNvPr>
            <cdr:cNvGrpSpPr/>
          </cdr:nvGrpSpPr>
          <cdr:grpSpPr>
            <a:xfrm xmlns:a="http://schemas.openxmlformats.org/drawingml/2006/main">
              <a:off x="219088" y="1658610"/>
              <a:ext cx="2749984" cy="197547"/>
              <a:chOff x="219075" y="1404327"/>
              <a:chExt cx="2749986" cy="337411"/>
            </a:xfrm>
          </cdr:grpSpPr>
          <cdr:sp macro="" textlink="">
            <cdr:nvSpPr>
              <cdr:cNvPr id="3" name="TextBox 2"/>
              <cdr:cNvSpPr txBox="1"/>
            </cdr:nvSpPr>
            <cdr:spPr>
              <a:xfrm xmlns:a="http://schemas.openxmlformats.org/drawingml/2006/main">
                <a:off x="219075" y="1404327"/>
                <a:ext cx="742950" cy="33741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sr-Latn-RS" sz="750" b="1" baseline="0">
                    <a:solidFill>
                      <a:srgbClr val="29489A"/>
                    </a:solidFill>
                  </a:rPr>
                  <a:t>201</a:t>
                </a:r>
                <a:r>
                  <a:rPr lang="sr-Cyrl-RS" sz="750" b="1" baseline="0">
                    <a:solidFill>
                      <a:srgbClr val="29489A"/>
                    </a:solidFill>
                  </a:rPr>
                  <a:t>9</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20</a:t>
                </a:r>
                <a:endParaRPr lang="en-GB" sz="750" b="1">
                  <a:solidFill>
                    <a:srgbClr val="FF0000"/>
                  </a:solidFill>
                </a:endParaRPr>
              </a:p>
            </cdr:txBody>
          </cdr:sp>
          <cdr:sp macro="" textlink="">
            <cdr:nvSpPr>
              <cdr:cNvPr id="4" name="TextBox 1"/>
              <cdr:cNvSpPr txBox="1"/>
            </cdr:nvSpPr>
            <cdr:spPr>
              <a:xfrm xmlns:a="http://schemas.openxmlformats.org/drawingml/2006/main">
                <a:off x="1216569" y="1404329"/>
                <a:ext cx="742950" cy="2601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Latn-RS" sz="750" b="1" baseline="0">
                    <a:solidFill>
                      <a:srgbClr val="29489A"/>
                    </a:solidFill>
                  </a:rPr>
                  <a:t>201</a:t>
                </a:r>
                <a:r>
                  <a:rPr lang="sr-Cyrl-RS" sz="750" b="1" baseline="0">
                    <a:solidFill>
                      <a:srgbClr val="29489A"/>
                    </a:solidFill>
                  </a:rPr>
                  <a:t>9</a:t>
                </a:r>
                <a:r>
                  <a:rPr lang="en-GB" sz="750" baseline="0">
                    <a:solidFill>
                      <a:schemeClr val="tx2"/>
                    </a:solidFill>
                  </a:rPr>
                  <a:t>   </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20</a:t>
                </a:r>
                <a:endParaRPr lang="en-GB" sz="750" b="1">
                  <a:solidFill>
                    <a:srgbClr val="FF0000"/>
                  </a:solidFill>
                </a:endParaRPr>
              </a:p>
            </cdr:txBody>
          </cdr:sp>
          <cdr:sp macro="" textlink="">
            <cdr:nvSpPr>
              <cdr:cNvPr id="5" name="TextBox 1"/>
              <cdr:cNvSpPr txBox="1"/>
            </cdr:nvSpPr>
            <cdr:spPr>
              <a:xfrm xmlns:a="http://schemas.openxmlformats.org/drawingml/2006/main">
                <a:off x="2226111" y="1404329"/>
                <a:ext cx="742950" cy="26010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Latn-RS" sz="750" b="1" baseline="0">
                    <a:solidFill>
                      <a:srgbClr val="29489A"/>
                    </a:solidFill>
                  </a:rPr>
                  <a:t>201</a:t>
                </a:r>
                <a:r>
                  <a:rPr lang="sr-Cyrl-RS" sz="750" b="1" baseline="0">
                    <a:solidFill>
                      <a:srgbClr val="29489A"/>
                    </a:solidFill>
                  </a:rPr>
                  <a:t>9</a:t>
                </a:r>
                <a:r>
                  <a:rPr lang="sr-Latn-RS" sz="750" b="1" baseline="0">
                    <a:solidFill>
                      <a:srgbClr val="29489A"/>
                    </a:solidFill>
                  </a:rPr>
                  <a:t> </a:t>
                </a:r>
                <a:r>
                  <a:rPr lang="en-GB" sz="750" baseline="0">
                    <a:solidFill>
                      <a:schemeClr val="tx2"/>
                    </a:solidFill>
                  </a:rPr>
                  <a:t>   </a:t>
                </a:r>
                <a:r>
                  <a:rPr lang="sr-Latn-RS" sz="750" baseline="0">
                    <a:solidFill>
                      <a:schemeClr val="tx2"/>
                    </a:solidFill>
                  </a:rPr>
                  <a:t>    </a:t>
                </a:r>
                <a:r>
                  <a:rPr lang="en-GB" sz="750" baseline="0">
                    <a:solidFill>
                      <a:schemeClr val="tx2"/>
                    </a:solidFill>
                  </a:rPr>
                  <a:t> </a:t>
                </a:r>
                <a:r>
                  <a:rPr lang="sr-Latn-RS" sz="750" b="1" baseline="0">
                    <a:solidFill>
                      <a:srgbClr val="FF0000"/>
                    </a:solidFill>
                  </a:rPr>
                  <a:t>20</a:t>
                </a:r>
                <a:r>
                  <a:rPr lang="sr-Cyrl-RS" sz="750" b="1" baseline="0">
                    <a:solidFill>
                      <a:srgbClr val="FF0000"/>
                    </a:solidFill>
                  </a:rPr>
                  <a:t>20</a:t>
                </a:r>
                <a:endParaRPr lang="en-GB" sz="750" b="1">
                  <a:solidFill>
                    <a:srgbClr val="FF0000"/>
                  </a:solidFill>
                </a:endParaRPr>
              </a:p>
            </cdr:txBody>
          </cdr:sp>
        </cdr:grpSp>
        <cdr:grpSp>
          <cdr:nvGrpSpPr>
            <cdr:cNvPr id="10" name="Group 9">
              <a:extLst xmlns:a="http://schemas.openxmlformats.org/drawingml/2006/main">
                <a:ext uri="{FF2B5EF4-FFF2-40B4-BE49-F238E27FC236}">
                  <a16:creationId xmlns:a16="http://schemas.microsoft.com/office/drawing/2014/main" id="{FDD8E321-9B79-4B6B-94D1-514E0516EA68}"/>
                </a:ext>
              </a:extLst>
            </cdr:cNvPr>
            <cdr:cNvGrpSpPr/>
          </cdr:nvGrpSpPr>
          <cdr:grpSpPr>
            <a:xfrm xmlns:a="http://schemas.openxmlformats.org/drawingml/2006/main">
              <a:off x="113912" y="1530553"/>
              <a:ext cx="951704" cy="205405"/>
              <a:chOff x="113912" y="1530553"/>
              <a:chExt cx="951704" cy="205406"/>
            </a:xfrm>
          </cdr:grpSpPr>
          <cdr:sp macro="" textlink="">
            <cdr:nvSpPr>
              <cdr:cNvPr id="7" name="TextBox 1"/>
              <cdr:cNvSpPr txBox="1"/>
            </cdr:nvSpPr>
            <cdr:spPr>
              <a:xfrm xmlns:a="http://schemas.openxmlformats.org/drawingml/2006/main">
                <a:off x="113912" y="1530553"/>
                <a:ext cx="951704" cy="20540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GB" sz="750" b="1" baseline="0">
                    <a:solidFill>
                      <a:schemeClr val="tx2"/>
                    </a:solidFill>
                  </a:rPr>
                  <a:t>II  III IV  </a:t>
                </a:r>
                <a:r>
                  <a:rPr lang="en-GB" sz="750" b="1" baseline="0">
                    <a:solidFill>
                      <a:srgbClr val="FF0000"/>
                    </a:solidFill>
                  </a:rPr>
                  <a:t>I </a:t>
                </a:r>
                <a:r>
                  <a:rPr lang="en-GB" sz="750" b="1" baseline="0">
                    <a:solidFill>
                      <a:schemeClr val="tx2"/>
                    </a:solidFill>
                  </a:rPr>
                  <a:t>  </a:t>
                </a:r>
                <a:r>
                  <a:rPr lang="en-GB" sz="750" b="1" baseline="0">
                    <a:solidFill>
                      <a:srgbClr val="FF0000"/>
                    </a:solidFill>
                  </a:rPr>
                  <a:t>II  III IV</a:t>
                </a:r>
                <a:endParaRPr lang="en-GB" sz="750" b="1">
                  <a:solidFill>
                    <a:srgbClr val="FF0000"/>
                  </a:solidFill>
                </a:endParaRPr>
              </a:p>
            </cdr:txBody>
          </cdr:sp>
        </cdr:grpSp>
      </cdr:grpSp>
      <cdr:sp macro="" textlink="">
        <cdr:nvSpPr>
          <cdr:cNvPr id="12" name="TextBox 1">
            <a:extLst xmlns:a="http://schemas.openxmlformats.org/drawingml/2006/main">
              <a:ext uri="{FF2B5EF4-FFF2-40B4-BE49-F238E27FC236}">
                <a16:creationId xmlns:a16="http://schemas.microsoft.com/office/drawing/2014/main" id="{2EFC0FC5-13AF-48A4-98C8-5416B5189EFF}"/>
              </a:ext>
            </a:extLst>
          </cdr:cNvPr>
          <cdr:cNvSpPr txBox="1"/>
        </cdr:nvSpPr>
        <cdr:spPr>
          <a:xfrm xmlns:a="http://schemas.openxmlformats.org/drawingml/2006/main">
            <a:off x="927100" y="1367971"/>
            <a:ext cx="835650" cy="18182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GB" sz="750" b="1" baseline="0">
                <a:solidFill>
                  <a:schemeClr val="tx2"/>
                </a:solidFill>
              </a:rPr>
              <a:t>II  III IV  </a:t>
            </a:r>
            <a:r>
              <a:rPr lang="en-GB" sz="750" b="1" baseline="0">
                <a:solidFill>
                  <a:srgbClr val="FF0000"/>
                </a:solidFill>
              </a:rPr>
              <a:t>I </a:t>
            </a:r>
            <a:r>
              <a:rPr lang="en-GB" sz="750" b="1" baseline="0">
                <a:solidFill>
                  <a:schemeClr val="tx2"/>
                </a:solidFill>
              </a:rPr>
              <a:t>  </a:t>
            </a:r>
            <a:r>
              <a:rPr lang="en-GB" sz="750" b="1" baseline="0">
                <a:solidFill>
                  <a:srgbClr val="FF0000"/>
                </a:solidFill>
              </a:rPr>
              <a:t>II  III IV</a:t>
            </a:r>
            <a:endParaRPr lang="en-GB" sz="750" b="1">
              <a:solidFill>
                <a:srgbClr val="FF0000"/>
              </a:solidFill>
            </a:endParaRPr>
          </a:p>
        </cdr:txBody>
      </cdr:sp>
      <cdr:sp macro="" textlink="">
        <cdr:nvSpPr>
          <cdr:cNvPr id="13" name="TextBox 1">
            <a:extLst xmlns:a="http://schemas.openxmlformats.org/drawingml/2006/main">
              <a:ext uri="{FF2B5EF4-FFF2-40B4-BE49-F238E27FC236}">
                <a16:creationId xmlns:a16="http://schemas.microsoft.com/office/drawing/2014/main" id="{2EFC0FC5-13AF-48A4-98C8-5416B5189EFF}"/>
              </a:ext>
            </a:extLst>
          </cdr:cNvPr>
          <cdr:cNvSpPr txBox="1"/>
        </cdr:nvSpPr>
        <cdr:spPr>
          <a:xfrm xmlns:a="http://schemas.openxmlformats.org/drawingml/2006/main">
            <a:off x="1814286" y="1367971"/>
            <a:ext cx="835650" cy="18182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GB" sz="750" b="1" baseline="0">
                <a:solidFill>
                  <a:srgbClr val="29489A"/>
                </a:solidFill>
              </a:rPr>
              <a:t>I</a:t>
            </a:r>
            <a:r>
              <a:rPr lang="sr-Latn-RS" sz="750" b="1" baseline="0">
                <a:solidFill>
                  <a:schemeClr val="tx2"/>
                </a:solidFill>
              </a:rPr>
              <a:t>   </a:t>
            </a:r>
            <a:r>
              <a:rPr lang="en-GB" sz="750" b="1" baseline="0">
                <a:solidFill>
                  <a:schemeClr val="tx2"/>
                </a:solidFill>
              </a:rPr>
              <a:t>II  III IV  </a:t>
            </a:r>
            <a:r>
              <a:rPr lang="en-GB" sz="750" b="1" baseline="0">
                <a:solidFill>
                  <a:srgbClr val="FF0000"/>
                </a:solidFill>
              </a:rPr>
              <a:t>I </a:t>
            </a:r>
            <a:r>
              <a:rPr lang="en-GB" sz="750" b="1" baseline="0">
                <a:solidFill>
                  <a:schemeClr val="tx2"/>
                </a:solidFill>
              </a:rPr>
              <a:t>  </a:t>
            </a:r>
            <a:r>
              <a:rPr lang="en-GB" sz="750" b="1" baseline="0">
                <a:solidFill>
                  <a:srgbClr val="FF0000"/>
                </a:solidFill>
              </a:rPr>
              <a:t>II  III IV</a:t>
            </a:r>
            <a:endParaRPr lang="en-GB" sz="750" b="1">
              <a:solidFill>
                <a:srgbClr val="FF0000"/>
              </a:solidFill>
            </a:endParaRPr>
          </a:p>
        </cdr:txBody>
      </cdr:sp>
    </cdr:grpSp>
  </cdr:relSizeAnchor>
</c:userShapes>
</file>

<file path=word/drawings/drawing17.xml><?xml version="1.0" encoding="utf-8"?>
<c:userShapes xmlns:c="http://schemas.openxmlformats.org/drawingml/2006/chart">
  <cdr:relSizeAnchor xmlns:cdr="http://schemas.openxmlformats.org/drawingml/2006/chartDrawing">
    <cdr:from>
      <cdr:x>0.0878</cdr:x>
      <cdr:y>0.72193</cdr:y>
    </cdr:from>
    <cdr:to>
      <cdr:x>0.95377</cdr:x>
      <cdr:y>0.72193</cdr:y>
    </cdr:to>
    <cdr:cxnSp macro="">
      <cdr:nvCxnSpPr>
        <cdr:cNvPr id="3" name="Straight Connector 2">
          <a:extLst xmlns:a="http://schemas.openxmlformats.org/drawingml/2006/main">
            <a:ext uri="{FF2B5EF4-FFF2-40B4-BE49-F238E27FC236}">
              <a16:creationId xmlns:a16="http://schemas.microsoft.com/office/drawing/2014/main" id="{92170C42-51AD-40FC-A279-09E604F64C1D}"/>
            </a:ext>
          </a:extLst>
        </cdr:cNvPr>
        <cdr:cNvCxnSpPr/>
      </cdr:nvCxnSpPr>
      <cdr:spPr>
        <a:xfrm xmlns:a="http://schemas.openxmlformats.org/drawingml/2006/main" flipV="1">
          <a:off x="240520" y="1305002"/>
          <a:ext cx="2372307" cy="0"/>
        </a:xfrm>
        <a:prstGeom xmlns:a="http://schemas.openxmlformats.org/drawingml/2006/main" prst="line">
          <a:avLst/>
        </a:prstGeom>
        <a:ln xmlns:a="http://schemas.openxmlformats.org/drawingml/2006/main" w="3175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8.xml><?xml version="1.0" encoding="utf-8"?>
<c:userShapes xmlns:c="http://schemas.openxmlformats.org/drawingml/2006/chart">
  <cdr:relSizeAnchor xmlns:cdr="http://schemas.openxmlformats.org/drawingml/2006/chartDrawing">
    <cdr:from>
      <cdr:x>0.78601</cdr:x>
      <cdr:y>0.00888</cdr:y>
    </cdr:from>
    <cdr:to>
      <cdr:x>0.95267</cdr:x>
      <cdr:y>0.69978</cdr:y>
    </cdr:to>
    <cdr:sp macro="" textlink="">
      <cdr:nvSpPr>
        <cdr:cNvPr id="2" name="TextBox 1"/>
        <cdr:cNvSpPr txBox="1"/>
      </cdr:nvSpPr>
      <cdr:spPr>
        <a:xfrm xmlns:a="http://schemas.openxmlformats.org/drawingml/2006/main">
          <a:off x="2205851" y="15413"/>
          <a:ext cx="467701" cy="1199171"/>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600" b="1">
              <a:solidFill>
                <a:schemeClr val="tx2"/>
              </a:solidFill>
              <a:latin typeface="+mn-lt"/>
              <a:cs typeface="Arial" panose="020B0604020202020204" pitchFamily="34" charset="0"/>
            </a:rPr>
            <a:t>ПРОЈЕКЦИЈА</a:t>
          </a:r>
        </a:p>
      </cdr:txBody>
    </cdr:sp>
  </cdr:relSizeAnchor>
</c:userShapes>
</file>

<file path=word/drawings/drawing19.xml><?xml version="1.0" encoding="utf-8"?>
<c:userShapes xmlns:c="http://schemas.openxmlformats.org/drawingml/2006/chart">
  <cdr:relSizeAnchor xmlns:cdr="http://schemas.openxmlformats.org/drawingml/2006/chartDrawing">
    <cdr:from>
      <cdr:x>0.59869</cdr:x>
      <cdr:y>0</cdr:y>
    </cdr:from>
    <cdr:to>
      <cdr:x>0.9881</cdr:x>
      <cdr:y>0.76585</cdr:y>
    </cdr:to>
    <cdr:sp macro="" textlink="">
      <cdr:nvSpPr>
        <cdr:cNvPr id="2" name="TextBox 1"/>
        <cdr:cNvSpPr txBox="1"/>
      </cdr:nvSpPr>
      <cdr:spPr>
        <a:xfrm xmlns:a="http://schemas.openxmlformats.org/drawingml/2006/main">
          <a:off x="1642326" y="0"/>
          <a:ext cx="1068230" cy="1653956"/>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xml><?xml version="1.0" encoding="utf-8"?>
<c:userShapes xmlns:c="http://schemas.openxmlformats.org/drawingml/2006/chart">
  <cdr:relSizeAnchor xmlns:cdr="http://schemas.openxmlformats.org/drawingml/2006/chartDrawing">
    <cdr:from>
      <cdr:x>0.05959</cdr:x>
      <cdr:y>0.61594</cdr:y>
    </cdr:from>
    <cdr:to>
      <cdr:x>0.46719</cdr:x>
      <cdr:y>0.85192</cdr:y>
    </cdr:to>
    <cdr:sp macro="" textlink="">
      <cdr:nvSpPr>
        <cdr:cNvPr id="2" name="TextBox 1"/>
        <cdr:cNvSpPr txBox="1"/>
      </cdr:nvSpPr>
      <cdr:spPr>
        <a:xfrm xmlns:a="http://schemas.openxmlformats.org/drawingml/2006/main">
          <a:off x="79373" y="753914"/>
          <a:ext cx="542923"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0.60816</cdr:y>
    </cdr:from>
    <cdr:to>
      <cdr:x>0.91769</cdr:x>
      <cdr:y>0.84414</cdr:y>
    </cdr:to>
    <cdr:sp macro="" textlink="">
      <cdr:nvSpPr>
        <cdr:cNvPr id="3" name="TextBox 1"/>
        <cdr:cNvSpPr txBox="1"/>
      </cdr:nvSpPr>
      <cdr:spPr>
        <a:xfrm xmlns:a="http://schemas.openxmlformats.org/drawingml/2006/main">
          <a:off x="679452" y="744389"/>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20.xml><?xml version="1.0" encoding="utf-8"?>
<c:userShapes xmlns:c="http://schemas.openxmlformats.org/drawingml/2006/chart">
  <cdr:relSizeAnchor xmlns:cdr="http://schemas.openxmlformats.org/drawingml/2006/chartDrawing">
    <cdr:from>
      <cdr:x>0.63371</cdr:x>
      <cdr:y>0.01417</cdr:y>
    </cdr:from>
    <cdr:to>
      <cdr:x>0.98264</cdr:x>
      <cdr:y>0.75123</cdr:y>
    </cdr:to>
    <cdr:sp macro="" textlink="">
      <cdr:nvSpPr>
        <cdr:cNvPr id="2" name="TextBox 1"/>
        <cdr:cNvSpPr txBox="1"/>
      </cdr:nvSpPr>
      <cdr:spPr>
        <a:xfrm xmlns:a="http://schemas.openxmlformats.org/drawingml/2006/main">
          <a:off x="1738396" y="28890"/>
          <a:ext cx="957180" cy="1502763"/>
        </a:xfrm>
        <a:prstGeom xmlns:a="http://schemas.openxmlformats.org/drawingml/2006/main" prst="rect">
          <a:avLst/>
        </a:prstGeom>
        <a:solidFill xmlns:a="http://schemas.openxmlformats.org/drawingml/2006/main">
          <a:schemeClr val="accent5">
            <a:alpha val="10000"/>
          </a:schemeClr>
        </a:solidFill>
      </cdr:spPr>
      <cdr:txBody>
        <a:bodyPr xmlns:a="http://schemas.openxmlformats.org/drawingml/2006/main" wrap="square" lIns="0" rIns="0" rtlCol="0" anchor="t"/>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tx2"/>
              </a:solidFill>
              <a:latin typeface="+mn-lt"/>
              <a:cs typeface="Arial" panose="020B0604020202020204" pitchFamily="34" charset="0"/>
            </a:rPr>
            <a:t>ПРОЈЕКЦИЈА</a:t>
          </a:r>
        </a:p>
      </cdr:txBody>
    </cdr:sp>
  </cdr:relSizeAnchor>
</c:userShapes>
</file>

<file path=word/drawings/drawing21.xml><?xml version="1.0" encoding="utf-8"?>
<c:userShapes xmlns:c="http://schemas.openxmlformats.org/drawingml/2006/chart">
  <cdr:relSizeAnchor xmlns:cdr="http://schemas.openxmlformats.org/drawingml/2006/chartDrawing">
    <cdr:from>
      <cdr:x>0.5994</cdr:x>
      <cdr:y>0.31197</cdr:y>
    </cdr:from>
    <cdr:to>
      <cdr:x>0.5994</cdr:x>
      <cdr:y>0.34818</cdr:y>
    </cdr:to>
    <cdr:cxnSp macro="">
      <cdr:nvCxnSpPr>
        <cdr:cNvPr id="3" name="Straight Arrow Connector 2"/>
        <cdr:cNvCxnSpPr/>
      </cdr:nvCxnSpPr>
      <cdr:spPr>
        <a:xfrm xmlns:a="http://schemas.openxmlformats.org/drawingml/2006/main" flipV="1">
          <a:off x="3927978" y="1066789"/>
          <a:ext cx="0" cy="123819"/>
        </a:xfrm>
        <a:prstGeom xmlns:a="http://schemas.openxmlformats.org/drawingml/2006/main" prst="straightConnector1">
          <a:avLst/>
        </a:prstGeom>
        <a:ln xmlns:a="http://schemas.openxmlformats.org/drawingml/2006/main">
          <a:solidFill>
            <a:schemeClr val="tx1"/>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2.xml><?xml version="1.0" encoding="utf-8"?>
<c:userShapes xmlns:c="http://schemas.openxmlformats.org/drawingml/2006/chart">
  <cdr:relSizeAnchor xmlns:cdr="http://schemas.openxmlformats.org/drawingml/2006/chartDrawing">
    <cdr:from>
      <cdr:x>0.37333</cdr:x>
      <cdr:y>0.14579</cdr:y>
    </cdr:from>
    <cdr:to>
      <cdr:x>0.37667</cdr:x>
      <cdr:y>0.84738</cdr:y>
    </cdr:to>
    <cdr:cxnSp macro="">
      <cdr:nvCxnSpPr>
        <cdr:cNvPr id="3" name="Straight Connector 2"/>
        <cdr:cNvCxnSpPr/>
      </cdr:nvCxnSpPr>
      <cdr:spPr>
        <a:xfrm xmlns:a="http://schemas.openxmlformats.org/drawingml/2006/main">
          <a:off x="1066800" y="609600"/>
          <a:ext cx="9525" cy="293370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0.14468</cdr:x>
      <cdr:y>0.36653</cdr:y>
    </cdr:from>
    <cdr:to>
      <cdr:x>0.98114</cdr:x>
      <cdr:y>0.36791</cdr:y>
    </cdr:to>
    <cdr:cxnSp macro="">
      <cdr:nvCxnSpPr>
        <cdr:cNvPr id="7" name="Straight Connector 6"/>
        <cdr:cNvCxnSpPr/>
      </cdr:nvCxnSpPr>
      <cdr:spPr>
        <a:xfrm xmlns:a="http://schemas.openxmlformats.org/drawingml/2006/main" flipV="1">
          <a:off x="413414" y="1532634"/>
          <a:ext cx="2390184" cy="5770"/>
        </a:xfrm>
        <a:prstGeom xmlns:a="http://schemas.openxmlformats.org/drawingml/2006/main" prst="line">
          <a:avLst/>
        </a:prstGeom>
        <a:ln xmlns:a="http://schemas.openxmlformats.org/drawingml/2006/main" w="12700">
          <a:solidFill>
            <a:srgbClr val="7030A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3.xml><?xml version="1.0" encoding="utf-8"?>
<c:userShapes xmlns:c="http://schemas.openxmlformats.org/drawingml/2006/chart">
  <cdr:relSizeAnchor xmlns:cdr="http://schemas.openxmlformats.org/drawingml/2006/chartDrawing">
    <cdr:from>
      <cdr:x>0.83237</cdr:x>
      <cdr:y>0.04452</cdr:y>
    </cdr:from>
    <cdr:to>
      <cdr:x>0.96904</cdr:x>
      <cdr:y>0.10408</cdr:y>
    </cdr:to>
    <cdr:sp macro="" textlink="">
      <cdr:nvSpPr>
        <cdr:cNvPr id="2" name="TextBox 1"/>
        <cdr:cNvSpPr txBox="1"/>
      </cdr:nvSpPr>
      <cdr:spPr>
        <a:xfrm xmlns:a="http://schemas.openxmlformats.org/drawingml/2006/main">
          <a:off x="5378606" y="170300"/>
          <a:ext cx="883129" cy="227845"/>
        </a:xfrm>
        <a:prstGeom xmlns:a="http://schemas.openxmlformats.org/drawingml/2006/main" prst="rect">
          <a:avLst/>
        </a:prstGeom>
      </cdr:spPr>
      <cdr:txBody>
        <a:bodyPr xmlns:a="http://schemas.openxmlformats.org/drawingml/2006/main" wrap="none" rtlCol="0"/>
        <a:lstStyle xmlns:a="http://schemas.openxmlformats.org/drawingml/2006/main"/>
        <a:p xmlns:a="http://schemas.openxmlformats.org/drawingml/2006/main">
          <a:endParaRPr lang="en-US" sz="1100">
            <a:latin typeface="+mj-lt"/>
          </a:endParaRPr>
        </a:p>
      </cdr:txBody>
    </cdr:sp>
  </cdr:relSizeAnchor>
</c:userShapes>
</file>

<file path=word/drawings/drawing24.xml><?xml version="1.0" encoding="utf-8"?>
<c:userShapes xmlns:c="http://schemas.openxmlformats.org/drawingml/2006/chart">
  <cdr:relSizeAnchor xmlns:cdr="http://schemas.openxmlformats.org/drawingml/2006/chartDrawing">
    <cdr:from>
      <cdr:x>0.8498</cdr:x>
      <cdr:y>0</cdr:y>
    </cdr:from>
    <cdr:to>
      <cdr:x>0.8532</cdr:x>
      <cdr:y>0.87901</cdr:y>
    </cdr:to>
    <cdr:cxnSp macro="">
      <cdr:nvCxnSpPr>
        <cdr:cNvPr id="3" name="Straight Connector 2"/>
        <cdr:cNvCxnSpPr/>
      </cdr:nvCxnSpPr>
      <cdr:spPr>
        <a:xfrm xmlns:a="http://schemas.openxmlformats.org/drawingml/2006/main">
          <a:off x="2343589" y="0"/>
          <a:ext cx="9377" cy="1934064"/>
        </a:xfrm>
        <a:prstGeom xmlns:a="http://schemas.openxmlformats.org/drawingml/2006/main" prst="line">
          <a:avLst/>
        </a:prstGeom>
        <a:ln xmlns:a="http://schemas.openxmlformats.org/drawingml/2006/main">
          <a:prstDash val="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relSizeAnchor>
</c:userShapes>
</file>

<file path=word/drawings/drawing25.xml><?xml version="1.0" encoding="utf-8"?>
<c:userShapes xmlns:c="http://schemas.openxmlformats.org/drawingml/2006/chart">
  <cdr:relSizeAnchor xmlns:cdr="http://schemas.openxmlformats.org/drawingml/2006/chartDrawing">
    <cdr:from>
      <cdr:x>0.11452</cdr:x>
      <cdr:y>0.17764</cdr:y>
    </cdr:from>
    <cdr:to>
      <cdr:x>0.24585</cdr:x>
      <cdr:y>0.5815</cdr:y>
    </cdr:to>
    <cdr:sp macro="" textlink="">
      <cdr:nvSpPr>
        <cdr:cNvPr id="11" name="Oval 10"/>
        <cdr:cNvSpPr/>
      </cdr:nvSpPr>
      <cdr:spPr>
        <a:xfrm xmlns:a="http://schemas.openxmlformats.org/drawingml/2006/main">
          <a:off x="765771" y="768601"/>
          <a:ext cx="878186" cy="1747319"/>
        </a:xfrm>
        <a:prstGeom xmlns:a="http://schemas.openxmlformats.org/drawingml/2006/main" prst="ellipse">
          <a:avLst/>
        </a:prstGeom>
        <a:solidFill xmlns:a="http://schemas.openxmlformats.org/drawingml/2006/main">
          <a:srgbClr val="51BBE7">
            <a:alpha val="16000"/>
          </a:srgbClr>
        </a:solidFill>
        <a:ln xmlns:a="http://schemas.openxmlformats.org/drawingml/2006/main">
          <a:solidFill>
            <a:srgbClr val="29489A">
              <a:alpha val="50000"/>
            </a:srgb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0.19839</cdr:x>
      <cdr:y>0.18226</cdr:y>
    </cdr:from>
    <cdr:to>
      <cdr:x>0.26439</cdr:x>
      <cdr:y>0.36468</cdr:y>
    </cdr:to>
    <cdr:sp macro="" textlink="">
      <cdr:nvSpPr>
        <cdr:cNvPr id="5" name="Straight Arrow Connector 4"/>
        <cdr:cNvSpPr/>
      </cdr:nvSpPr>
      <cdr:spPr>
        <a:xfrm xmlns:a="http://schemas.openxmlformats.org/drawingml/2006/main" flipV="1">
          <a:off x="1326550" y="788569"/>
          <a:ext cx="441325" cy="789261"/>
        </a:xfrm>
        <a:prstGeom xmlns:a="http://schemas.openxmlformats.org/drawingml/2006/main" prst="straightConnector1">
          <a:avLst/>
        </a:prstGeom>
        <a:ln xmlns:a="http://schemas.openxmlformats.org/drawingml/2006/main">
          <a:solidFill>
            <a:schemeClr val="dk1">
              <a:alpha val="54000"/>
            </a:schemeClr>
          </a:solidFill>
          <a:tailEnd type="arrow"/>
        </a:ln>
      </cdr:spPr>
      <cdr:style>
        <a:lnRef xmlns:a="http://schemas.openxmlformats.org/drawingml/2006/main" idx="2">
          <a:schemeClr val="dk1"/>
        </a:lnRef>
        <a:fillRef xmlns:a="http://schemas.openxmlformats.org/drawingml/2006/main" idx="0">
          <a:schemeClr val="dk1"/>
        </a:fillRef>
        <a:effectRef xmlns:a="http://schemas.openxmlformats.org/drawingml/2006/main" idx="1">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0.22207</cdr:x>
      <cdr:y>0.12824</cdr:y>
    </cdr:from>
    <cdr:to>
      <cdr:x>0.46945</cdr:x>
      <cdr:y>0.18809</cdr:y>
    </cdr:to>
    <cdr:sp macro="" textlink="">
      <cdr:nvSpPr>
        <cdr:cNvPr id="6" name="TextBox 5"/>
        <cdr:cNvSpPr txBox="1"/>
      </cdr:nvSpPr>
      <cdr:spPr>
        <a:xfrm xmlns:a="http://schemas.openxmlformats.org/drawingml/2006/main">
          <a:off x="612426" y="370355"/>
          <a:ext cx="682219" cy="17285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0.43662</cdr:x>
      <cdr:y>0.59659</cdr:y>
    </cdr:from>
    <cdr:to>
      <cdr:x>0.70581</cdr:x>
      <cdr:y>0.67086</cdr:y>
    </cdr:to>
    <cdr:sp macro="" textlink="">
      <cdr:nvSpPr>
        <cdr:cNvPr id="7" name="TextBox 6"/>
        <cdr:cNvSpPr txBox="1"/>
      </cdr:nvSpPr>
      <cdr:spPr>
        <a:xfrm xmlns:a="http://schemas.openxmlformats.org/drawingml/2006/main">
          <a:off x="1204111" y="1722940"/>
          <a:ext cx="742384" cy="2145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Рестриктивна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0.36229</cdr:x>
      <cdr:y>0.24444</cdr:y>
    </cdr:from>
    <cdr:to>
      <cdr:x>0.50581</cdr:x>
      <cdr:y>0.61707</cdr:y>
    </cdr:to>
    <cdr:sp macro="" textlink="">
      <cdr:nvSpPr>
        <cdr:cNvPr id="12" name="Oval 11"/>
        <cdr:cNvSpPr/>
      </cdr:nvSpPr>
      <cdr:spPr>
        <a:xfrm xmlns:a="http://schemas.openxmlformats.org/drawingml/2006/main">
          <a:off x="2422554" y="1057597"/>
          <a:ext cx="959667" cy="1612226"/>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latin typeface="Cambria" pitchFamily="18" charset="0"/>
          </a:endParaRPr>
        </a:p>
      </cdr:txBody>
    </cdr:sp>
  </cdr:relSizeAnchor>
  <cdr:relSizeAnchor xmlns:cdr="http://schemas.openxmlformats.org/drawingml/2006/chartDrawing">
    <cdr:from>
      <cdr:x>0.56041</cdr:x>
      <cdr:y>0.13825</cdr:y>
    </cdr:from>
    <cdr:to>
      <cdr:x>0.72635</cdr:x>
      <cdr:y>0.19124</cdr:y>
    </cdr:to>
    <cdr:sp macro="" textlink="">
      <cdr:nvSpPr>
        <cdr:cNvPr id="17" name="TextBox 16"/>
        <cdr:cNvSpPr txBox="1"/>
      </cdr:nvSpPr>
      <cdr:spPr>
        <a:xfrm xmlns:a="http://schemas.openxmlformats.org/drawingml/2006/main">
          <a:off x="3667126" y="571500"/>
          <a:ext cx="1085850" cy="2190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0.07991</cdr:x>
      <cdr:y>0.21162</cdr:y>
    </cdr:from>
    <cdr:to>
      <cdr:x>0.33157</cdr:x>
      <cdr:y>0.2696</cdr:y>
    </cdr:to>
    <cdr:sp macro="" textlink="">
      <cdr:nvSpPr>
        <cdr:cNvPr id="18" name="TextBox 17"/>
        <cdr:cNvSpPr txBox="1"/>
      </cdr:nvSpPr>
      <cdr:spPr>
        <a:xfrm xmlns:a="http://schemas.openxmlformats.org/drawingml/2006/main">
          <a:off x="220389" y="611154"/>
          <a:ext cx="694011" cy="16744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Проциклична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0.30202</cdr:x>
      <cdr:y>0.29314</cdr:y>
    </cdr:from>
    <cdr:to>
      <cdr:x>0.61718</cdr:x>
      <cdr:y>0.38246</cdr:y>
    </cdr:to>
    <cdr:sp macro="" textlink="">
      <cdr:nvSpPr>
        <cdr:cNvPr id="19" name="TextBox 18"/>
        <cdr:cNvSpPr txBox="1"/>
      </cdr:nvSpPr>
      <cdr:spPr>
        <a:xfrm xmlns:a="http://schemas.openxmlformats.org/drawingml/2006/main">
          <a:off x="857269" y="620975"/>
          <a:ext cx="894566" cy="18921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dr:relSizeAnchor xmlns:cdr="http://schemas.openxmlformats.org/drawingml/2006/chartDrawing">
    <cdr:from>
      <cdr:x>0.62615</cdr:x>
      <cdr:y>0.1902</cdr:y>
    </cdr:from>
    <cdr:to>
      <cdr:x>0.73853</cdr:x>
      <cdr:y>0.7217</cdr:y>
    </cdr:to>
    <cdr:sp macro="" textlink="">
      <cdr:nvSpPr>
        <cdr:cNvPr id="10" name="Oval 9"/>
        <cdr:cNvSpPr/>
      </cdr:nvSpPr>
      <cdr:spPr>
        <a:xfrm xmlns:a="http://schemas.openxmlformats.org/drawingml/2006/main">
          <a:off x="1726788" y="549294"/>
          <a:ext cx="309922" cy="1534961"/>
        </a:xfrm>
        <a:prstGeom xmlns:a="http://schemas.openxmlformats.org/drawingml/2006/main" prst="ellipse">
          <a:avLst/>
        </a:prstGeom>
        <a:solidFill xmlns:a="http://schemas.openxmlformats.org/drawingml/2006/main">
          <a:srgbClr val="51BBE7">
            <a:alpha val="15000"/>
          </a:srgbClr>
        </a:solidFill>
        <a:ln xmlns:a="http://schemas.openxmlformats.org/drawingml/2006/main">
          <a:solidFill>
            <a:schemeClr val="accent1">
              <a:shade val="50000"/>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0.52197</cdr:x>
      <cdr:y>0.27377</cdr:y>
    </cdr:from>
    <cdr:to>
      <cdr:x>0.75961</cdr:x>
      <cdr:y>0.3323</cdr:y>
    </cdr:to>
    <cdr:sp macro="" textlink="">
      <cdr:nvSpPr>
        <cdr:cNvPr id="13" name="TextBox 12"/>
        <cdr:cNvSpPr txBox="1"/>
      </cdr:nvSpPr>
      <cdr:spPr>
        <a:xfrm xmlns:a="http://schemas.openxmlformats.org/drawingml/2006/main">
          <a:off x="1439501" y="790642"/>
          <a:ext cx="655364" cy="16902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600" b="1" baseline="0">
              <a:solidFill>
                <a:srgbClr val="44546A"/>
              </a:solidFill>
              <a:latin typeface="+mn-lt"/>
            </a:rPr>
            <a:t>Проциклична</a:t>
          </a:r>
          <a:endParaRPr lang="en-US" sz="600" b="1" baseline="0">
            <a:solidFill>
              <a:srgbClr val="44546A"/>
            </a:solidFill>
            <a:latin typeface="+mn-lt"/>
          </a:endParaRPr>
        </a:p>
      </cdr:txBody>
    </cdr:sp>
  </cdr:relSizeAnchor>
  <cdr:relSizeAnchor xmlns:cdr="http://schemas.openxmlformats.org/drawingml/2006/chartDrawing">
    <cdr:from>
      <cdr:x>0.56843</cdr:x>
      <cdr:y>0.12366</cdr:y>
    </cdr:from>
    <cdr:to>
      <cdr:x>0.78788</cdr:x>
      <cdr:y>0.19123</cdr:y>
    </cdr:to>
    <cdr:sp macro="" textlink="">
      <cdr:nvSpPr>
        <cdr:cNvPr id="15" name="TextBox 1"/>
        <cdr:cNvSpPr txBox="1"/>
      </cdr:nvSpPr>
      <cdr:spPr>
        <a:xfrm xmlns:a="http://schemas.openxmlformats.org/drawingml/2006/main">
          <a:off x="1567620" y="357139"/>
          <a:ext cx="605211" cy="1951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RS" sz="600" b="1" i="0" u="none" strike="noStrike" kern="1200" baseline="0">
              <a:solidFill>
                <a:srgbClr val="44546A"/>
              </a:solidFill>
              <a:effectLst/>
              <a:latin typeface="+mn-lt"/>
              <a:ea typeface="+mn-ea"/>
              <a:cs typeface="+mn-cs"/>
            </a:rPr>
            <a:t>Експанзивна</a:t>
          </a:r>
          <a:r>
            <a:rPr lang="en-US" sz="600" baseline="0">
              <a:latin typeface="+mn-lt"/>
            </a:rPr>
            <a:t> </a:t>
          </a:r>
        </a:p>
      </cdr:txBody>
    </cdr:sp>
  </cdr:relSizeAnchor>
  <cdr:relSizeAnchor xmlns:cdr="http://schemas.openxmlformats.org/drawingml/2006/chartDrawing">
    <cdr:from>
      <cdr:x>0.72879</cdr:x>
      <cdr:y>0.0627</cdr:y>
    </cdr:from>
    <cdr:to>
      <cdr:x>0.98334</cdr:x>
      <cdr:y>0.63708</cdr:y>
    </cdr:to>
    <cdr:sp macro="" textlink="">
      <cdr:nvSpPr>
        <cdr:cNvPr id="16" name="Oval 15"/>
        <cdr:cNvSpPr/>
      </cdr:nvSpPr>
      <cdr:spPr>
        <a:xfrm xmlns:a="http://schemas.openxmlformats.org/drawingml/2006/main">
          <a:off x="2009869" y="181070"/>
          <a:ext cx="701995" cy="1658802"/>
        </a:xfrm>
        <a:prstGeom xmlns:a="http://schemas.openxmlformats.org/drawingml/2006/main" prst="ellipse">
          <a:avLst/>
        </a:prstGeom>
        <a:solidFill xmlns:a="http://schemas.openxmlformats.org/drawingml/2006/main">
          <a:schemeClr val="accent3">
            <a:lumMod val="40000"/>
            <a:lumOff val="60000"/>
            <a:alpha val="15000"/>
          </a:schemeClr>
        </a:solidFill>
        <a:ln xmlns:a="http://schemas.openxmlformats.org/drawingml/2006/main">
          <a:solidFill>
            <a:schemeClr val="accent3">
              <a:alpha val="5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sr-Cyrl-RS" sz="1100" b="1" baseline="0">
              <a:solidFill>
                <a:schemeClr val="lt1"/>
              </a:solidFill>
              <a:effectLst/>
              <a:latin typeface="+mn-lt"/>
              <a:ea typeface="+mn-ea"/>
              <a:cs typeface="+mn-cs"/>
            </a:rPr>
            <a:t>Контрациклична</a:t>
          </a:r>
          <a:endParaRPr lang="en-US">
            <a:effectLst/>
          </a:endParaRPr>
        </a:p>
      </cdr:txBody>
    </cdr:sp>
  </cdr:relSizeAnchor>
  <cdr:relSizeAnchor xmlns:cdr="http://schemas.openxmlformats.org/drawingml/2006/chartDrawing">
    <cdr:from>
      <cdr:x>0.72531</cdr:x>
      <cdr:y>0.06879</cdr:y>
    </cdr:from>
    <cdr:to>
      <cdr:x>1</cdr:x>
      <cdr:y>0.14388</cdr:y>
    </cdr:to>
    <cdr:sp macro="" textlink="">
      <cdr:nvSpPr>
        <cdr:cNvPr id="20" name="TextBox 1"/>
        <cdr:cNvSpPr txBox="1"/>
      </cdr:nvSpPr>
      <cdr:spPr>
        <a:xfrm xmlns:a="http://schemas.openxmlformats.org/drawingml/2006/main">
          <a:off x="2058742" y="145713"/>
          <a:ext cx="779708" cy="159087"/>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Latn-RS" sz="600" b="1" baseline="0">
              <a:solidFill>
                <a:srgbClr val="44546A"/>
              </a:solidFill>
              <a:latin typeface="+mn-lt"/>
              <a:cs typeface="Times New Roman" pitchFamily="18" charset="0"/>
            </a:rPr>
            <a:t>  </a:t>
          </a:r>
          <a:r>
            <a:rPr lang="sr-Cyrl-RS" sz="600" b="1" baseline="0">
              <a:solidFill>
                <a:srgbClr val="44546A"/>
              </a:solidFill>
              <a:latin typeface="+mn-lt"/>
              <a:cs typeface="Times New Roman" pitchFamily="18" charset="0"/>
            </a:rPr>
            <a:t>Контрациклична</a:t>
          </a:r>
          <a:endParaRPr lang="en-US" sz="600" b="1" baseline="0">
            <a:solidFill>
              <a:srgbClr val="44546A"/>
            </a:solidFill>
            <a:latin typeface="+mn-lt"/>
            <a:cs typeface="Times New Roman" pitchFamily="18" charset="0"/>
          </a:endParaRPr>
        </a:p>
      </cdr:txBody>
    </cdr:sp>
  </cdr:relSizeAnchor>
</c:userShapes>
</file>

<file path=word/drawings/drawing26.xml><?xml version="1.0" encoding="utf-8"?>
<c:userShapes xmlns:c="http://schemas.openxmlformats.org/drawingml/2006/chart">
  <cdr:relSizeAnchor xmlns:cdr="http://schemas.openxmlformats.org/drawingml/2006/chartDrawing">
    <cdr:from>
      <cdr:x>0.04375</cdr:x>
      <cdr:y>0.88368</cdr:y>
    </cdr:from>
    <cdr:to>
      <cdr:x>0.16667</cdr:x>
      <cdr:y>0.93576</cdr:y>
    </cdr:to>
    <cdr:sp macro="" textlink="">
      <cdr:nvSpPr>
        <cdr:cNvPr id="2"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0.04792</cdr:x>
      <cdr:y>0.73785</cdr:y>
    </cdr:from>
    <cdr:to>
      <cdr:x>0.24167</cdr:x>
      <cdr:y>0.86979</cdr:y>
    </cdr:to>
    <cdr:sp macro="" textlink="">
      <cdr:nvSpPr>
        <cdr:cNvPr id="3" name="TextBox 2"/>
        <cdr:cNvSpPr txBox="1"/>
      </cdr:nvSpPr>
      <cdr:spPr>
        <a:xfrm xmlns:a="http://schemas.openxmlformats.org/drawingml/2006/main">
          <a:off x="228061" y="2482144"/>
          <a:ext cx="922095" cy="4438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800">
            <a:latin typeface="+mj-lt"/>
          </a:endParaRPr>
        </a:p>
      </cdr:txBody>
    </cdr:sp>
  </cdr:relSizeAnchor>
  <cdr:relSizeAnchor xmlns:cdr="http://schemas.openxmlformats.org/drawingml/2006/chartDrawing">
    <cdr:from>
      <cdr:x>0.66875</cdr:x>
      <cdr:y>0.74826</cdr:y>
    </cdr:from>
    <cdr:to>
      <cdr:x>0.9125</cdr:x>
      <cdr:y>0.84549</cdr:y>
    </cdr:to>
    <cdr:sp macro="" textlink="">
      <cdr:nvSpPr>
        <cdr:cNvPr id="4"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0.76703</cdr:x>
      <cdr:y>0.16819</cdr:y>
    </cdr:from>
    <cdr:to>
      <cdr:x>0.98856</cdr:x>
      <cdr:y>0.2903</cdr:y>
    </cdr:to>
    <cdr:sp macro="" textlink="">
      <cdr:nvSpPr>
        <cdr:cNvPr id="5" name="TextBox 1"/>
        <cdr:cNvSpPr txBox="1"/>
      </cdr:nvSpPr>
      <cdr:spPr>
        <a:xfrm xmlns:a="http://schemas.openxmlformats.org/drawingml/2006/main">
          <a:off x="3650440" y="565780"/>
          <a:ext cx="1054306"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0.73125</cdr:x>
      <cdr:y>0.8206</cdr:y>
    </cdr:from>
    <cdr:to>
      <cdr:x>0.95417</cdr:x>
      <cdr:y>0.94271</cdr:y>
    </cdr:to>
    <cdr:sp macro="" textlink="">
      <cdr:nvSpPr>
        <cdr:cNvPr id="6" name="TextBox 1"/>
        <cdr:cNvSpPr txBox="1"/>
      </cdr:nvSpPr>
      <cdr:spPr>
        <a:xfrm xmlns:a="http://schemas.openxmlformats.org/drawingml/2006/main">
          <a:off x="3480164" y="2760516"/>
          <a:ext cx="1060921" cy="410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mj-lt"/>
          </a:endParaRPr>
        </a:p>
      </cdr:txBody>
    </cdr:sp>
  </cdr:relSizeAnchor>
  <cdr:relSizeAnchor xmlns:cdr="http://schemas.openxmlformats.org/drawingml/2006/chartDrawing">
    <cdr:from>
      <cdr:x>0.04928</cdr:x>
      <cdr:y>0.22036</cdr:y>
    </cdr:from>
    <cdr:to>
      <cdr:x>0.27219</cdr:x>
      <cdr:y>0.34247</cdr:y>
    </cdr:to>
    <cdr:sp macro="" textlink="">
      <cdr:nvSpPr>
        <cdr:cNvPr id="7" name="TextBox 1"/>
        <cdr:cNvSpPr txBox="1"/>
      </cdr:nvSpPr>
      <cdr:spPr>
        <a:xfrm xmlns:a="http://schemas.openxmlformats.org/drawingml/2006/main">
          <a:off x="234530" y="741312"/>
          <a:ext cx="1060873" cy="41078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sr-Cyrl-CS" sz="800">
            <a:latin typeface="Cambria" panose="02040503050406030204" pitchFamily="18" charset="0"/>
          </a:endParaRPr>
        </a:p>
      </cdr:txBody>
    </cdr:sp>
  </cdr:relSizeAnchor>
  <cdr:relSizeAnchor xmlns:cdr="http://schemas.openxmlformats.org/drawingml/2006/chartDrawing">
    <cdr:from>
      <cdr:x>0.04375</cdr:x>
      <cdr:y>0.88368</cdr:y>
    </cdr:from>
    <cdr:to>
      <cdr:x>0.16667</cdr:x>
      <cdr:y>0.93576</cdr:y>
    </cdr:to>
    <cdr:sp macro="" textlink="">
      <cdr:nvSpPr>
        <cdr:cNvPr id="14" name="TextBox 1"/>
        <cdr:cNvSpPr txBox="1"/>
      </cdr:nvSpPr>
      <cdr:spPr>
        <a:xfrm xmlns:a="http://schemas.openxmlformats.org/drawingml/2006/main">
          <a:off x="200025" y="2424113"/>
          <a:ext cx="56197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0.03189</cdr:x>
      <cdr:y>0.81671</cdr:y>
    </cdr:from>
    <cdr:to>
      <cdr:x>0.29217</cdr:x>
      <cdr:y>1</cdr:y>
    </cdr:to>
    <cdr:sp macro="" textlink="">
      <cdr:nvSpPr>
        <cdr:cNvPr id="15" name="TextBox 2"/>
        <cdr:cNvSpPr txBox="1"/>
      </cdr:nvSpPr>
      <cdr:spPr>
        <a:xfrm xmlns:a="http://schemas.openxmlformats.org/drawingml/2006/main">
          <a:off x="87946" y="2218099"/>
          <a:ext cx="717812" cy="49779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0.66875</cdr:x>
      <cdr:y>0.74826</cdr:y>
    </cdr:from>
    <cdr:to>
      <cdr:x>0.9125</cdr:x>
      <cdr:y>0.84549</cdr:y>
    </cdr:to>
    <cdr:sp macro="" textlink="">
      <cdr:nvSpPr>
        <cdr:cNvPr id="16" name="TextBox 3"/>
        <cdr:cNvSpPr txBox="1"/>
      </cdr:nvSpPr>
      <cdr:spPr>
        <a:xfrm xmlns:a="http://schemas.openxmlformats.org/drawingml/2006/main">
          <a:off x="3057525" y="2052638"/>
          <a:ext cx="1114425"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sr-Cyrl-CS" sz="1100"/>
        </a:p>
      </cdr:txBody>
    </cdr:sp>
  </cdr:relSizeAnchor>
  <cdr:relSizeAnchor xmlns:cdr="http://schemas.openxmlformats.org/drawingml/2006/chartDrawing">
    <cdr:from>
      <cdr:x>0.67627</cdr:x>
      <cdr:y>0.01075</cdr:y>
    </cdr:from>
    <cdr:to>
      <cdr:x>0.93434</cdr:x>
      <cdr:y>0.15667</cdr:y>
    </cdr:to>
    <cdr:sp macro="" textlink="">
      <cdr:nvSpPr>
        <cdr:cNvPr id="17" name="TextBox 1"/>
        <cdr:cNvSpPr txBox="1"/>
      </cdr:nvSpPr>
      <cdr:spPr>
        <a:xfrm xmlns:a="http://schemas.openxmlformats.org/drawingml/2006/main">
          <a:off x="1865015" y="29183"/>
          <a:ext cx="711722" cy="39632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проциклично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0.65</cdr:x>
      <cdr:y>0.82671</cdr:y>
    </cdr:from>
    <cdr:to>
      <cdr:x>0.96717</cdr:x>
      <cdr:y>0.95672</cdr:y>
    </cdr:to>
    <cdr:sp macro="" textlink="">
      <cdr:nvSpPr>
        <cdr:cNvPr id="18" name="TextBox 1"/>
        <cdr:cNvSpPr txBox="1"/>
      </cdr:nvSpPr>
      <cdr:spPr>
        <a:xfrm xmlns:a="http://schemas.openxmlformats.org/drawingml/2006/main">
          <a:off x="1792587" y="2245258"/>
          <a:ext cx="874684" cy="35308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рестриктивна</a:t>
          </a:r>
          <a:endParaRPr lang="sr-Cyrl-CS" sz="700" b="1">
            <a:solidFill>
              <a:srgbClr val="44546A"/>
            </a:solidFill>
            <a:latin typeface="Calibri" panose="020F0502020204030204" pitchFamily="34" charset="0"/>
          </a:endParaRPr>
        </a:p>
      </cdr:txBody>
    </cdr:sp>
  </cdr:relSizeAnchor>
  <cdr:relSizeAnchor xmlns:cdr="http://schemas.openxmlformats.org/drawingml/2006/chartDrawing">
    <cdr:from>
      <cdr:x>0</cdr:x>
      <cdr:y>0</cdr:y>
    </cdr:from>
    <cdr:to>
      <cdr:x>0.22291</cdr:x>
      <cdr:y>0.12211</cdr:y>
    </cdr:to>
    <cdr:sp macro="" textlink="">
      <cdr:nvSpPr>
        <cdr:cNvPr id="19" name="TextBox 1"/>
        <cdr:cNvSpPr txBox="1"/>
      </cdr:nvSpPr>
      <cdr:spPr>
        <a:xfrm xmlns:a="http://schemas.openxmlformats.org/drawingml/2006/main">
          <a:off x="0" y="-5694630"/>
          <a:ext cx="614742" cy="33163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sr-Cyrl-CS" sz="700" b="1">
              <a:solidFill>
                <a:srgbClr val="44546A"/>
              </a:solidFill>
              <a:latin typeface="Calibri" panose="020F0502020204030204" pitchFamily="34" charset="0"/>
            </a:rPr>
            <a:t>контрациклично</a:t>
          </a:r>
          <a:r>
            <a:rPr lang="sr-Cyrl-CS" sz="700" b="1" baseline="0">
              <a:solidFill>
                <a:srgbClr val="44546A"/>
              </a:solidFill>
              <a:latin typeface="Calibri" panose="020F0502020204030204" pitchFamily="34" charset="0"/>
            </a:rPr>
            <a:t> - експанзивна</a:t>
          </a:r>
          <a:endParaRPr lang="sr-Cyrl-CS" sz="700" b="1">
            <a:solidFill>
              <a:srgbClr val="44546A"/>
            </a:solidFill>
            <a:latin typeface="Calibri" panose="020F0502020204030204" pitchFamily="34" charset="0"/>
          </a:endParaRPr>
        </a:p>
      </cdr:txBody>
    </cdr:sp>
  </cdr:relSizeAnchor>
</c:userShapes>
</file>

<file path=word/drawings/drawing27.xml><?xml version="1.0" encoding="utf-8"?>
<c:userShapes xmlns:c="http://schemas.openxmlformats.org/drawingml/2006/chart">
  <cdr:relSizeAnchor xmlns:cdr="http://schemas.openxmlformats.org/drawingml/2006/chartDrawing">
    <cdr:from>
      <cdr:x>0.10561</cdr:x>
      <cdr:y>0.51304</cdr:y>
    </cdr:from>
    <cdr:to>
      <cdr:x>0.9714</cdr:x>
      <cdr:y>0.52936</cdr:y>
    </cdr:to>
    <cdr:sp macro="" textlink="">
      <cdr:nvSpPr>
        <cdr:cNvPr id="3" name="Straight Connector 2"/>
        <cdr:cNvSpPr/>
      </cdr:nvSpPr>
      <cdr:spPr>
        <a:xfrm xmlns:a="http://schemas.openxmlformats.org/drawingml/2006/main">
          <a:off x="289710" y="1077363"/>
          <a:ext cx="2375033" cy="34260"/>
        </a:xfrm>
        <a:prstGeom xmlns:a="http://schemas.openxmlformats.org/drawingml/2006/main" prst="line">
          <a:avLst/>
        </a:prstGeom>
        <a:ln xmlns:a="http://schemas.openxmlformats.org/drawingml/2006/main" w="19050">
          <a:prstDash val="sysDash"/>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0.09894</cdr:x>
      <cdr:y>0.15112</cdr:y>
    </cdr:from>
    <cdr:to>
      <cdr:x>0.97363</cdr:x>
      <cdr:y>0.15421</cdr:y>
    </cdr:to>
    <cdr:cxnSp macro="">
      <cdr:nvCxnSpPr>
        <cdr:cNvPr id="4" name="Straight Connector 3"/>
        <cdr:cNvCxnSpPr/>
      </cdr:nvCxnSpPr>
      <cdr:spPr>
        <a:xfrm xmlns:a="http://schemas.openxmlformats.org/drawingml/2006/main">
          <a:off x="271412" y="255641"/>
          <a:ext cx="2399450" cy="5227"/>
        </a:xfrm>
        <a:prstGeom xmlns:a="http://schemas.openxmlformats.org/drawingml/2006/main" prst="line">
          <a:avLst/>
        </a:prstGeom>
        <a:ln xmlns:a="http://schemas.openxmlformats.org/drawingml/2006/main" w="19050">
          <a:prstDash val="sysDash"/>
        </a:ln>
      </cdr:spPr>
      <cdr:style>
        <a:lnRef xmlns:a="http://schemas.openxmlformats.org/drawingml/2006/main" idx="1">
          <a:schemeClr val="accent2"/>
        </a:lnRef>
        <a:fillRef xmlns:a="http://schemas.openxmlformats.org/drawingml/2006/main" idx="0">
          <a:schemeClr val="accent2"/>
        </a:fillRef>
        <a:effectRef xmlns:a="http://schemas.openxmlformats.org/drawingml/2006/main" idx="0">
          <a:schemeClr val="accent2"/>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0.06674</cdr:x>
      <cdr:y>0.6149</cdr:y>
    </cdr:from>
    <cdr:to>
      <cdr:x>0.47434</cdr:x>
      <cdr:y>0.85088</cdr:y>
    </cdr:to>
    <cdr:sp macro="" textlink="">
      <cdr:nvSpPr>
        <cdr:cNvPr id="2" name="TextBox 1"/>
        <cdr:cNvSpPr txBox="1"/>
      </cdr:nvSpPr>
      <cdr:spPr>
        <a:xfrm xmlns:a="http://schemas.openxmlformats.org/drawingml/2006/main">
          <a:off x="88899" y="75263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0.61895</cdr:y>
    </cdr:from>
    <cdr:to>
      <cdr:x>0.92484</cdr:x>
      <cdr:y>0.85493</cdr:y>
    </cdr:to>
    <cdr:sp macro="" textlink="">
      <cdr:nvSpPr>
        <cdr:cNvPr id="3" name="TextBox 1"/>
        <cdr:cNvSpPr txBox="1"/>
      </cdr:nvSpPr>
      <cdr:spPr>
        <a:xfrm xmlns:a="http://schemas.openxmlformats.org/drawingml/2006/main">
          <a:off x="688978" y="757596"/>
          <a:ext cx="542910" cy="28884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4.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64294"/>
          <a:ext cx="542923" cy="29733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0.20965</cdr:y>
    </cdr:from>
    <cdr:to>
      <cdr:x>0.92484</cdr:x>
      <cdr:y>0.44563</cdr:y>
    </cdr:to>
    <cdr:sp macro="" textlink="">
      <cdr:nvSpPr>
        <cdr:cNvPr id="3" name="TextBox 1"/>
        <cdr:cNvSpPr txBox="1"/>
      </cdr:nvSpPr>
      <cdr:spPr>
        <a:xfrm xmlns:a="http://schemas.openxmlformats.org/drawingml/2006/main">
          <a:off x="690337" y="268009"/>
          <a:ext cx="543981" cy="3016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5.xml><?xml version="1.0" encoding="utf-8"?>
<c:userShapes xmlns:c="http://schemas.openxmlformats.org/drawingml/2006/chart">
  <cdr:relSizeAnchor xmlns:cdr="http://schemas.openxmlformats.org/drawingml/2006/chartDrawing">
    <cdr:from>
      <cdr:x>0.05959</cdr:x>
      <cdr:y>0.20976</cdr:y>
    </cdr:from>
    <cdr:to>
      <cdr:x>0.46719</cdr:x>
      <cdr:y>0.44574</cdr:y>
    </cdr:to>
    <cdr:sp macro="" textlink="">
      <cdr:nvSpPr>
        <cdr:cNvPr id="2" name="TextBox 1"/>
        <cdr:cNvSpPr txBox="1"/>
      </cdr:nvSpPr>
      <cdr:spPr>
        <a:xfrm xmlns:a="http://schemas.openxmlformats.org/drawingml/2006/main">
          <a:off x="79374" y="279397"/>
          <a:ext cx="542923"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0.21691</cdr:y>
    </cdr:from>
    <cdr:to>
      <cdr:x>0.92484</cdr:x>
      <cdr:y>0.45289</cdr:y>
    </cdr:to>
    <cdr:sp macro="" textlink="">
      <cdr:nvSpPr>
        <cdr:cNvPr id="3" name="TextBox 1"/>
        <cdr:cNvSpPr txBox="1"/>
      </cdr:nvSpPr>
      <cdr:spPr>
        <a:xfrm xmlns:a="http://schemas.openxmlformats.org/drawingml/2006/main">
          <a:off x="688978" y="288922"/>
          <a:ext cx="542910" cy="3143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6.xml><?xml version="1.0" encoding="utf-8"?>
<c:userShapes xmlns:c="http://schemas.openxmlformats.org/drawingml/2006/chart">
  <cdr:relSizeAnchor xmlns:cdr="http://schemas.openxmlformats.org/drawingml/2006/chartDrawing">
    <cdr:from>
      <cdr:x>0.06674</cdr:x>
      <cdr:y>0.55531</cdr:y>
    </cdr:from>
    <cdr:to>
      <cdr:x>0.47434</cdr:x>
      <cdr:y>0.79129</cdr:y>
    </cdr:to>
    <cdr:sp macro="" textlink="">
      <cdr:nvSpPr>
        <cdr:cNvPr id="2" name="TextBox 1"/>
        <cdr:cNvSpPr txBox="1"/>
      </cdr:nvSpPr>
      <cdr:spPr>
        <a:xfrm xmlns:a="http://schemas.openxmlformats.org/drawingml/2006/main">
          <a:off x="88899" y="559751"/>
          <a:ext cx="542923"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0.54531</cdr:y>
    </cdr:from>
    <cdr:to>
      <cdr:x>0.92484</cdr:x>
      <cdr:y>0.78129</cdr:y>
    </cdr:to>
    <cdr:sp macro="" textlink="">
      <cdr:nvSpPr>
        <cdr:cNvPr id="3" name="TextBox 1"/>
        <cdr:cNvSpPr txBox="1"/>
      </cdr:nvSpPr>
      <cdr:spPr>
        <a:xfrm xmlns:a="http://schemas.openxmlformats.org/drawingml/2006/main">
          <a:off x="688977" y="549672"/>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7.xml><?xml version="1.0" encoding="utf-8"?>
<c:userShapes xmlns:c="http://schemas.openxmlformats.org/drawingml/2006/chart">
  <cdr:relSizeAnchor xmlns:cdr="http://schemas.openxmlformats.org/drawingml/2006/chartDrawing">
    <cdr:from>
      <cdr:x>0.05959</cdr:x>
      <cdr:y>0.54585</cdr:y>
    </cdr:from>
    <cdr:to>
      <cdr:x>0.46719</cdr:x>
      <cdr:y>0.78183</cdr:y>
    </cdr:to>
    <cdr:sp macro="" textlink="">
      <cdr:nvSpPr>
        <cdr:cNvPr id="2" name="TextBox 1"/>
        <cdr:cNvSpPr txBox="1"/>
      </cdr:nvSpPr>
      <cdr:spPr>
        <a:xfrm xmlns:a="http://schemas.openxmlformats.org/drawingml/2006/main">
          <a:off x="79373" y="550216"/>
          <a:ext cx="542923" cy="23786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0.51725</cdr:x>
      <cdr:y>0.54593</cdr:y>
    </cdr:from>
    <cdr:to>
      <cdr:x>0.92484</cdr:x>
      <cdr:y>0.78191</cdr:y>
    </cdr:to>
    <cdr:sp macro="" textlink="">
      <cdr:nvSpPr>
        <cdr:cNvPr id="3" name="TextBox 1"/>
        <cdr:cNvSpPr txBox="1"/>
      </cdr:nvSpPr>
      <cdr:spPr>
        <a:xfrm xmlns:a="http://schemas.openxmlformats.org/drawingml/2006/main">
          <a:off x="688977" y="550296"/>
          <a:ext cx="542910" cy="23786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8.xml><?xml version="1.0" encoding="utf-8"?>
<c:userShapes xmlns:c="http://schemas.openxmlformats.org/drawingml/2006/chart">
  <cdr:relSizeAnchor xmlns:cdr="http://schemas.openxmlformats.org/drawingml/2006/chartDrawing">
    <cdr:from>
      <cdr:x>0.05959</cdr:x>
      <cdr:y>0.18683</cdr:y>
    </cdr:from>
    <cdr:to>
      <cdr:x>0.46719</cdr:x>
      <cdr:y>0.42282</cdr:y>
    </cdr:to>
    <cdr:sp macro="" textlink="">
      <cdr:nvSpPr>
        <cdr:cNvPr id="2" name="TextBox 1"/>
        <cdr:cNvSpPr txBox="1"/>
      </cdr:nvSpPr>
      <cdr:spPr>
        <a:xfrm xmlns:a="http://schemas.openxmlformats.org/drawingml/2006/main">
          <a:off x="79373" y="228680"/>
          <a:ext cx="542923" cy="28885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Претходна пројекција</a:t>
          </a:r>
          <a:endParaRPr lang="en-GB" sz="750" b="1">
            <a:solidFill>
              <a:schemeClr val="bg1"/>
            </a:solidFill>
          </a:endParaRPr>
        </a:p>
      </cdr:txBody>
    </cdr:sp>
  </cdr:relSizeAnchor>
  <cdr:relSizeAnchor xmlns:cdr="http://schemas.openxmlformats.org/drawingml/2006/chartDrawing">
    <cdr:from>
      <cdr:x>0.5101</cdr:x>
      <cdr:y>0.18809</cdr:y>
    </cdr:from>
    <cdr:to>
      <cdr:x>0.91769</cdr:x>
      <cdr:y>0.42407</cdr:y>
    </cdr:to>
    <cdr:sp macro="" textlink="">
      <cdr:nvSpPr>
        <cdr:cNvPr id="3" name="TextBox 1"/>
        <cdr:cNvSpPr txBox="1"/>
      </cdr:nvSpPr>
      <cdr:spPr>
        <a:xfrm xmlns:a="http://schemas.openxmlformats.org/drawingml/2006/main">
          <a:off x="679451" y="230227"/>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chemeClr val="bg1"/>
              </a:solidFill>
            </a:rPr>
            <a:t>Нова</a:t>
          </a:r>
        </a:p>
        <a:p xmlns:a="http://schemas.openxmlformats.org/drawingml/2006/main">
          <a:pPr algn="ctr"/>
          <a:r>
            <a:rPr lang="sr-Cyrl-RS" sz="750" b="1">
              <a:solidFill>
                <a:schemeClr val="bg1"/>
              </a:solidFill>
            </a:rPr>
            <a:t>пројекција</a:t>
          </a:r>
        </a:p>
      </cdr:txBody>
    </cdr:sp>
  </cdr:relSizeAnchor>
</c:userShapes>
</file>

<file path=word/drawings/drawing9.xml><?xml version="1.0" encoding="utf-8"?>
<c:userShapes xmlns:c="http://schemas.openxmlformats.org/drawingml/2006/chart">
  <cdr:relSizeAnchor xmlns:cdr="http://schemas.openxmlformats.org/drawingml/2006/chartDrawing">
    <cdr:from>
      <cdr:x>0.05959</cdr:x>
      <cdr:y>0.65312</cdr:y>
    </cdr:from>
    <cdr:to>
      <cdr:x>0.46719</cdr:x>
      <cdr:y>0.8891</cdr:y>
    </cdr:to>
    <cdr:sp macro="" textlink="">
      <cdr:nvSpPr>
        <cdr:cNvPr id="2" name="TextBox 1"/>
        <cdr:cNvSpPr txBox="1"/>
      </cdr:nvSpPr>
      <cdr:spPr>
        <a:xfrm xmlns:a="http://schemas.openxmlformats.org/drawingml/2006/main">
          <a:off x="79374" y="799419"/>
          <a:ext cx="542923"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29489A"/>
              </a:solidFill>
            </a:rPr>
            <a:t>Претходна пројекција</a:t>
          </a:r>
          <a:endParaRPr lang="en-GB" sz="750" b="1">
            <a:solidFill>
              <a:srgbClr val="29489A"/>
            </a:solidFill>
          </a:endParaRPr>
        </a:p>
      </cdr:txBody>
    </cdr:sp>
  </cdr:relSizeAnchor>
  <cdr:relSizeAnchor xmlns:cdr="http://schemas.openxmlformats.org/drawingml/2006/chartDrawing">
    <cdr:from>
      <cdr:x>0.51725</cdr:x>
      <cdr:y>0.65312</cdr:y>
    </cdr:from>
    <cdr:to>
      <cdr:x>0.92484</cdr:x>
      <cdr:y>0.8891</cdr:y>
    </cdr:to>
    <cdr:sp macro="" textlink="">
      <cdr:nvSpPr>
        <cdr:cNvPr id="3" name="TextBox 1"/>
        <cdr:cNvSpPr txBox="1"/>
      </cdr:nvSpPr>
      <cdr:spPr>
        <a:xfrm xmlns:a="http://schemas.openxmlformats.org/drawingml/2006/main">
          <a:off x="688977" y="799419"/>
          <a:ext cx="542910" cy="288839"/>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sr-Cyrl-RS" sz="750" b="1">
              <a:solidFill>
                <a:srgbClr val="ED1C24"/>
              </a:solidFill>
            </a:rPr>
            <a:t>Нова</a:t>
          </a:r>
        </a:p>
        <a:p xmlns:a="http://schemas.openxmlformats.org/drawingml/2006/main">
          <a:pPr algn="ctr"/>
          <a:r>
            <a:rPr lang="sr-Cyrl-RS" sz="750" b="1">
              <a:solidFill>
                <a:srgbClr val="ED1C24"/>
              </a:solidFill>
            </a:rPr>
            <a:t>пројекција</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Business Set_Red">
    <a:dk1>
      <a:sysClr val="windowText" lastClr="000000"/>
    </a:dk1>
    <a:lt1>
      <a:sysClr val="window" lastClr="FFFFFF"/>
    </a:lt1>
    <a:dk2>
      <a:srgbClr val="000000"/>
    </a:dk2>
    <a:lt2>
      <a:srgbClr val="F8F8F8"/>
    </a:lt2>
    <a:accent1>
      <a:srgbClr val="EF4623"/>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585252-E758-4CC5-92F8-300C916ED3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92</Pages>
  <Words>39522</Words>
  <Characters>225280</Characters>
  <Application>Microsoft Office Word</Application>
  <DocSecurity>0</DocSecurity>
  <Lines>1877</Lines>
  <Paragraphs>528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Jevtović</dc:creator>
  <cp:keywords/>
  <dc:description/>
  <cp:lastModifiedBy>Bojan Grgic</cp:lastModifiedBy>
  <cp:revision>2</cp:revision>
  <cp:lastPrinted>2021-06-03T09:06:00Z</cp:lastPrinted>
  <dcterms:created xsi:type="dcterms:W3CDTF">2021-06-04T10:26:00Z</dcterms:created>
  <dcterms:modified xsi:type="dcterms:W3CDTF">2021-06-04T10:26:00Z</dcterms:modified>
</cp:coreProperties>
</file>