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612EA" w14:textId="3DF6345C" w:rsidR="00FD6B73" w:rsidRDefault="00FD6B73" w:rsidP="00FD6B73">
      <w:pPr>
        <w:spacing w:line="240" w:lineRule="auto"/>
        <w:ind w:firstLine="720"/>
        <w:rPr>
          <w:rFonts w:cs="Times New Roman"/>
          <w:szCs w:val="24"/>
          <w:lang w:val="sr-Cyrl-RS"/>
        </w:rPr>
      </w:pPr>
      <w:r w:rsidRPr="00FD6B73">
        <w:rPr>
          <w:rFonts w:cs="Times New Roman"/>
          <w:szCs w:val="24"/>
          <w:lang w:val="sr-Cyrl-RS"/>
        </w:rPr>
        <w:t xml:space="preserve">На основу члана </w:t>
      </w:r>
      <w:r>
        <w:rPr>
          <w:rFonts w:cs="Times New Roman"/>
          <w:szCs w:val="24"/>
          <w:lang w:val="sr-Cyrl-RS"/>
        </w:rPr>
        <w:t>38. став 1. Закона о планском систему Републике Србије („Службени гласник РС</w:t>
      </w:r>
      <w:r w:rsidR="00A52825">
        <w:rPr>
          <w:rFonts w:cs="Times New Roman"/>
          <w:szCs w:val="24"/>
          <w:lang w:val="sr-Cyrl-RS"/>
        </w:rPr>
        <w:t>ˮ</w:t>
      </w:r>
      <w:r>
        <w:rPr>
          <w:rFonts w:cs="Times New Roman"/>
          <w:szCs w:val="24"/>
          <w:lang w:val="sr-Cyrl-RS"/>
        </w:rPr>
        <w:t xml:space="preserve">, број 30/18), </w:t>
      </w:r>
    </w:p>
    <w:p w14:paraId="0DBEFD32" w14:textId="77777777" w:rsidR="00FD6B73" w:rsidRDefault="00FD6B73" w:rsidP="00FD6B73">
      <w:pPr>
        <w:spacing w:line="240" w:lineRule="auto"/>
        <w:jc w:val="left"/>
        <w:rPr>
          <w:rFonts w:cs="Times New Roman"/>
          <w:szCs w:val="24"/>
          <w:lang w:val="sr-Cyrl-RS"/>
        </w:rPr>
      </w:pPr>
    </w:p>
    <w:p w14:paraId="7F08FC8C" w14:textId="2C792A64" w:rsidR="00FD6B73" w:rsidRPr="00FD6B73" w:rsidRDefault="00FD6B73" w:rsidP="00FD6B73">
      <w:pPr>
        <w:spacing w:line="240" w:lineRule="auto"/>
        <w:ind w:firstLine="720"/>
        <w:jc w:val="left"/>
        <w:rPr>
          <w:rFonts w:cs="Times New Roman"/>
          <w:szCs w:val="24"/>
          <w:lang w:val="sr-Cyrl-RS"/>
        </w:rPr>
      </w:pPr>
      <w:r>
        <w:rPr>
          <w:rFonts w:cs="Times New Roman"/>
          <w:szCs w:val="24"/>
          <w:lang w:val="sr-Cyrl-RS"/>
        </w:rPr>
        <w:t xml:space="preserve">Влада </w:t>
      </w:r>
      <w:r w:rsidR="00577A29">
        <w:rPr>
          <w:rFonts w:cs="Times New Roman"/>
          <w:szCs w:val="24"/>
          <w:lang w:val="sr-Cyrl-RS"/>
        </w:rPr>
        <w:t>усваја</w:t>
      </w:r>
    </w:p>
    <w:p w14:paraId="4F82D51B" w14:textId="77777777" w:rsidR="00393680" w:rsidRPr="00D643FD" w:rsidRDefault="00393680" w:rsidP="00F10AC7">
      <w:pPr>
        <w:spacing w:line="240" w:lineRule="auto"/>
        <w:jc w:val="center"/>
        <w:rPr>
          <w:b/>
          <w:sz w:val="28"/>
          <w:lang w:val="sr-Cyrl-RS"/>
        </w:rPr>
      </w:pPr>
    </w:p>
    <w:p w14:paraId="693642F9" w14:textId="35BDDAA8" w:rsidR="00996099" w:rsidRPr="00FD6B73" w:rsidRDefault="00393680" w:rsidP="00996099">
      <w:pPr>
        <w:pStyle w:val="ListParagraph"/>
        <w:ind w:left="0"/>
        <w:jc w:val="center"/>
        <w:rPr>
          <w:rFonts w:cs="Times New Roman"/>
          <w:b/>
          <w:sz w:val="32"/>
          <w:szCs w:val="28"/>
          <w:lang w:val="ru-RU"/>
        </w:rPr>
      </w:pPr>
      <w:r w:rsidRPr="00FD6B73">
        <w:rPr>
          <w:rFonts w:cs="Times New Roman"/>
          <w:b/>
          <w:sz w:val="32"/>
          <w:szCs w:val="28"/>
          <w:lang w:val="ru-RU"/>
        </w:rPr>
        <w:t>НАЦИОНАЛН</w:t>
      </w:r>
      <w:r w:rsidR="00FD6B73">
        <w:rPr>
          <w:rFonts w:cs="Times New Roman"/>
          <w:b/>
          <w:sz w:val="32"/>
          <w:szCs w:val="28"/>
          <w:lang w:val="ru-RU"/>
        </w:rPr>
        <w:t>У СТРАТЕГИЈУ</w:t>
      </w:r>
      <w:r w:rsidRPr="00FD6B73">
        <w:rPr>
          <w:rFonts w:cs="Times New Roman"/>
          <w:b/>
          <w:sz w:val="32"/>
          <w:szCs w:val="28"/>
          <w:lang w:val="ru-RU"/>
        </w:rPr>
        <w:t xml:space="preserve"> ЗА ПРОЦЕСУИРАЊЕ РАТНИХ ЗЛОЧИНА</w:t>
      </w:r>
    </w:p>
    <w:p w14:paraId="61B44650" w14:textId="77777777" w:rsidR="00510228" w:rsidRPr="00FD6B73" w:rsidRDefault="00996099" w:rsidP="00996099">
      <w:pPr>
        <w:pStyle w:val="ListParagraph"/>
        <w:ind w:left="0"/>
        <w:jc w:val="center"/>
        <w:rPr>
          <w:rFonts w:cs="Times New Roman"/>
          <w:b/>
          <w:sz w:val="32"/>
          <w:szCs w:val="28"/>
          <w:lang w:val="ru-RU"/>
        </w:rPr>
      </w:pPr>
      <w:r w:rsidRPr="00FD6B73">
        <w:rPr>
          <w:rFonts w:cs="Times New Roman"/>
          <w:b/>
          <w:sz w:val="32"/>
          <w:szCs w:val="28"/>
          <w:lang w:val="ru-RU"/>
        </w:rPr>
        <w:t xml:space="preserve">ЗА ПЕРИОД ОД 2021. ДО 2026. ГОДИНЕ </w:t>
      </w:r>
    </w:p>
    <w:p w14:paraId="5BFA4E91" w14:textId="77777777" w:rsidR="00393680" w:rsidRPr="00FD6B73" w:rsidRDefault="00393680" w:rsidP="00F10AC7">
      <w:pPr>
        <w:spacing w:line="240" w:lineRule="auto"/>
        <w:jc w:val="center"/>
        <w:rPr>
          <w:rFonts w:cs="Times New Roman"/>
          <w:b/>
          <w:sz w:val="32"/>
          <w:szCs w:val="28"/>
          <w:lang w:val="ru-RU"/>
        </w:rPr>
      </w:pPr>
    </w:p>
    <w:p w14:paraId="2CA4F2E9" w14:textId="77777777" w:rsidR="00510228" w:rsidRPr="00FD6B73" w:rsidRDefault="00510228" w:rsidP="00F10AC7">
      <w:pPr>
        <w:spacing w:line="240" w:lineRule="auto"/>
        <w:jc w:val="center"/>
        <w:rPr>
          <w:rFonts w:cs="Times New Roman"/>
          <w:b/>
          <w:sz w:val="28"/>
          <w:lang w:val="ru-RU"/>
        </w:rPr>
      </w:pPr>
    </w:p>
    <w:p w14:paraId="60745562" w14:textId="77777777" w:rsidR="006844E0" w:rsidRPr="00CD46D4" w:rsidRDefault="006844E0" w:rsidP="00F10AC7">
      <w:pPr>
        <w:pStyle w:val="Heading1"/>
        <w:numPr>
          <w:ilvl w:val="0"/>
          <w:numId w:val="1"/>
        </w:numPr>
        <w:spacing w:after="240" w:line="240" w:lineRule="auto"/>
        <w:rPr>
          <w:rFonts w:cs="Times New Roman"/>
        </w:rPr>
      </w:pPr>
      <w:bookmarkStart w:id="0" w:name="_Toc72932057"/>
      <w:bookmarkStart w:id="1" w:name="_Toc84580764"/>
      <w:r w:rsidRPr="00CD46D4">
        <w:rPr>
          <w:rFonts w:cs="Times New Roman"/>
        </w:rPr>
        <w:t>УВОД</w:t>
      </w:r>
      <w:bookmarkEnd w:id="0"/>
      <w:bookmarkEnd w:id="1"/>
    </w:p>
    <w:p w14:paraId="69FC7142" w14:textId="77777777" w:rsidR="003A0840" w:rsidRPr="00FD6B73" w:rsidRDefault="003A0840" w:rsidP="00A52825">
      <w:pPr>
        <w:spacing w:line="240" w:lineRule="auto"/>
        <w:rPr>
          <w:rFonts w:cs="Times New Roman"/>
          <w:szCs w:val="24"/>
          <w:shd w:val="clear" w:color="auto" w:fill="FFFFFF"/>
          <w:lang w:val="ru-RU"/>
        </w:rPr>
      </w:pPr>
      <w:r w:rsidRPr="00FD6B73">
        <w:rPr>
          <w:rFonts w:cs="Times New Roman"/>
          <w:szCs w:val="24"/>
          <w:shd w:val="clear" w:color="auto" w:fill="FFFFFF"/>
          <w:lang w:val="ru-RU"/>
        </w:rPr>
        <w:t>Правни основ за доношење Националне стратегије за процесуирање ратних злочина за период од 2021. до 2026. године (у даљем тексту: Стратегија) са Акционим планом за примену Стратегије (у даљем тексту: Акциони план), налази се у одредби члана 38. Закона о планском систему Републике Србије</w:t>
      </w:r>
      <w:r w:rsidRPr="00CD46D4">
        <w:rPr>
          <w:rStyle w:val="FootnoteReference"/>
          <w:rFonts w:cs="Times New Roman"/>
          <w:szCs w:val="24"/>
          <w:shd w:val="clear" w:color="auto" w:fill="FFFFFF"/>
        </w:rPr>
        <w:footnoteReference w:id="2"/>
      </w:r>
      <w:r w:rsidRPr="00FD6B73">
        <w:rPr>
          <w:rFonts w:cs="Times New Roman"/>
          <w:szCs w:val="24"/>
          <w:shd w:val="clear" w:color="auto" w:fill="FFFFFF"/>
          <w:lang w:val="ru-RU"/>
        </w:rPr>
        <w:t>, којим је прописано да документ јавних политика на републичком нивоу усваја Влада, осим ако је другачије прописано посебним законом. Одредбама члана 10. став 2. наведеног закона дефинисани су документи јавних политика, међу којима су стратегија и акциони план.</w:t>
      </w:r>
    </w:p>
    <w:p w14:paraId="1491D6F5" w14:textId="77777777" w:rsidR="00FE2A02" w:rsidRPr="00FD6B73" w:rsidRDefault="00FE2A02" w:rsidP="00FE2A02">
      <w:pPr>
        <w:spacing w:line="240" w:lineRule="auto"/>
        <w:rPr>
          <w:rFonts w:cs="Times New Roman"/>
          <w:lang w:val="ru-RU"/>
        </w:rPr>
      </w:pPr>
      <w:r w:rsidRPr="00FD6B73">
        <w:rPr>
          <w:rFonts w:cs="Times New Roman"/>
          <w:lang w:val="ru-RU"/>
        </w:rPr>
        <w:t>Доношење Стратегије мотивисано је потребом обезбеђивања континуитета у креирању и спровођењу јавних политика које представљају одговор на изазове настале након оружаних сукоба у бившој Социјалистичкој Федеративној Републици Југославији (у даљем тексту: СФРЈ) и на територији Аутономне покрајине Косово и Метохија (у даљем тексту АП КиМ).</w:t>
      </w:r>
    </w:p>
    <w:p w14:paraId="39F030A6" w14:textId="77777777" w:rsidR="005B7D07" w:rsidRPr="00FD6B73" w:rsidRDefault="005B7D07" w:rsidP="00F10AC7">
      <w:pPr>
        <w:spacing w:line="240" w:lineRule="auto"/>
        <w:rPr>
          <w:rFonts w:cs="Times New Roman"/>
          <w:lang w:val="ru-RU"/>
        </w:rPr>
      </w:pPr>
      <w:r w:rsidRPr="00FD6B73">
        <w:rPr>
          <w:rFonts w:cs="Times New Roman"/>
          <w:lang w:val="ru-RU"/>
        </w:rPr>
        <w:t xml:space="preserve">Оружани сукоби </w:t>
      </w:r>
      <w:r w:rsidR="004C18A5" w:rsidRPr="00FD6B73">
        <w:rPr>
          <w:rFonts w:cs="Times New Roman"/>
          <w:lang w:val="ru-RU"/>
        </w:rPr>
        <w:t>на простору бивше</w:t>
      </w:r>
      <w:r w:rsidRPr="00FD6B73">
        <w:rPr>
          <w:rFonts w:cs="Times New Roman"/>
          <w:lang w:val="ru-RU"/>
        </w:rPr>
        <w:t xml:space="preserve"> Социјалистичк</w:t>
      </w:r>
      <w:r w:rsidR="004C18A5" w:rsidRPr="00FD6B73">
        <w:rPr>
          <w:rFonts w:cs="Times New Roman"/>
          <w:lang w:val="ru-RU"/>
        </w:rPr>
        <w:t>е</w:t>
      </w:r>
      <w:r w:rsidRPr="00FD6B73">
        <w:rPr>
          <w:rFonts w:cs="Times New Roman"/>
          <w:lang w:val="ru-RU"/>
        </w:rPr>
        <w:t xml:space="preserve"> Федеративн</w:t>
      </w:r>
      <w:r w:rsidR="004C18A5" w:rsidRPr="00FD6B73">
        <w:rPr>
          <w:rFonts w:cs="Times New Roman"/>
          <w:lang w:val="ru-RU"/>
        </w:rPr>
        <w:t>е</w:t>
      </w:r>
      <w:r w:rsidRPr="00FD6B73">
        <w:rPr>
          <w:rFonts w:cs="Times New Roman"/>
          <w:lang w:val="ru-RU"/>
        </w:rPr>
        <w:t xml:space="preserve"> Републи</w:t>
      </w:r>
      <w:r w:rsidR="004C18A5" w:rsidRPr="00FD6B73">
        <w:rPr>
          <w:rFonts w:cs="Times New Roman"/>
          <w:lang w:val="ru-RU"/>
        </w:rPr>
        <w:t>ке</w:t>
      </w:r>
      <w:r w:rsidRPr="00FD6B73">
        <w:rPr>
          <w:rFonts w:cs="Times New Roman"/>
          <w:lang w:val="ru-RU"/>
        </w:rPr>
        <w:t xml:space="preserve"> Југославиј</w:t>
      </w:r>
      <w:r w:rsidR="004C18A5" w:rsidRPr="00FD6B73">
        <w:rPr>
          <w:rFonts w:cs="Times New Roman"/>
          <w:lang w:val="ru-RU"/>
        </w:rPr>
        <w:t>е</w:t>
      </w:r>
      <w:r w:rsidRPr="00FD6B73">
        <w:rPr>
          <w:rFonts w:cs="Times New Roman"/>
          <w:lang w:val="ru-RU"/>
        </w:rPr>
        <w:t xml:space="preserve"> одликовали су се тешким, масовним и систематским кршењем међународног хуманитарног права. Према проценама различитих организација, за време </w:t>
      </w:r>
      <w:r w:rsidR="00A468B5" w:rsidRPr="00FD6B73">
        <w:rPr>
          <w:rFonts w:cs="Times New Roman"/>
          <w:lang w:val="ru-RU"/>
        </w:rPr>
        <w:t>сукоба</w:t>
      </w:r>
      <w:r w:rsidRPr="00FD6B73">
        <w:rPr>
          <w:rFonts w:cs="Times New Roman"/>
          <w:lang w:val="ru-RU"/>
        </w:rPr>
        <w:t xml:space="preserve"> у Словенији (јун-јул 1991), Хрватској (1991-1995), Босни и Херцеговини (1992-1995), на Косову и Метохији и током бомбардовања Савезне Републике Југославије (1999), као и у Бившој Југословенској Републици Македонији (фебруар-август 2001) – живот је изгубило више од 130.000 особа, међу којима је већина цивила. За више од 10</w:t>
      </w:r>
      <w:r w:rsidR="001C220F" w:rsidRPr="00FD6B73">
        <w:rPr>
          <w:rFonts w:cs="Times New Roman"/>
          <w:lang w:val="ru-RU"/>
        </w:rPr>
        <w:t>.</w:t>
      </w:r>
      <w:r w:rsidR="001D54A7" w:rsidRPr="00FD6B73">
        <w:rPr>
          <w:rFonts w:cs="Times New Roman"/>
          <w:lang w:val="ru-RU"/>
        </w:rPr>
        <w:t>0</w:t>
      </w:r>
      <w:r w:rsidR="00F65C26" w:rsidRPr="00FD6B73">
        <w:rPr>
          <w:rFonts w:cs="Times New Roman"/>
          <w:lang w:val="ru-RU"/>
        </w:rPr>
        <w:t>00</w:t>
      </w:r>
      <w:r w:rsidRPr="00FD6B73">
        <w:rPr>
          <w:rFonts w:cs="Times New Roman"/>
          <w:lang w:val="ru-RU"/>
        </w:rPr>
        <w:t xml:space="preserve"> особ</w:t>
      </w:r>
      <w:r w:rsidR="00F65C26">
        <w:rPr>
          <w:rFonts w:cs="Times New Roman"/>
        </w:rPr>
        <w:t>a</w:t>
      </w:r>
      <w:r w:rsidR="00973C56" w:rsidRPr="00FD6B73">
        <w:rPr>
          <w:rFonts w:cs="Times New Roman"/>
          <w:lang w:val="ru-RU"/>
        </w:rPr>
        <w:t xml:space="preserve"> на овим просторима</w:t>
      </w:r>
      <w:r w:rsidRPr="00FD6B73">
        <w:rPr>
          <w:rFonts w:cs="Times New Roman"/>
          <w:lang w:val="ru-RU"/>
        </w:rPr>
        <w:t xml:space="preserve"> се још увек трага.</w:t>
      </w:r>
      <w:r w:rsidRPr="00CD46D4">
        <w:rPr>
          <w:rStyle w:val="FootnoteReference"/>
          <w:rFonts w:cs="Times New Roman"/>
        </w:rPr>
        <w:footnoteReference w:id="3"/>
      </w:r>
      <w:r w:rsidRPr="00FD6B73">
        <w:rPr>
          <w:rFonts w:cs="Times New Roman"/>
          <w:lang w:val="ru-RU"/>
        </w:rPr>
        <w:t xml:space="preserve"> Поред намерног убијања цивила, у овим сукобима су регистровани бројни случајеви присилног расељавања цивилног становништва, противправног затварања, мучења, сексуалног насиља, нечовечног поступања, као и </w:t>
      </w:r>
      <w:r w:rsidRPr="00FD6B73">
        <w:rPr>
          <w:rFonts w:cs="Times New Roman"/>
          <w:lang w:val="ru-RU"/>
        </w:rPr>
        <w:lastRenderedPageBreak/>
        <w:t xml:space="preserve">пљачке и уништавања имовине, привредних добара, културних и верских објеката.  Ратне злочине су вршиле све </w:t>
      </w:r>
      <w:r w:rsidR="00090EE5" w:rsidRPr="00FD6B73">
        <w:rPr>
          <w:rFonts w:cs="Times New Roman"/>
          <w:lang w:val="ru-RU"/>
        </w:rPr>
        <w:t>сукобљене</w:t>
      </w:r>
      <w:r w:rsidRPr="00FD6B73">
        <w:rPr>
          <w:rFonts w:cs="Times New Roman"/>
          <w:lang w:val="ru-RU"/>
        </w:rPr>
        <w:t xml:space="preserve"> стране. </w:t>
      </w:r>
    </w:p>
    <w:p w14:paraId="4E871A42" w14:textId="52B4D805" w:rsidR="009B7693" w:rsidRPr="00FD6B73" w:rsidRDefault="00A52825" w:rsidP="00F10AC7">
      <w:pPr>
        <w:spacing w:line="240" w:lineRule="auto"/>
        <w:rPr>
          <w:rFonts w:cs="Times New Roman"/>
          <w:lang w:val="ru-RU"/>
        </w:rPr>
      </w:pPr>
      <w:r>
        <w:rPr>
          <w:rFonts w:cs="Times New Roman"/>
          <w:lang w:val="ru-RU"/>
        </w:rPr>
        <w:t>У смислу ове с</w:t>
      </w:r>
      <w:r w:rsidR="00A468B5" w:rsidRPr="00FD6B73">
        <w:rPr>
          <w:rFonts w:cs="Times New Roman"/>
          <w:lang w:val="ru-RU"/>
        </w:rPr>
        <w:t>тратегије</w:t>
      </w:r>
      <w:r w:rsidR="00582A11" w:rsidRPr="00FD6B73">
        <w:rPr>
          <w:rFonts w:cs="Times New Roman"/>
          <w:lang w:val="ru-RU"/>
        </w:rPr>
        <w:t>, п</w:t>
      </w:r>
      <w:r w:rsidR="005B7D07" w:rsidRPr="00FD6B73">
        <w:rPr>
          <w:rFonts w:cs="Times New Roman"/>
          <w:lang w:val="ru-RU"/>
        </w:rPr>
        <w:t xml:space="preserve">од изразом „ратни злочини” у овом документу се подразумевају сва кривична дела садржана у чл. 2-5. Статута </w:t>
      </w:r>
      <w:r w:rsidR="005B7D07" w:rsidRPr="00FD6B73">
        <w:rPr>
          <w:rFonts w:cs="Times New Roman"/>
          <w:bCs/>
          <w:szCs w:val="21"/>
          <w:shd w:val="clear" w:color="auto" w:fill="FFFFFF"/>
          <w:lang w:val="ru-RU"/>
        </w:rPr>
        <w:t xml:space="preserve">Међународног трибунала за кривично гоњење лица одговорних за тешка кршења међународног хуманитарног права на територији бивше Југославије након 1991. године </w:t>
      </w:r>
      <w:r w:rsidR="005B7D07" w:rsidRPr="00FD6B73">
        <w:rPr>
          <w:rFonts w:cs="Times New Roman"/>
          <w:lang w:val="ru-RU"/>
        </w:rPr>
        <w:t>(тешке повреде Женевских конвенција из 1949. године, кршење закона или обичаја ратовања, геноцид и злочини против човечности)</w:t>
      </w:r>
      <w:r>
        <w:rPr>
          <w:rFonts w:cs="Times New Roman"/>
          <w:lang w:val="ru-RU"/>
        </w:rPr>
        <w:t>, сва кривична дела садржана у Г</w:t>
      </w:r>
      <w:r w:rsidR="005B7D07" w:rsidRPr="00FD6B73">
        <w:rPr>
          <w:rFonts w:cs="Times New Roman"/>
          <w:lang w:val="ru-RU"/>
        </w:rPr>
        <w:t xml:space="preserve">лави 16. </w:t>
      </w:r>
      <w:r w:rsidR="004A4C83">
        <w:rPr>
          <w:rFonts w:cs="Times New Roman"/>
          <w:lang w:val="ru-RU"/>
        </w:rPr>
        <w:t>Основног к</w:t>
      </w:r>
      <w:r w:rsidR="005B7D07" w:rsidRPr="00FD6B73">
        <w:rPr>
          <w:rFonts w:cs="Times New Roman"/>
          <w:lang w:val="ru-RU"/>
        </w:rPr>
        <w:t>ривичног закона Савезне Републике Југославије</w:t>
      </w:r>
      <w:r w:rsidR="000151DD" w:rsidRPr="00CD46D4">
        <w:rPr>
          <w:rStyle w:val="FootnoteReference"/>
          <w:rFonts w:cs="Times New Roman"/>
        </w:rPr>
        <w:footnoteReference w:id="4"/>
      </w:r>
      <w:r w:rsidR="000151DD" w:rsidRPr="00FD6B73">
        <w:rPr>
          <w:rFonts w:cs="Times New Roman"/>
          <w:lang w:val="ru-RU"/>
        </w:rPr>
        <w:t>,</w:t>
      </w:r>
      <w:r w:rsidR="005B7D07" w:rsidRPr="00FD6B73">
        <w:rPr>
          <w:rFonts w:cs="Times New Roman"/>
          <w:lang w:val="ru-RU"/>
        </w:rPr>
        <w:t xml:space="preserve"> као и дела из надлежности Тужилаштва за ратне злочине у складу са Законом о организацији и надлежности државних органа у поступку за ратне злочине („Службени гласник РС”, бр. </w:t>
      </w:r>
      <w:r>
        <w:rPr>
          <w:rFonts w:cs="Times New Roman"/>
          <w:lang w:val="ru-RU"/>
        </w:rPr>
        <w:t>67/03, 135/04, 61/</w:t>
      </w:r>
      <w:r w:rsidR="006D4BED" w:rsidRPr="00FD6B73">
        <w:rPr>
          <w:rFonts w:cs="Times New Roman"/>
          <w:lang w:val="ru-RU"/>
        </w:rPr>
        <w:t>05, 101/07,</w:t>
      </w:r>
      <w:r w:rsidR="005B7D07" w:rsidRPr="00FD6B73">
        <w:rPr>
          <w:rFonts w:cs="Times New Roman"/>
          <w:lang w:val="ru-RU"/>
        </w:rPr>
        <w:t xml:space="preserve"> 104/09</w:t>
      </w:r>
      <w:r w:rsidR="006D4BED" w:rsidRPr="00FD6B73">
        <w:rPr>
          <w:rFonts w:cs="Times New Roman"/>
          <w:lang w:val="ru-RU"/>
        </w:rPr>
        <w:t>,</w:t>
      </w:r>
      <w:r>
        <w:rPr>
          <w:rFonts w:cs="Times New Roman"/>
          <w:lang w:val="ru-RU"/>
        </w:rPr>
        <w:t xml:space="preserve"> </w:t>
      </w:r>
      <w:r>
        <w:rPr>
          <w:color w:val="000000" w:themeColor="text1"/>
          <w:lang w:val="ru-RU"/>
        </w:rPr>
        <w:t>101/11,</w:t>
      </w:r>
      <w:r w:rsidR="006D4BED" w:rsidRPr="00FD6B73">
        <w:rPr>
          <w:color w:val="000000" w:themeColor="text1"/>
          <w:lang w:val="ru-RU"/>
        </w:rPr>
        <w:t xml:space="preserve"> 6/15</w:t>
      </w:r>
      <w:r w:rsidR="00B911E5">
        <w:rPr>
          <w:color w:val="000000" w:themeColor="text1"/>
          <w:lang w:val="ru-RU"/>
        </w:rPr>
        <w:t xml:space="preserve"> </w:t>
      </w:r>
      <w:r w:rsidR="00B911E5" w:rsidRPr="00B911E5">
        <w:rPr>
          <w:color w:val="000000" w:themeColor="text1"/>
          <w:sz w:val="20"/>
          <w:szCs w:val="20"/>
          <w:lang w:val="ru-RU"/>
        </w:rPr>
        <w:t>–</w:t>
      </w:r>
      <w:r w:rsidR="006D4BED" w:rsidRPr="00FD6B73">
        <w:rPr>
          <w:color w:val="000000" w:themeColor="text1"/>
          <w:lang w:val="ru-RU"/>
        </w:rPr>
        <w:t xml:space="preserve"> др. </w:t>
      </w:r>
      <w:r w:rsidR="0069033A" w:rsidRPr="00FD6B73">
        <w:rPr>
          <w:color w:val="000000" w:themeColor="text1"/>
          <w:lang w:val="ru-RU"/>
        </w:rPr>
        <w:t>закон</w:t>
      </w:r>
      <w:r w:rsidR="0069033A">
        <w:rPr>
          <w:color w:val="000000" w:themeColor="text1"/>
          <w:lang w:val="ru-RU"/>
        </w:rPr>
        <w:t xml:space="preserve"> </w:t>
      </w:r>
      <w:r>
        <w:rPr>
          <w:color w:val="000000" w:themeColor="text1"/>
          <w:lang w:val="ru-RU"/>
        </w:rPr>
        <w:t>и 87/18</w:t>
      </w:r>
      <w:r w:rsidR="005B7D07" w:rsidRPr="00FD6B73">
        <w:rPr>
          <w:rFonts w:cs="Times New Roman"/>
          <w:color w:val="000000" w:themeColor="text1"/>
          <w:lang w:val="ru-RU"/>
        </w:rPr>
        <w:t xml:space="preserve">). </w:t>
      </w:r>
    </w:p>
    <w:p w14:paraId="30073A88" w14:textId="130A6393" w:rsidR="00143AA1" w:rsidRPr="00FD6B73" w:rsidRDefault="00C011F4" w:rsidP="00143AA1">
      <w:pPr>
        <w:spacing w:line="240" w:lineRule="auto"/>
        <w:rPr>
          <w:rFonts w:cs="Times New Roman"/>
          <w:lang w:val="ru-RU"/>
        </w:rPr>
      </w:pPr>
      <w:r w:rsidRPr="00FD6B73">
        <w:rPr>
          <w:rFonts w:cs="Times New Roman"/>
          <w:lang w:val="ru-RU"/>
        </w:rPr>
        <w:t xml:space="preserve">Република Србија </w:t>
      </w:r>
      <w:r w:rsidR="00C43A03" w:rsidRPr="00FD6B73">
        <w:rPr>
          <w:rFonts w:cs="Times New Roman"/>
          <w:lang w:val="ru-RU"/>
        </w:rPr>
        <w:t xml:space="preserve">је своју посвећеност потреби да </w:t>
      </w:r>
      <w:r w:rsidR="003C1EAF" w:rsidRPr="00FD6B73">
        <w:rPr>
          <w:rFonts w:cs="Times New Roman"/>
          <w:lang w:val="ru-RU"/>
        </w:rPr>
        <w:t xml:space="preserve">сви одговорни за ратне злочине буду приведени правди, доказала како кроз процесуирање учинилаца пред </w:t>
      </w:r>
      <w:r w:rsidR="00A52825">
        <w:rPr>
          <w:rFonts w:cs="Times New Roman"/>
          <w:lang w:val="ru-RU"/>
        </w:rPr>
        <w:t>својим</w:t>
      </w:r>
      <w:r w:rsidR="003C1EAF" w:rsidRPr="00FD6B73">
        <w:rPr>
          <w:rFonts w:cs="Times New Roman"/>
          <w:lang w:val="ru-RU"/>
        </w:rPr>
        <w:t xml:space="preserve"> правосудним органима, тако и кроз сарадњу са Међународним кривичним </w:t>
      </w:r>
      <w:r w:rsidR="00E32577">
        <w:rPr>
          <w:rFonts w:cs="Times New Roman"/>
          <w:lang w:val="ru-RU"/>
        </w:rPr>
        <w:t>трибуналом</w:t>
      </w:r>
      <w:r w:rsidR="003C1EAF" w:rsidRPr="00FD6B73">
        <w:rPr>
          <w:rFonts w:cs="Times New Roman"/>
          <w:lang w:val="ru-RU"/>
        </w:rPr>
        <w:t xml:space="preserve"> за бившу </w:t>
      </w:r>
      <w:r w:rsidR="00E32577">
        <w:rPr>
          <w:rFonts w:cs="Times New Roman"/>
          <w:lang w:val="ru-RU"/>
        </w:rPr>
        <w:t>Југославију (у даљем тексту: МКТ</w:t>
      </w:r>
      <w:r w:rsidR="003C1EAF" w:rsidRPr="00FD6B73">
        <w:rPr>
          <w:rFonts w:cs="Times New Roman"/>
          <w:lang w:val="ru-RU"/>
        </w:rPr>
        <w:t xml:space="preserve">Ј) и Међународним резидуалним Механизмом за </w:t>
      </w:r>
      <w:r w:rsidR="00CD46D4" w:rsidRPr="00FD6B73">
        <w:rPr>
          <w:rFonts w:cs="Times New Roman"/>
          <w:lang w:val="ru-RU"/>
        </w:rPr>
        <w:t>кривичне</w:t>
      </w:r>
      <w:r w:rsidR="003C1EAF" w:rsidRPr="00FD6B73">
        <w:rPr>
          <w:rFonts w:cs="Times New Roman"/>
          <w:lang w:val="ru-RU"/>
        </w:rPr>
        <w:t xml:space="preserve"> судове (у даљем тексту: МРМКС). Усвајање и примена Националне стратегије за процесуирање ратних злочина</w:t>
      </w:r>
      <w:r w:rsidR="003C1EAF" w:rsidRPr="00CD46D4">
        <w:rPr>
          <w:rStyle w:val="FootnoteReference"/>
          <w:rFonts w:cs="Times New Roman"/>
        </w:rPr>
        <w:footnoteReference w:id="5"/>
      </w:r>
      <w:r w:rsidR="00143AA1" w:rsidRPr="00FD6B73">
        <w:rPr>
          <w:rFonts w:cs="Times New Roman"/>
          <w:lang w:val="ru-RU"/>
        </w:rPr>
        <w:t xml:space="preserve">из </w:t>
      </w:r>
      <w:r w:rsidR="003C1EAF" w:rsidRPr="00FD6B73">
        <w:rPr>
          <w:rFonts w:cs="Times New Roman"/>
          <w:lang w:val="ru-RU"/>
        </w:rPr>
        <w:t>2016. године</w:t>
      </w:r>
      <w:r w:rsidR="00143AA1" w:rsidRPr="00FD6B73">
        <w:rPr>
          <w:rFonts w:cs="Times New Roman"/>
          <w:lang w:val="ru-RU"/>
        </w:rPr>
        <w:t>, као и потреба да се након истека њене примене, даље унапређење система уреди новим планским документом, јасан су показатељ да институције Републике Србије препознају да с</w:t>
      </w:r>
      <w:r w:rsidR="005B7D07" w:rsidRPr="00FD6B73">
        <w:rPr>
          <w:rFonts w:cs="Times New Roman"/>
          <w:lang w:val="ru-RU"/>
        </w:rPr>
        <w:t>уђења за ратне злочине, учињене током оружаних сукоба деведесетих година,</w:t>
      </w:r>
      <w:r w:rsidR="00901FF2">
        <w:rPr>
          <w:rFonts w:cs="Times New Roman"/>
          <w:lang w:val="ru-RU"/>
        </w:rPr>
        <w:t xml:space="preserve"> </w:t>
      </w:r>
      <w:r w:rsidR="005B7D07" w:rsidRPr="00FD6B73">
        <w:rPr>
          <w:rFonts w:cs="Times New Roman"/>
          <w:lang w:val="ru-RU"/>
        </w:rPr>
        <w:t>пред правосудним органима Републике Србије</w:t>
      </w:r>
      <w:r w:rsidR="008659B7" w:rsidRPr="00FD6B73">
        <w:rPr>
          <w:rFonts w:cs="Times New Roman"/>
          <w:lang w:val="ru-RU"/>
        </w:rPr>
        <w:t>, без обзира на националну, етничку и верску припадност или статус учиниоца и жртве,</w:t>
      </w:r>
      <w:r w:rsidR="005B7D07" w:rsidRPr="00FD6B73">
        <w:rPr>
          <w:rFonts w:cs="Times New Roman"/>
          <w:lang w:val="ru-RU"/>
        </w:rPr>
        <w:t xml:space="preserve"> представљају један од најважнијих корака у процесу помирења, развоју добросуседских односа и трајном миру</w:t>
      </w:r>
      <w:r w:rsidR="00143AA1" w:rsidRPr="00FD6B73">
        <w:rPr>
          <w:rFonts w:cs="Times New Roman"/>
          <w:lang w:val="ru-RU"/>
        </w:rPr>
        <w:t xml:space="preserve"> и стабилности</w:t>
      </w:r>
      <w:r w:rsidR="005B7D07" w:rsidRPr="00FD6B73">
        <w:rPr>
          <w:rFonts w:cs="Times New Roman"/>
          <w:lang w:val="ru-RU"/>
        </w:rPr>
        <w:t xml:space="preserve"> у региону бивше Југославије.</w:t>
      </w:r>
    </w:p>
    <w:p w14:paraId="205D441B" w14:textId="272B175B" w:rsidR="00143AA1" w:rsidRPr="00FD6B73" w:rsidRDefault="00143AA1" w:rsidP="00143AA1">
      <w:pPr>
        <w:spacing w:line="240" w:lineRule="auto"/>
        <w:rPr>
          <w:rFonts w:cs="Times New Roman"/>
          <w:lang w:val="ru-RU"/>
        </w:rPr>
      </w:pPr>
      <w:r w:rsidRPr="00FD6B73">
        <w:rPr>
          <w:rFonts w:cs="Times New Roman"/>
          <w:lang w:val="ru-RU"/>
        </w:rPr>
        <w:t>Јачање владавине права један је од главних приоритета Републике Србије</w:t>
      </w:r>
      <w:r w:rsidR="00901FF2">
        <w:rPr>
          <w:rFonts w:cs="Times New Roman"/>
          <w:lang w:val="ru-RU"/>
        </w:rPr>
        <w:t xml:space="preserve"> </w:t>
      </w:r>
      <w:r w:rsidRPr="00FD6B73">
        <w:rPr>
          <w:rFonts w:cs="Times New Roman"/>
          <w:lang w:val="ru-RU"/>
        </w:rPr>
        <w:t>а е</w:t>
      </w:r>
      <w:r w:rsidR="005B7D07" w:rsidRPr="00FD6B73">
        <w:rPr>
          <w:rFonts w:cs="Times New Roman"/>
          <w:lang w:val="ru-RU"/>
        </w:rPr>
        <w:t>фикасна суђења за ратне злочине</w:t>
      </w:r>
      <w:r w:rsidRPr="00FD6B73">
        <w:rPr>
          <w:rFonts w:cs="Times New Roman"/>
          <w:lang w:val="ru-RU"/>
        </w:rPr>
        <w:t>, омогућавање приступа правди за жртве, расветљавање судбине несталих лица и неговање културе сећања и дијалога, неодвојиви су део владавине права и одлика демократс</w:t>
      </w:r>
      <w:r w:rsidR="00852C20" w:rsidRPr="00FD6B73">
        <w:rPr>
          <w:rFonts w:cs="Times New Roman"/>
          <w:lang w:val="ru-RU"/>
        </w:rPr>
        <w:t>к</w:t>
      </w:r>
      <w:r w:rsidRPr="00FD6B73">
        <w:rPr>
          <w:rFonts w:cs="Times New Roman"/>
          <w:lang w:val="ru-RU"/>
        </w:rPr>
        <w:t>их друштава.</w:t>
      </w:r>
    </w:p>
    <w:p w14:paraId="350A8B56" w14:textId="0AA05D24" w:rsidR="000151DD" w:rsidRPr="00FD6B73" w:rsidRDefault="00852C20" w:rsidP="008659B7">
      <w:pPr>
        <w:spacing w:line="240" w:lineRule="auto"/>
        <w:rPr>
          <w:rFonts w:cs="Times New Roman"/>
          <w:lang w:val="ru-RU"/>
        </w:rPr>
      </w:pPr>
      <w:r w:rsidRPr="00FD6B73">
        <w:rPr>
          <w:rFonts w:cs="Times New Roman"/>
          <w:lang w:val="ru-RU"/>
        </w:rPr>
        <w:t>Свесна чињенице да на овом путу није сама, Република Србија исказује пуну спремност на остваривању циљева постављених овом стратегијом, настави да гради партнерски однос и блиско сарађује</w:t>
      </w:r>
      <w:r w:rsidR="008659B7" w:rsidRPr="00FD6B73">
        <w:rPr>
          <w:rFonts w:cs="Times New Roman"/>
          <w:lang w:val="ru-RU"/>
        </w:rPr>
        <w:t xml:space="preserve">, како са државама у </w:t>
      </w:r>
      <w:r w:rsidR="00CD46D4" w:rsidRPr="00FD6B73">
        <w:rPr>
          <w:rFonts w:cs="Times New Roman"/>
          <w:lang w:val="ru-RU"/>
        </w:rPr>
        <w:t>региону</w:t>
      </w:r>
      <w:r w:rsidR="008659B7" w:rsidRPr="00FD6B73">
        <w:rPr>
          <w:rFonts w:cs="Times New Roman"/>
          <w:lang w:val="ru-RU"/>
        </w:rPr>
        <w:t xml:space="preserve">, тако и са међународним институцијама чији је мандат блиско везан за превенцију и кажњавање </w:t>
      </w:r>
      <w:r w:rsidR="005B7D07" w:rsidRPr="00FD6B73">
        <w:rPr>
          <w:rFonts w:cs="Times New Roman"/>
          <w:lang w:val="ru-RU"/>
        </w:rPr>
        <w:t>ратни</w:t>
      </w:r>
      <w:r w:rsidR="008659B7" w:rsidRPr="00FD6B73">
        <w:rPr>
          <w:rFonts w:cs="Times New Roman"/>
          <w:lang w:val="ru-RU"/>
        </w:rPr>
        <w:t>х</w:t>
      </w:r>
      <w:r w:rsidR="005B7D07" w:rsidRPr="00FD6B73">
        <w:rPr>
          <w:rFonts w:cs="Times New Roman"/>
          <w:lang w:val="ru-RU"/>
        </w:rPr>
        <w:t xml:space="preserve"> злочин</w:t>
      </w:r>
      <w:r w:rsidR="008659B7" w:rsidRPr="00FD6B73">
        <w:rPr>
          <w:rFonts w:cs="Times New Roman"/>
          <w:lang w:val="ru-RU"/>
        </w:rPr>
        <w:t>а као</w:t>
      </w:r>
      <w:r w:rsidR="00741390">
        <w:rPr>
          <w:rFonts w:cs="Times New Roman"/>
          <w:lang w:val="ru-RU"/>
        </w:rPr>
        <w:t xml:space="preserve"> </w:t>
      </w:r>
      <w:r w:rsidR="005B7D07" w:rsidRPr="00CD46D4">
        <w:rPr>
          <w:rFonts w:cs="Times New Roman"/>
          <w:i/>
        </w:rPr>
        <w:t>delicta</w:t>
      </w:r>
      <w:r w:rsidR="005B7D07" w:rsidRPr="00FD6B73">
        <w:rPr>
          <w:rFonts w:cs="Times New Roman"/>
          <w:i/>
          <w:lang w:val="ru-RU"/>
        </w:rPr>
        <w:t xml:space="preserve"> </w:t>
      </w:r>
      <w:r w:rsidR="005B7D07" w:rsidRPr="00CD46D4">
        <w:rPr>
          <w:rFonts w:cs="Times New Roman"/>
          <w:i/>
        </w:rPr>
        <w:t>contra</w:t>
      </w:r>
      <w:r w:rsidR="005B7D07" w:rsidRPr="00FD6B73">
        <w:rPr>
          <w:rFonts w:cs="Times New Roman"/>
          <w:i/>
          <w:lang w:val="ru-RU"/>
        </w:rPr>
        <w:t xml:space="preserve"> </w:t>
      </w:r>
      <w:r w:rsidR="005B7D07" w:rsidRPr="00CD46D4">
        <w:rPr>
          <w:rFonts w:cs="Times New Roman"/>
          <w:i/>
        </w:rPr>
        <w:t>juris</w:t>
      </w:r>
      <w:r w:rsidR="005B7D07" w:rsidRPr="00FD6B73">
        <w:rPr>
          <w:rFonts w:cs="Times New Roman"/>
          <w:i/>
          <w:lang w:val="ru-RU"/>
        </w:rPr>
        <w:t xml:space="preserve"> </w:t>
      </w:r>
      <w:r w:rsidR="005B7D07" w:rsidRPr="00CD46D4">
        <w:rPr>
          <w:rFonts w:cs="Times New Roman"/>
          <w:i/>
        </w:rPr>
        <w:t>gentium</w:t>
      </w:r>
      <w:r w:rsidR="008659B7" w:rsidRPr="00FD6B73">
        <w:rPr>
          <w:rFonts w:cs="Times New Roman"/>
          <w:lang w:val="ru-RU"/>
        </w:rPr>
        <w:t>, али и заштиту и промоцију људских права и помирења, толеранције, регионалне сарадње и добросуседских односа, као предуслова трајне стабилизације и напретка читавог региона.</w:t>
      </w:r>
    </w:p>
    <w:p w14:paraId="70903FAD" w14:textId="7E585722" w:rsidR="00B404DC" w:rsidRPr="00FD6B73" w:rsidRDefault="00B404DC" w:rsidP="008659B7">
      <w:pPr>
        <w:spacing w:line="240" w:lineRule="auto"/>
        <w:rPr>
          <w:szCs w:val="24"/>
          <w:lang w:val="ru-RU"/>
        </w:rPr>
      </w:pPr>
      <w:r w:rsidRPr="00FD6B73">
        <w:rPr>
          <w:szCs w:val="24"/>
          <w:lang w:val="ru-RU"/>
        </w:rPr>
        <w:t>Имајући у виду специфичност изазова са којима се суочавају институције укључене у откривање, истрагу и процесуирање ратних злочина, у односу на судове и јавна тужилаштва опште надлежности чијим се радом бави Стратегија развој</w:t>
      </w:r>
      <w:r w:rsidR="00A52825">
        <w:rPr>
          <w:szCs w:val="24"/>
          <w:lang w:val="ru-RU"/>
        </w:rPr>
        <w:t xml:space="preserve">а правосуђа за </w:t>
      </w:r>
      <w:r w:rsidR="00A52825">
        <w:rPr>
          <w:szCs w:val="24"/>
          <w:lang w:val="ru-RU"/>
        </w:rPr>
        <w:lastRenderedPageBreak/>
        <w:t>период 2020-2025. године</w:t>
      </w:r>
      <w:r w:rsidRPr="00FD6B73">
        <w:rPr>
          <w:szCs w:val="24"/>
          <w:lang w:val="ru-RU"/>
        </w:rPr>
        <w:t xml:space="preserve"> као и чињеницу да ови процеси, поред правосуђа, подразумевају реформске и развојне процесе, не само у оквиру правосуђа, већ у неколико легислативно-инс</w:t>
      </w:r>
      <w:r w:rsidR="00A52825">
        <w:rPr>
          <w:szCs w:val="24"/>
          <w:lang w:val="ru-RU"/>
        </w:rPr>
        <w:t>т</w:t>
      </w:r>
      <w:r w:rsidRPr="00FD6B73">
        <w:rPr>
          <w:szCs w:val="24"/>
          <w:lang w:val="ru-RU"/>
        </w:rPr>
        <w:t>итуционалних области, Влада Републике Србије препознала је потребу да планирању стратешких корака приступи свеобухватно, кроз доношење нове националне стратегије. Уједно, оваква одлука, мотивисана је и потребом стварања ширег оквира за даље ажурирање и унапређење планских докумената у овој области, попут Тужилачке стратегије за истрагу и гоњење ратних злочина.</w:t>
      </w:r>
    </w:p>
    <w:p w14:paraId="68E7BD17" w14:textId="13ECA873" w:rsidR="0038574F" w:rsidRPr="00FD6B73" w:rsidRDefault="00105757" w:rsidP="0038574F">
      <w:pPr>
        <w:spacing w:after="0" w:line="240" w:lineRule="auto"/>
        <w:rPr>
          <w:rFonts w:cs="Times New Roman"/>
          <w:lang w:val="ru-RU"/>
        </w:rPr>
      </w:pPr>
      <w:r w:rsidRPr="00FD6B73">
        <w:rPr>
          <w:rFonts w:cs="Times New Roman"/>
          <w:color w:val="000000"/>
          <w:szCs w:val="24"/>
          <w:lang w:val="ru-RU"/>
        </w:rPr>
        <w:t xml:space="preserve">У изради Стратегије учествовали су представници: Апелационог суда у Београду, </w:t>
      </w:r>
      <w:r w:rsidRPr="00FD6B73">
        <w:rPr>
          <w:rFonts w:cs="Times New Roman"/>
          <w:lang w:val="ru-RU"/>
        </w:rPr>
        <w:t>Вишег суда у Београду, Комисије за нестала лица, Министарства правде, Министарства унутрашњих послова</w:t>
      </w:r>
      <w:r w:rsidR="00A52825">
        <w:rPr>
          <w:rFonts w:cs="Times New Roman"/>
          <w:lang w:val="ru-RU"/>
        </w:rPr>
        <w:t xml:space="preserve"> </w:t>
      </w:r>
      <w:r w:rsidRPr="00FD6B73">
        <w:rPr>
          <w:rFonts w:cs="Times New Roman"/>
          <w:lang w:val="ru-RU"/>
        </w:rPr>
        <w:t>- Јединице за заштиту, Министарства унутрашњих послова</w:t>
      </w:r>
      <w:r w:rsidR="00A52825">
        <w:rPr>
          <w:rFonts w:cs="Times New Roman"/>
          <w:lang w:val="ru-RU"/>
        </w:rPr>
        <w:t xml:space="preserve"> </w:t>
      </w:r>
      <w:r w:rsidRPr="00FD6B73">
        <w:rPr>
          <w:rFonts w:cs="Times New Roman"/>
          <w:lang w:val="ru-RU"/>
        </w:rPr>
        <w:t>-</w:t>
      </w:r>
      <w:r w:rsidR="00A52825">
        <w:rPr>
          <w:rFonts w:cs="Times New Roman"/>
          <w:lang w:val="ru-RU"/>
        </w:rPr>
        <w:t xml:space="preserve"> </w:t>
      </w:r>
      <w:r w:rsidRPr="00FD6B73">
        <w:rPr>
          <w:rFonts w:cs="Times New Roman"/>
          <w:lang w:val="ru-RU"/>
        </w:rPr>
        <w:t>Службе за откривање ратних злочина, Правосудне академије, Тужилаштва за ратне злочине и Института за криминолошка и социолошка истраживања.</w:t>
      </w:r>
    </w:p>
    <w:p w14:paraId="1D4E1544" w14:textId="77777777" w:rsidR="00FA02C9" w:rsidRPr="00FD6B73" w:rsidRDefault="00FA02C9" w:rsidP="00FD6B73">
      <w:pPr>
        <w:spacing w:after="0" w:line="240" w:lineRule="auto"/>
        <w:rPr>
          <w:rFonts w:cs="Times New Roman"/>
          <w:lang w:val="ru-RU"/>
        </w:rPr>
      </w:pPr>
    </w:p>
    <w:p w14:paraId="5792997C" w14:textId="77777777" w:rsidR="006844E0" w:rsidRPr="00FD6B73" w:rsidRDefault="006844E0" w:rsidP="00F10AC7">
      <w:pPr>
        <w:pStyle w:val="Heading1"/>
        <w:numPr>
          <w:ilvl w:val="0"/>
          <w:numId w:val="1"/>
        </w:numPr>
        <w:spacing w:after="240" w:line="240" w:lineRule="auto"/>
        <w:rPr>
          <w:rFonts w:cs="Times New Roman"/>
          <w:lang w:val="ru-RU"/>
        </w:rPr>
      </w:pPr>
      <w:bookmarkStart w:id="2" w:name="_Toc72932058"/>
      <w:bookmarkStart w:id="3" w:name="_Toc84580765"/>
      <w:r w:rsidRPr="00FD6B73">
        <w:rPr>
          <w:rFonts w:cs="Times New Roman"/>
          <w:lang w:val="ru-RU"/>
        </w:rPr>
        <w:t>ПЛАНСКИ ДОКУМЕНТИ И ПРАВНИ ОКВИР РЕЛЕВАНТНИ ЗА СТРАТЕГИЈУ</w:t>
      </w:r>
      <w:bookmarkEnd w:id="2"/>
      <w:bookmarkEnd w:id="3"/>
    </w:p>
    <w:p w14:paraId="2E170456" w14:textId="2748CCBA" w:rsidR="001E5F3C" w:rsidRPr="00FD6B73" w:rsidRDefault="00A52825" w:rsidP="00F10AC7">
      <w:pPr>
        <w:spacing w:line="240" w:lineRule="auto"/>
        <w:rPr>
          <w:rFonts w:cs="Times New Roman"/>
          <w:szCs w:val="24"/>
          <w:lang w:val="ru-RU"/>
        </w:rPr>
      </w:pPr>
      <w:r>
        <w:rPr>
          <w:rFonts w:cs="Times New Roman"/>
          <w:szCs w:val="24"/>
          <w:lang w:val="ru-RU"/>
        </w:rPr>
        <w:t>Одредбама ч</w:t>
      </w:r>
      <w:r w:rsidR="00841FBF" w:rsidRPr="00FD6B73">
        <w:rPr>
          <w:rFonts w:cs="Times New Roman"/>
          <w:szCs w:val="24"/>
          <w:lang w:val="ru-RU"/>
        </w:rPr>
        <w:t>л. 16</w:t>
      </w:r>
      <w:r w:rsidR="001E5F3C" w:rsidRPr="00FD6B73">
        <w:rPr>
          <w:rFonts w:cs="Times New Roman"/>
          <w:szCs w:val="24"/>
          <w:lang w:val="ru-RU"/>
        </w:rPr>
        <w:t>, 167.</w:t>
      </w:r>
      <w:r w:rsidR="00841FBF" w:rsidRPr="00FD6B73">
        <w:rPr>
          <w:rFonts w:cs="Times New Roman"/>
          <w:szCs w:val="24"/>
          <w:lang w:val="ru-RU"/>
        </w:rPr>
        <w:t xml:space="preserve"> и  194. Устава Републике Србије</w:t>
      </w:r>
      <w:r w:rsidR="00841FBF" w:rsidRPr="00CD46D4">
        <w:rPr>
          <w:rStyle w:val="FootnoteReference"/>
          <w:rFonts w:cs="Times New Roman"/>
          <w:szCs w:val="24"/>
        </w:rPr>
        <w:footnoteReference w:id="6"/>
      </w:r>
      <w:r w:rsidR="00841FBF" w:rsidRPr="00FD6B73">
        <w:rPr>
          <w:rFonts w:cs="Times New Roman"/>
          <w:szCs w:val="24"/>
          <w:lang w:val="ru-RU"/>
        </w:rPr>
        <w:t xml:space="preserve"> предвиђено је да је Устав највиши правни акт Републике Србије. Сви закони и други општи акти донети у Републици Србији морају бити сагласни са Уставом. Поред тога, истом одредбом Устава предвиђено је да су потврђени међународни уговори и општеприхваћена правила међународног права део правног поретка Републике Србије. Потврђени међународни уговори не смеју бити у супротности са Уставом, док закони и други општи акти донети у Републици Србији не смеју бити у супротности са потврђеним међународним уговорима и општеприхваћеним правилима међународног права. </w:t>
      </w:r>
      <w:r w:rsidR="001E5F3C" w:rsidRPr="00FD6B73">
        <w:rPr>
          <w:rFonts w:cs="Times New Roman"/>
          <w:lang w:val="ru-RU"/>
        </w:rPr>
        <w:t>У складу са чланом 142. Устава, судска власт је јединствена на територији Републике Србије. Судови су самостални и независни у свом раду и суде на основу Устава, закона и других општих аката, када је то предвиђено законом, општеприхваћених правила међународног права и потврђених међународних уговора.</w:t>
      </w:r>
    </w:p>
    <w:p w14:paraId="440E2C5C" w14:textId="04A309D6" w:rsidR="001E5F3C" w:rsidRPr="00FD6B73" w:rsidRDefault="001E5F3C" w:rsidP="00F10AC7">
      <w:pPr>
        <w:spacing w:line="240" w:lineRule="auto"/>
        <w:rPr>
          <w:rFonts w:cs="Times New Roman"/>
          <w:szCs w:val="24"/>
          <w:lang w:val="ru-RU"/>
        </w:rPr>
      </w:pPr>
      <w:r w:rsidRPr="00FD6B73">
        <w:rPr>
          <w:rFonts w:cs="Times New Roman"/>
          <w:szCs w:val="24"/>
          <w:lang w:val="ru-RU"/>
        </w:rPr>
        <w:t xml:space="preserve">У пракси, ово значи да су за планирање развојних корака у систему процесуирања ратних злочина, расветљавања судбине несталих лица, као и заштите и подршке жртвама и сведоцима релевантне одредбе Устава, </w:t>
      </w:r>
      <w:r w:rsidR="00A52825">
        <w:rPr>
          <w:rFonts w:cs="Times New Roman"/>
          <w:szCs w:val="24"/>
          <w:lang w:val="ru-RU"/>
        </w:rPr>
        <w:t>потврђених</w:t>
      </w:r>
      <w:r w:rsidRPr="00FD6B73">
        <w:rPr>
          <w:rFonts w:cs="Times New Roman"/>
          <w:szCs w:val="24"/>
          <w:lang w:val="ru-RU"/>
        </w:rPr>
        <w:t xml:space="preserve"> међународних уговора, закона и других општих аката Републике Србије. </w:t>
      </w:r>
    </w:p>
    <w:p w14:paraId="6EC8AC72" w14:textId="16483ED7" w:rsidR="00841FBF" w:rsidRPr="00FD6B73" w:rsidRDefault="00841FBF" w:rsidP="00F10AC7">
      <w:pPr>
        <w:spacing w:line="240" w:lineRule="auto"/>
        <w:rPr>
          <w:rFonts w:cs="Times New Roman"/>
          <w:szCs w:val="24"/>
          <w:lang w:val="ru-RU"/>
        </w:rPr>
      </w:pPr>
      <w:r w:rsidRPr="00FD6B73">
        <w:rPr>
          <w:rFonts w:cs="Times New Roman"/>
          <w:szCs w:val="24"/>
          <w:lang w:val="ru-RU"/>
        </w:rPr>
        <w:t xml:space="preserve">Поред тога, ова стратегија блиско се ослања на низ планских докумената али и међународних инструмената који нису предмет </w:t>
      </w:r>
      <w:r w:rsidR="00A52825">
        <w:rPr>
          <w:rFonts w:cs="Times New Roman"/>
          <w:szCs w:val="24"/>
          <w:lang w:val="ru-RU"/>
        </w:rPr>
        <w:t>потврђивања,</w:t>
      </w:r>
      <w:r w:rsidRPr="00FD6B73">
        <w:rPr>
          <w:rFonts w:cs="Times New Roman"/>
          <w:szCs w:val="24"/>
          <w:lang w:val="ru-RU"/>
        </w:rPr>
        <w:t xml:space="preserve"> али ближе прецизирају стандарде садржане у међународним уговорима.</w:t>
      </w:r>
    </w:p>
    <w:p w14:paraId="6153DC62" w14:textId="26DB7374" w:rsidR="00B404DC" w:rsidRPr="00FD6B73" w:rsidRDefault="00841FBF" w:rsidP="00F10AC7">
      <w:pPr>
        <w:spacing w:after="0" w:line="240" w:lineRule="auto"/>
        <w:rPr>
          <w:rFonts w:cs="Times New Roman"/>
          <w:szCs w:val="24"/>
          <w:lang w:val="ru-RU"/>
        </w:rPr>
      </w:pPr>
      <w:r w:rsidRPr="00FD6B73">
        <w:rPr>
          <w:rFonts w:cs="Times New Roman"/>
          <w:szCs w:val="24"/>
          <w:lang w:val="ru-RU"/>
        </w:rPr>
        <w:t xml:space="preserve">Најзад, приликом израде Стратегије, у обзир су узета мишљења и препоруке релевантних тела Уједињених нација (у даљем тексту: УН) и Савета Европе </w:t>
      </w:r>
      <w:r w:rsidR="00A52825">
        <w:rPr>
          <w:rFonts w:cs="Times New Roman"/>
          <w:szCs w:val="24"/>
          <w:lang w:val="ru-RU"/>
        </w:rPr>
        <w:t>(</w:t>
      </w:r>
      <w:r w:rsidRPr="00FD6B73">
        <w:rPr>
          <w:rFonts w:cs="Times New Roman"/>
          <w:szCs w:val="24"/>
          <w:lang w:val="ru-RU"/>
        </w:rPr>
        <w:t>у даљем тексту: СЕ), као и извештаји о напретку Републике Србије у процесу придруживања Европској унији (у даљем тексту: ЕУ).</w:t>
      </w:r>
    </w:p>
    <w:p w14:paraId="693A9356" w14:textId="77777777" w:rsidR="007F714A" w:rsidRPr="00FD6B73" w:rsidRDefault="007F714A" w:rsidP="00F10AC7">
      <w:pPr>
        <w:spacing w:line="240" w:lineRule="auto"/>
        <w:rPr>
          <w:rFonts w:cs="Times New Roman"/>
          <w:lang w:val="ru-RU"/>
        </w:rPr>
      </w:pPr>
    </w:p>
    <w:p w14:paraId="07332E20" w14:textId="77777777" w:rsidR="007F714A" w:rsidRPr="00CD46D4" w:rsidRDefault="007F714A" w:rsidP="00F10AC7">
      <w:pPr>
        <w:pStyle w:val="Heading2"/>
        <w:numPr>
          <w:ilvl w:val="1"/>
          <w:numId w:val="1"/>
        </w:numPr>
        <w:spacing w:after="240" w:line="240" w:lineRule="auto"/>
        <w:rPr>
          <w:rFonts w:cs="Times New Roman"/>
        </w:rPr>
      </w:pPr>
      <w:bookmarkStart w:id="4" w:name="_Toc72932059"/>
      <w:bookmarkStart w:id="5" w:name="_Toc84580766"/>
      <w:r w:rsidRPr="00CD46D4">
        <w:rPr>
          <w:rFonts w:cs="Times New Roman"/>
        </w:rPr>
        <w:lastRenderedPageBreak/>
        <w:t>Плански оквир Републике Србије</w:t>
      </w:r>
      <w:bookmarkEnd w:id="4"/>
      <w:bookmarkEnd w:id="5"/>
    </w:p>
    <w:p w14:paraId="517D39F8" w14:textId="77777777" w:rsidR="00841FBF" w:rsidRPr="00FD6B73" w:rsidRDefault="00841FBF" w:rsidP="00F10AC7">
      <w:pPr>
        <w:spacing w:line="240" w:lineRule="auto"/>
        <w:rPr>
          <w:rFonts w:cs="Times New Roman"/>
          <w:szCs w:val="24"/>
          <w:lang w:val="ru-RU"/>
        </w:rPr>
      </w:pPr>
      <w:r w:rsidRPr="00FD6B73">
        <w:rPr>
          <w:rFonts w:cs="Times New Roman"/>
          <w:szCs w:val="24"/>
          <w:lang w:val="ru-RU"/>
        </w:rPr>
        <w:t>Када је реч о планским документима, између осталог, Стратегија је повезана и међусобно усклађена са следећим стратешким документима:</w:t>
      </w:r>
    </w:p>
    <w:p w14:paraId="4C25CFB6" w14:textId="77777777" w:rsidR="00841FBF" w:rsidRPr="00FD6B73" w:rsidRDefault="00841FBF" w:rsidP="00A75929">
      <w:pPr>
        <w:pStyle w:val="ListParagraph"/>
        <w:numPr>
          <w:ilvl w:val="0"/>
          <w:numId w:val="36"/>
        </w:numPr>
        <w:ind w:left="360"/>
        <w:contextualSpacing w:val="0"/>
        <w:rPr>
          <w:rFonts w:cs="Times New Roman"/>
          <w:szCs w:val="24"/>
          <w:lang w:val="ru-RU"/>
        </w:rPr>
      </w:pPr>
      <w:r w:rsidRPr="00FD6B73">
        <w:rPr>
          <w:rFonts w:cs="Times New Roman"/>
          <w:szCs w:val="24"/>
          <w:lang w:val="ru-RU"/>
        </w:rPr>
        <w:t>Ревидирани Акциони план за Поглавље 23</w:t>
      </w:r>
      <w:r w:rsidR="0035788B" w:rsidRPr="00FD6B73">
        <w:rPr>
          <w:rFonts w:cs="Times New Roman"/>
          <w:szCs w:val="24"/>
          <w:lang w:val="ru-RU"/>
        </w:rPr>
        <w:t>;</w:t>
      </w:r>
      <w:r w:rsidRPr="00CD46D4">
        <w:rPr>
          <w:rStyle w:val="FootnoteReference"/>
          <w:rFonts w:cs="Times New Roman"/>
          <w:szCs w:val="24"/>
        </w:rPr>
        <w:footnoteReference w:id="7"/>
      </w:r>
    </w:p>
    <w:p w14:paraId="619E532E" w14:textId="77777777" w:rsidR="00841FBF" w:rsidRPr="00FD6B73" w:rsidRDefault="00841FBF" w:rsidP="00A75929">
      <w:pPr>
        <w:pStyle w:val="ListParagraph"/>
        <w:numPr>
          <w:ilvl w:val="0"/>
          <w:numId w:val="36"/>
        </w:numPr>
        <w:ind w:left="360"/>
        <w:contextualSpacing w:val="0"/>
        <w:rPr>
          <w:rFonts w:cs="Times New Roman"/>
          <w:szCs w:val="24"/>
          <w:lang w:val="ru-RU"/>
        </w:rPr>
      </w:pPr>
      <w:r w:rsidRPr="00FD6B73">
        <w:rPr>
          <w:rFonts w:cs="Times New Roman"/>
          <w:szCs w:val="24"/>
          <w:lang w:val="ru-RU"/>
        </w:rPr>
        <w:t>Стратегија развоја правосуђа за период 2020-2025. године</w:t>
      </w:r>
      <w:r w:rsidR="0035788B" w:rsidRPr="00FD6B73">
        <w:rPr>
          <w:rFonts w:cs="Times New Roman"/>
          <w:szCs w:val="24"/>
          <w:lang w:val="ru-RU"/>
        </w:rPr>
        <w:t>;</w:t>
      </w:r>
      <w:r w:rsidRPr="00CD46D4">
        <w:rPr>
          <w:rStyle w:val="FootnoteReference"/>
          <w:rFonts w:cs="Times New Roman"/>
          <w:szCs w:val="24"/>
        </w:rPr>
        <w:footnoteReference w:id="8"/>
      </w:r>
    </w:p>
    <w:p w14:paraId="11E9F24A" w14:textId="222846F8" w:rsidR="00841FBF" w:rsidRPr="00FD6B73" w:rsidRDefault="008C2E9A" w:rsidP="00A75929">
      <w:pPr>
        <w:pStyle w:val="ListParagraph"/>
        <w:numPr>
          <w:ilvl w:val="0"/>
          <w:numId w:val="36"/>
        </w:numPr>
        <w:spacing w:after="0"/>
        <w:ind w:left="360"/>
        <w:contextualSpacing w:val="0"/>
        <w:rPr>
          <w:rFonts w:cs="Times New Roman"/>
          <w:szCs w:val="24"/>
          <w:lang w:val="ru-RU"/>
        </w:rPr>
      </w:pPr>
      <w:r w:rsidRPr="00FD6B73">
        <w:rPr>
          <w:rFonts w:cs="Times New Roman"/>
          <w:lang w:val="ru-RU"/>
        </w:rPr>
        <w:t>Национална стратегија за остваривање</w:t>
      </w:r>
      <w:r w:rsidR="0092146C" w:rsidRPr="0092146C">
        <w:rPr>
          <w:rFonts w:cs="Times New Roman"/>
          <w:lang w:val="ru-RU"/>
        </w:rPr>
        <w:t xml:space="preserve"> </w:t>
      </w:r>
      <w:r w:rsidR="00CF205B" w:rsidRPr="00FD6B73">
        <w:rPr>
          <w:rFonts w:cs="Times New Roman"/>
          <w:szCs w:val="24"/>
          <w:lang w:val="ru-RU"/>
        </w:rPr>
        <w:t>права</w:t>
      </w:r>
      <w:r w:rsidR="0092146C" w:rsidRPr="0092146C">
        <w:rPr>
          <w:rFonts w:cs="Times New Roman"/>
          <w:szCs w:val="24"/>
          <w:lang w:val="ru-RU"/>
        </w:rPr>
        <w:t xml:space="preserve"> </w:t>
      </w:r>
      <w:r w:rsidRPr="00FD6B73">
        <w:rPr>
          <w:rFonts w:cs="Times New Roman"/>
          <w:lang w:val="ru-RU"/>
        </w:rPr>
        <w:t>жртава и сведока кривичних дела у Ре</w:t>
      </w:r>
      <w:r w:rsidR="00D01344" w:rsidRPr="00FD6B73">
        <w:rPr>
          <w:rFonts w:cs="Times New Roman"/>
          <w:lang w:val="ru-RU"/>
        </w:rPr>
        <w:t>публици Србији за период од 2020</w:t>
      </w:r>
      <w:r w:rsidRPr="00FD6B73">
        <w:rPr>
          <w:rFonts w:cs="Times New Roman"/>
          <w:lang w:val="ru-RU"/>
        </w:rPr>
        <w:t>-2025. године са пратећим Акционим планом за период 2020-2022. године</w:t>
      </w:r>
      <w:r w:rsidR="00FF6002" w:rsidRPr="00FD6B73">
        <w:rPr>
          <w:rFonts w:cs="Times New Roman"/>
          <w:lang w:val="ru-RU"/>
        </w:rPr>
        <w:t>.</w:t>
      </w:r>
      <w:r w:rsidRPr="00CD46D4">
        <w:rPr>
          <w:rStyle w:val="FootnoteReference"/>
          <w:rFonts w:cs="Times New Roman"/>
        </w:rPr>
        <w:footnoteReference w:id="9"/>
      </w:r>
    </w:p>
    <w:p w14:paraId="5700CDE8" w14:textId="77777777" w:rsidR="00F126CC" w:rsidRPr="00FD6B73" w:rsidRDefault="00F126CC" w:rsidP="00F10AC7">
      <w:pPr>
        <w:pStyle w:val="ListParagraph"/>
        <w:ind w:left="1080"/>
        <w:rPr>
          <w:rFonts w:cs="Times New Roman"/>
          <w:lang w:val="ru-RU"/>
        </w:rPr>
      </w:pPr>
    </w:p>
    <w:p w14:paraId="54E832FE" w14:textId="77777777" w:rsidR="00841FBF" w:rsidRPr="00CD46D4" w:rsidRDefault="007F714A" w:rsidP="00F10AC7">
      <w:pPr>
        <w:pStyle w:val="Heading2"/>
        <w:numPr>
          <w:ilvl w:val="1"/>
          <w:numId w:val="1"/>
        </w:numPr>
        <w:spacing w:after="240" w:line="240" w:lineRule="auto"/>
        <w:rPr>
          <w:rFonts w:cs="Times New Roman"/>
        </w:rPr>
      </w:pPr>
      <w:bookmarkStart w:id="6" w:name="_Toc72932060"/>
      <w:bookmarkStart w:id="7" w:name="_Toc84580767"/>
      <w:bookmarkStart w:id="8" w:name="_Hlk71899239"/>
      <w:r w:rsidRPr="00CD46D4">
        <w:rPr>
          <w:rFonts w:cs="Times New Roman"/>
        </w:rPr>
        <w:t>Национално законодавство</w:t>
      </w:r>
      <w:bookmarkEnd w:id="6"/>
      <w:bookmarkEnd w:id="7"/>
    </w:p>
    <w:bookmarkEnd w:id="8"/>
    <w:p w14:paraId="6AF921D2" w14:textId="65387078" w:rsidR="0002682C" w:rsidRPr="00FD6B73" w:rsidRDefault="00F126CC" w:rsidP="00F10AC7">
      <w:pPr>
        <w:pStyle w:val="ListParagraph"/>
        <w:numPr>
          <w:ilvl w:val="0"/>
          <w:numId w:val="38"/>
        </w:numPr>
        <w:spacing w:after="120"/>
        <w:ind w:left="360"/>
        <w:contextualSpacing w:val="0"/>
        <w:rPr>
          <w:rFonts w:cs="Times New Roman"/>
          <w:lang w:val="ru-RU"/>
        </w:rPr>
      </w:pPr>
      <w:r w:rsidRPr="00FD6B73">
        <w:rPr>
          <w:rFonts w:cs="Times New Roman"/>
          <w:lang w:val="ru-RU"/>
        </w:rPr>
        <w:t>Закон о организацији и надлежности државних органа у поступку за ратне злочине („Службени гласник РС”, бр. 67/03, 135/04, 61/05, 10</w:t>
      </w:r>
      <w:r w:rsidR="00A52825">
        <w:rPr>
          <w:rFonts w:cs="Times New Roman"/>
          <w:lang w:val="ru-RU"/>
        </w:rPr>
        <w:t xml:space="preserve">1/07, 104/09, 101/11 др. </w:t>
      </w:r>
      <w:r w:rsidR="001408F1">
        <w:rPr>
          <w:rFonts w:cs="Times New Roman"/>
          <w:lang w:val="ru-RU"/>
        </w:rPr>
        <w:t>закон</w:t>
      </w:r>
      <w:r w:rsidR="00A52825">
        <w:rPr>
          <w:rFonts w:cs="Times New Roman"/>
          <w:lang w:val="ru-RU"/>
        </w:rPr>
        <w:t>,</w:t>
      </w:r>
      <w:r w:rsidRPr="00FD6B73">
        <w:rPr>
          <w:rFonts w:cs="Times New Roman"/>
          <w:lang w:val="ru-RU"/>
        </w:rPr>
        <w:t xml:space="preserve"> 6/1</w:t>
      </w:r>
      <w:r w:rsidR="00A52825">
        <w:rPr>
          <w:rFonts w:cs="Times New Roman"/>
          <w:szCs w:val="24"/>
          <w:lang w:val="ru-RU"/>
        </w:rPr>
        <w:t>5 и 87/18</w:t>
      </w:r>
      <w:r w:rsidRPr="00FD6B73">
        <w:rPr>
          <w:rFonts w:cs="Times New Roman"/>
          <w:szCs w:val="24"/>
          <w:lang w:val="ru-RU"/>
        </w:rPr>
        <w:t>)</w:t>
      </w:r>
      <w:r w:rsidR="004F313C" w:rsidRPr="00FD6B73">
        <w:rPr>
          <w:rFonts w:cs="Times New Roman"/>
          <w:szCs w:val="24"/>
          <w:lang w:val="ru-RU"/>
        </w:rPr>
        <w:t>;</w:t>
      </w:r>
    </w:p>
    <w:p w14:paraId="7293768A" w14:textId="25500282" w:rsidR="00FF6002" w:rsidRPr="00FD6B73" w:rsidRDefault="00FF6002" w:rsidP="00FF6002">
      <w:pPr>
        <w:pStyle w:val="ListParagraph"/>
        <w:numPr>
          <w:ilvl w:val="0"/>
          <w:numId w:val="38"/>
        </w:numPr>
        <w:spacing w:after="120"/>
        <w:ind w:left="360"/>
        <w:contextualSpacing w:val="0"/>
        <w:rPr>
          <w:rFonts w:cs="Times New Roman"/>
          <w:lang w:val="ru-RU"/>
        </w:rPr>
      </w:pPr>
      <w:r w:rsidRPr="00FD6B73">
        <w:rPr>
          <w:rFonts w:cs="Times New Roman"/>
          <w:lang w:val="ru-RU"/>
        </w:rPr>
        <w:t xml:space="preserve">Законик о кривичном поступку („Службени гласник РС”, </w:t>
      </w:r>
      <w:r w:rsidR="00A52825">
        <w:rPr>
          <w:rFonts w:cs="Times New Roman"/>
          <w:lang w:val="ru-RU"/>
        </w:rPr>
        <w:t>бр.</w:t>
      </w:r>
      <w:r w:rsidRPr="00FD6B73">
        <w:rPr>
          <w:rFonts w:cs="Times New Roman"/>
          <w:lang w:val="ru-RU"/>
        </w:rPr>
        <w:t xml:space="preserve"> 72/11,</w:t>
      </w:r>
      <w:r w:rsidR="00CA6124" w:rsidRPr="00FD6B73">
        <w:rPr>
          <w:rFonts w:cs="Times New Roman"/>
          <w:lang w:val="ru-RU"/>
        </w:rPr>
        <w:t xml:space="preserve"> 101/11, 121/12, 32/13, 45/13, 55/14,</w:t>
      </w:r>
      <w:r w:rsidRPr="00FD6B73">
        <w:rPr>
          <w:rFonts w:cs="Times New Roman"/>
          <w:lang w:val="ru-RU"/>
        </w:rPr>
        <w:t xml:space="preserve"> 35/19</w:t>
      </w:r>
      <w:r w:rsidR="00CA6124" w:rsidRPr="00FD6B73">
        <w:rPr>
          <w:rFonts w:cs="Times New Roman"/>
          <w:lang w:val="ru-RU"/>
        </w:rPr>
        <w:t xml:space="preserve">, </w:t>
      </w:r>
      <w:r w:rsidR="00CA6124" w:rsidRPr="00FD6B73">
        <w:rPr>
          <w:color w:val="000000" w:themeColor="text1"/>
          <w:lang w:val="ru-RU"/>
        </w:rPr>
        <w:t>27/21-УС и 62/21-УС</w:t>
      </w:r>
      <w:r w:rsidRPr="00FD6B73">
        <w:rPr>
          <w:rFonts w:cs="Times New Roman"/>
          <w:lang w:val="ru-RU"/>
        </w:rPr>
        <w:t>);</w:t>
      </w:r>
    </w:p>
    <w:p w14:paraId="1E3772B6" w14:textId="77777777" w:rsidR="00FF6002" w:rsidRPr="00FD6B73" w:rsidRDefault="00FF6002" w:rsidP="00FF6002">
      <w:pPr>
        <w:pStyle w:val="ListParagraph"/>
        <w:numPr>
          <w:ilvl w:val="0"/>
          <w:numId w:val="38"/>
        </w:numPr>
        <w:spacing w:after="120"/>
        <w:ind w:left="360"/>
        <w:contextualSpacing w:val="0"/>
        <w:rPr>
          <w:rFonts w:cs="Times New Roman"/>
          <w:lang w:val="ru-RU"/>
        </w:rPr>
      </w:pPr>
      <w:r w:rsidRPr="00FD6B73">
        <w:rPr>
          <w:rFonts w:cs="Times New Roman"/>
          <w:lang w:val="ru-RU"/>
        </w:rPr>
        <w:t xml:space="preserve">Закон о међународној правној помоћи у кривичним стварима („Службени гласник РС”, број 20/09); </w:t>
      </w:r>
    </w:p>
    <w:p w14:paraId="50387D38" w14:textId="77777777" w:rsidR="00FF6002" w:rsidRPr="00FD6B73" w:rsidRDefault="00FF6002" w:rsidP="00FF6002">
      <w:pPr>
        <w:pStyle w:val="ListParagraph"/>
        <w:numPr>
          <w:ilvl w:val="0"/>
          <w:numId w:val="38"/>
        </w:numPr>
        <w:spacing w:after="120"/>
        <w:ind w:left="360"/>
        <w:contextualSpacing w:val="0"/>
        <w:rPr>
          <w:rFonts w:cs="Times New Roman"/>
          <w:lang w:val="ru-RU"/>
        </w:rPr>
      </w:pPr>
      <w:r w:rsidRPr="00FD6B73">
        <w:rPr>
          <w:rFonts w:cs="Times New Roman"/>
          <w:lang w:val="ru-RU"/>
        </w:rPr>
        <w:t xml:space="preserve">Закон о програму заштите учесника у кривичном поступку („Службени гласник РС”, број 85/05); </w:t>
      </w:r>
    </w:p>
    <w:p w14:paraId="2228A3AA" w14:textId="77777777" w:rsidR="00FF6002" w:rsidRPr="00FD6B73" w:rsidRDefault="00FF6002" w:rsidP="00FF6002">
      <w:pPr>
        <w:pStyle w:val="ListParagraph"/>
        <w:numPr>
          <w:ilvl w:val="0"/>
          <w:numId w:val="38"/>
        </w:numPr>
        <w:spacing w:after="120"/>
        <w:ind w:left="360"/>
        <w:contextualSpacing w:val="0"/>
        <w:rPr>
          <w:rFonts w:cs="Times New Roman"/>
          <w:lang w:val="ru-RU"/>
        </w:rPr>
      </w:pPr>
      <w:r w:rsidRPr="00FD6B73">
        <w:rPr>
          <w:rFonts w:cs="Times New Roman"/>
          <w:lang w:val="ru-RU"/>
        </w:rPr>
        <w:t>Закон о сарадњи</w:t>
      </w:r>
      <w:r w:rsidRPr="00CD46D4">
        <w:rPr>
          <w:rFonts w:cs="Times New Roman"/>
        </w:rPr>
        <w:t> </w:t>
      </w:r>
      <w:r w:rsidRPr="00FD6B73">
        <w:rPr>
          <w:rFonts w:cs="Times New Roman"/>
          <w:lang w:val="ru-RU"/>
        </w:rPr>
        <w:t>Србије и Црне Горе</w:t>
      </w:r>
      <w:r w:rsidRPr="00CD46D4">
        <w:rPr>
          <w:rFonts w:cs="Times New Roman"/>
        </w:rPr>
        <w:t> </w:t>
      </w:r>
      <w:r w:rsidRPr="00FD6B73">
        <w:rPr>
          <w:rFonts w:cs="Times New Roman"/>
          <w:lang w:val="ru-RU"/>
        </w:rPr>
        <w:t xml:space="preserve">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лист СРЈ”, број 18/02 и „Службени лист СЦГ”, број 16/03); </w:t>
      </w:r>
    </w:p>
    <w:p w14:paraId="0C1B6DD4" w14:textId="77777777" w:rsidR="00FF6002" w:rsidRPr="00FD6B73" w:rsidRDefault="00FF6002" w:rsidP="00FF6002">
      <w:pPr>
        <w:pStyle w:val="ListParagraph"/>
        <w:numPr>
          <w:ilvl w:val="0"/>
          <w:numId w:val="38"/>
        </w:numPr>
        <w:spacing w:after="120"/>
        <w:ind w:left="360"/>
        <w:contextualSpacing w:val="0"/>
        <w:rPr>
          <w:rFonts w:cs="Times New Roman"/>
          <w:lang w:val="ru-RU"/>
        </w:rPr>
      </w:pPr>
      <w:r w:rsidRPr="00FD6B73">
        <w:rPr>
          <w:rFonts w:cs="Times New Roman"/>
          <w:lang w:val="ru-RU"/>
        </w:rPr>
        <w:t xml:space="preserve">Закон о управљању миграцијама („Службени гласник РС”, број 107/12); </w:t>
      </w:r>
    </w:p>
    <w:p w14:paraId="135112EB" w14:textId="6DB72E35" w:rsidR="007A72FD" w:rsidRPr="00FD6B73" w:rsidRDefault="00F126CC" w:rsidP="00F10AC7">
      <w:pPr>
        <w:pStyle w:val="ListParagraph"/>
        <w:numPr>
          <w:ilvl w:val="0"/>
          <w:numId w:val="38"/>
        </w:numPr>
        <w:spacing w:after="120"/>
        <w:ind w:left="360"/>
        <w:contextualSpacing w:val="0"/>
        <w:rPr>
          <w:rFonts w:cs="Times New Roman"/>
          <w:lang w:val="ru-RU"/>
        </w:rPr>
      </w:pPr>
      <w:r w:rsidRPr="00FD6B73">
        <w:rPr>
          <w:rFonts w:cs="Times New Roman"/>
          <w:lang w:val="ru-RU"/>
        </w:rPr>
        <w:t>Кривични законик („Службени гласник РС”, бр. 85/05, 88/05</w:t>
      </w:r>
      <w:r w:rsidR="00A52825">
        <w:rPr>
          <w:rFonts w:cs="Times New Roman"/>
          <w:lang w:val="ru-RU"/>
        </w:rPr>
        <w:t>-</w:t>
      </w:r>
      <w:r w:rsidRPr="00FD6B73">
        <w:rPr>
          <w:rFonts w:cs="Times New Roman"/>
          <w:lang w:val="ru-RU"/>
        </w:rPr>
        <w:t>исправка, 107/05- исправка, 72/09, 111/09, 121/12, 104/13</w:t>
      </w:r>
      <w:r w:rsidR="0002682C" w:rsidRPr="00FD6B73">
        <w:rPr>
          <w:rFonts w:cs="Times New Roman"/>
          <w:lang w:val="ru-RU"/>
        </w:rPr>
        <w:t xml:space="preserve">, </w:t>
      </w:r>
      <w:r w:rsidRPr="00FD6B73">
        <w:rPr>
          <w:rFonts w:cs="Times New Roman"/>
          <w:lang w:val="ru-RU"/>
        </w:rPr>
        <w:t>108/14</w:t>
      </w:r>
      <w:r w:rsidR="0002682C" w:rsidRPr="00FD6B73">
        <w:rPr>
          <w:rFonts w:cs="Times New Roman"/>
          <w:lang w:val="ru-RU"/>
        </w:rPr>
        <w:t>, 94/16 и 35/19</w:t>
      </w:r>
      <w:r w:rsidRPr="00FD6B73">
        <w:rPr>
          <w:rFonts w:cs="Times New Roman"/>
          <w:lang w:val="ru-RU"/>
        </w:rPr>
        <w:t xml:space="preserve">); </w:t>
      </w:r>
    </w:p>
    <w:p w14:paraId="284F7DFD" w14:textId="03AD2930" w:rsidR="007A72FD" w:rsidRPr="00FD6B73" w:rsidRDefault="00243371" w:rsidP="00F10AC7">
      <w:pPr>
        <w:pStyle w:val="ListParagraph"/>
        <w:numPr>
          <w:ilvl w:val="0"/>
          <w:numId w:val="38"/>
        </w:numPr>
        <w:spacing w:after="120"/>
        <w:ind w:left="360"/>
        <w:contextualSpacing w:val="0"/>
        <w:rPr>
          <w:rFonts w:cs="Times New Roman"/>
          <w:lang w:val="ru-RU"/>
        </w:rPr>
      </w:pPr>
      <w:r>
        <w:rPr>
          <w:rFonts w:cs="Times New Roman"/>
          <w:lang w:val="ru-RU"/>
        </w:rPr>
        <w:t>Основни к</w:t>
      </w:r>
      <w:r w:rsidR="007A72FD" w:rsidRPr="00FD6B73">
        <w:rPr>
          <w:rFonts w:cs="Times New Roman"/>
          <w:lang w:val="ru-RU"/>
        </w:rPr>
        <w:t xml:space="preserve">ривични закон („Службени лист СФРЈ”, бр. 44/76, 36/77, 56/77, 34/84, 37/84, 74/87, 57/89, 3/90, 45/90 и „Службени лист СРЈ”, бр. 35/92, </w:t>
      </w:r>
      <w:r w:rsidR="00B54522">
        <w:rPr>
          <w:rFonts w:cs="Times New Roman"/>
          <w:lang w:val="ru-RU"/>
        </w:rPr>
        <w:t xml:space="preserve">16/93, 31/93, </w:t>
      </w:r>
      <w:r w:rsidR="007A72FD" w:rsidRPr="00FD6B73">
        <w:rPr>
          <w:rFonts w:cs="Times New Roman"/>
          <w:lang w:val="ru-RU"/>
        </w:rPr>
        <w:t>37/93</w:t>
      </w:r>
      <w:r w:rsidR="00B54522">
        <w:rPr>
          <w:rFonts w:cs="Times New Roman"/>
          <w:lang w:val="ru-RU"/>
        </w:rPr>
        <w:t xml:space="preserve">, </w:t>
      </w:r>
      <w:r w:rsidR="007A72FD" w:rsidRPr="00FD6B73">
        <w:rPr>
          <w:rFonts w:cs="Times New Roman"/>
          <w:lang w:val="ru-RU"/>
        </w:rPr>
        <w:t>24/94</w:t>
      </w:r>
      <w:r w:rsidR="00B54522">
        <w:rPr>
          <w:rFonts w:cs="Times New Roman"/>
          <w:lang w:val="ru-RU"/>
        </w:rPr>
        <w:t>, 61/01 и 39/03</w:t>
      </w:r>
      <w:r w:rsidR="007A72FD" w:rsidRPr="00FD6B73">
        <w:rPr>
          <w:rFonts w:cs="Times New Roman"/>
          <w:lang w:val="ru-RU"/>
        </w:rPr>
        <w:t>);</w:t>
      </w:r>
    </w:p>
    <w:p w14:paraId="0CA12ABB" w14:textId="06AB0964" w:rsidR="00D254B2" w:rsidRPr="00FD6B73" w:rsidRDefault="00376B27" w:rsidP="00A75929">
      <w:pPr>
        <w:pStyle w:val="ListParagraph"/>
        <w:numPr>
          <w:ilvl w:val="0"/>
          <w:numId w:val="46"/>
        </w:numPr>
        <w:ind w:left="360"/>
        <w:contextualSpacing w:val="0"/>
        <w:rPr>
          <w:rFonts w:cs="Times New Roman"/>
          <w:lang w:val="ru-RU"/>
        </w:rPr>
      </w:pPr>
      <w:r w:rsidRPr="00FD6B73">
        <w:rPr>
          <w:lang w:val="ru-RU"/>
        </w:rPr>
        <w:lastRenderedPageBreak/>
        <w:t xml:space="preserve">Закон </w:t>
      </w:r>
      <w:r w:rsidR="00D254B2" w:rsidRPr="00A75929">
        <w:rPr>
          <w:rFonts w:cs="Times New Roman"/>
        </w:rPr>
        <w:t> </w:t>
      </w:r>
      <w:r w:rsidR="00D254B2" w:rsidRPr="00FD6B73">
        <w:rPr>
          <w:rFonts w:cs="Times New Roman"/>
          <w:lang w:val="ru-RU"/>
        </w:rPr>
        <w:t>о потврђивању Уговора између Савезне Републике Југославије и Републике Хрватске о правној помоћи у грађанским и кривичним стварима („Службени лист СРЈ - Међу</w:t>
      </w:r>
      <w:r w:rsidR="00243371">
        <w:rPr>
          <w:rFonts w:cs="Times New Roman"/>
          <w:lang w:val="ru-RU"/>
        </w:rPr>
        <w:t>народни уговори”, број 1/98</w:t>
      </w:r>
      <w:r w:rsidR="0092146C" w:rsidRPr="0092146C">
        <w:rPr>
          <w:rFonts w:cs="Times New Roman"/>
          <w:lang w:val="ru-RU"/>
        </w:rPr>
        <w:t>)</w:t>
      </w:r>
      <w:r w:rsidR="00D254B2" w:rsidRPr="00FD6B73">
        <w:rPr>
          <w:rFonts w:cs="Times New Roman"/>
          <w:lang w:val="ru-RU"/>
        </w:rPr>
        <w:t>;</w:t>
      </w:r>
    </w:p>
    <w:p w14:paraId="1DF0F6EB" w14:textId="38CD2FC1" w:rsidR="00D254B2" w:rsidRPr="00FD6B73" w:rsidRDefault="00376B27" w:rsidP="00A75929">
      <w:pPr>
        <w:pStyle w:val="ListParagraph"/>
        <w:numPr>
          <w:ilvl w:val="0"/>
          <w:numId w:val="46"/>
        </w:numPr>
        <w:ind w:left="360"/>
        <w:contextualSpacing w:val="0"/>
        <w:rPr>
          <w:rFonts w:cs="Times New Roman"/>
          <w:lang w:val="ru-RU"/>
        </w:rPr>
      </w:pPr>
      <w:r w:rsidRPr="00FD6B73">
        <w:rPr>
          <w:lang w:val="ru-RU"/>
        </w:rPr>
        <w:t>Закон о</w:t>
      </w:r>
      <w:r w:rsidR="00D254B2" w:rsidRPr="00FD6B73">
        <w:rPr>
          <w:rFonts w:cs="Times New Roman"/>
          <w:lang w:val="ru-RU"/>
        </w:rPr>
        <w:t xml:space="preserve"> потврђивању Уговора између Републике Србије и Црне Горе о правној помоћи у грађанским и кривичним стварима („Службени гласник РС - Међ</w:t>
      </w:r>
      <w:r w:rsidR="00243371">
        <w:rPr>
          <w:rFonts w:cs="Times New Roman"/>
          <w:lang w:val="ru-RU"/>
        </w:rPr>
        <w:t>ународни уговори”, број 1/10</w:t>
      </w:r>
      <w:r w:rsidR="0092146C" w:rsidRPr="0092146C">
        <w:rPr>
          <w:rFonts w:cs="Times New Roman"/>
          <w:lang w:val="ru-RU"/>
        </w:rPr>
        <w:t>)</w:t>
      </w:r>
      <w:r w:rsidR="00D254B2" w:rsidRPr="00FD6B73">
        <w:rPr>
          <w:rFonts w:cs="Times New Roman"/>
          <w:lang w:val="ru-RU"/>
        </w:rPr>
        <w:t>;</w:t>
      </w:r>
    </w:p>
    <w:p w14:paraId="403D4494" w14:textId="0C10F4F6" w:rsidR="007E6E3F" w:rsidRPr="0035788B" w:rsidRDefault="00C76D32" w:rsidP="00A75929">
      <w:pPr>
        <w:pStyle w:val="ListParagraph"/>
        <w:numPr>
          <w:ilvl w:val="0"/>
          <w:numId w:val="46"/>
        </w:numPr>
        <w:ind w:left="360"/>
        <w:contextualSpacing w:val="0"/>
        <w:rPr>
          <w:rFonts w:cs="Times New Roman"/>
          <w:lang w:val="ru-RU"/>
        </w:rPr>
      </w:pPr>
      <w:r w:rsidRPr="0019193D">
        <w:rPr>
          <w:lang w:val="ru-RU"/>
        </w:rPr>
        <w:t xml:space="preserve">Закон о ратификацији Уговора између Србије и Црне Горе и Босне и Херцеговине о правној помоћи у </w:t>
      </w:r>
      <w:r w:rsidR="0092146C">
        <w:rPr>
          <w:lang w:val="ru-RU"/>
        </w:rPr>
        <w:t>грађанским и кривичним стварима</w:t>
      </w:r>
      <w:r w:rsidRPr="0019193D">
        <w:rPr>
          <w:lang w:val="ru-RU"/>
        </w:rPr>
        <w:t xml:space="preserve"> </w:t>
      </w:r>
      <w:r w:rsidR="0092146C" w:rsidRPr="0092146C">
        <w:rPr>
          <w:lang w:val="ru-RU"/>
        </w:rPr>
        <w:t>(</w:t>
      </w:r>
      <w:r w:rsidR="0035788B" w:rsidRPr="00FD6B73">
        <w:rPr>
          <w:rFonts w:cs="Times New Roman"/>
          <w:lang w:val="ru-RU"/>
        </w:rPr>
        <w:t>„</w:t>
      </w:r>
      <w:r w:rsidRPr="0019193D">
        <w:rPr>
          <w:lang w:val="ru-RU"/>
        </w:rPr>
        <w:t>Службени лист СЦГ - Међународни уговори</w:t>
      </w:r>
      <w:r w:rsidR="0035788B" w:rsidRPr="00FD6B73">
        <w:rPr>
          <w:rFonts w:cs="Times New Roman"/>
          <w:lang w:val="ru-RU"/>
        </w:rPr>
        <w:t>”</w:t>
      </w:r>
      <w:r w:rsidR="00243371">
        <w:rPr>
          <w:lang w:val="ru-RU"/>
        </w:rPr>
        <w:t>, број</w:t>
      </w:r>
      <w:r w:rsidRPr="0019193D">
        <w:rPr>
          <w:lang w:val="ru-RU"/>
        </w:rPr>
        <w:t xml:space="preserve"> </w:t>
      </w:r>
      <w:r w:rsidR="00243371">
        <w:rPr>
          <w:lang w:val="ru-RU"/>
        </w:rPr>
        <w:t>6/05</w:t>
      </w:r>
      <w:r w:rsidR="0092146C">
        <w:t>)</w:t>
      </w:r>
      <w:r w:rsidR="007E6E3F" w:rsidRPr="0035788B">
        <w:rPr>
          <w:rFonts w:cs="Times New Roman"/>
          <w:lang w:val="ru-RU"/>
        </w:rPr>
        <w:t>;</w:t>
      </w:r>
    </w:p>
    <w:p w14:paraId="097CA5E1" w14:textId="257A7AE0" w:rsidR="0022751D" w:rsidRPr="0019193D" w:rsidRDefault="0022751D" w:rsidP="00A75929">
      <w:pPr>
        <w:pStyle w:val="ListParagraph"/>
        <w:numPr>
          <w:ilvl w:val="0"/>
          <w:numId w:val="46"/>
        </w:numPr>
        <w:ind w:left="360"/>
        <w:contextualSpacing w:val="0"/>
        <w:rPr>
          <w:rFonts w:cs="Times New Roman"/>
          <w:lang w:val="ru-RU"/>
        </w:rPr>
      </w:pPr>
      <w:r w:rsidRPr="0019193D">
        <w:rPr>
          <w:rFonts w:cs="Times New Roman"/>
          <w:lang w:val="ru-RU"/>
        </w:rPr>
        <w:t xml:space="preserve">Закон о потврђивању Уговора између Републике Србије и Босне и Херцеговине о изменама и допунама Уговора између Србије и Црне Горе и Босне и Херцеговине о правној помоћи у </w:t>
      </w:r>
      <w:r w:rsidR="0092146C">
        <w:rPr>
          <w:rFonts w:cs="Times New Roman"/>
          <w:lang w:val="ru-RU"/>
        </w:rPr>
        <w:t>грађанским и кривичним стварима</w:t>
      </w:r>
      <w:r w:rsidRPr="0019193D">
        <w:rPr>
          <w:rFonts w:cs="Times New Roman"/>
          <w:lang w:val="ru-RU"/>
        </w:rPr>
        <w:t xml:space="preserve"> </w:t>
      </w:r>
      <w:r w:rsidR="0092146C" w:rsidRPr="0092146C">
        <w:rPr>
          <w:rFonts w:cs="Times New Roman"/>
          <w:lang w:val="ru-RU"/>
        </w:rPr>
        <w:t>(</w:t>
      </w:r>
      <w:r w:rsidR="0035788B" w:rsidRPr="00FD6B73">
        <w:rPr>
          <w:rFonts w:cs="Times New Roman"/>
          <w:lang w:val="ru-RU"/>
        </w:rPr>
        <w:t>„</w:t>
      </w:r>
      <w:r w:rsidRPr="0019193D">
        <w:rPr>
          <w:rFonts w:cs="Times New Roman"/>
          <w:lang w:val="ru-RU"/>
        </w:rPr>
        <w:t>Службени гласник РС - Међународни уговори</w:t>
      </w:r>
      <w:r w:rsidR="0035788B" w:rsidRPr="00FD6B73">
        <w:rPr>
          <w:rFonts w:cs="Times New Roman"/>
          <w:lang w:val="ru-RU"/>
        </w:rPr>
        <w:t>”</w:t>
      </w:r>
      <w:r w:rsidR="00243371">
        <w:rPr>
          <w:rFonts w:cs="Times New Roman"/>
          <w:lang w:val="ru-RU"/>
        </w:rPr>
        <w:t>, број 13/10</w:t>
      </w:r>
      <w:r w:rsidR="0092146C" w:rsidRPr="0092146C">
        <w:rPr>
          <w:rFonts w:cs="Times New Roman"/>
          <w:lang w:val="ru-RU"/>
        </w:rPr>
        <w:t>)</w:t>
      </w:r>
      <w:r w:rsidRPr="0019193D">
        <w:rPr>
          <w:rFonts w:cs="Times New Roman"/>
          <w:lang w:val="ru-RU"/>
        </w:rPr>
        <w:t>;</w:t>
      </w:r>
    </w:p>
    <w:p w14:paraId="0DF4607D" w14:textId="796F08B7" w:rsidR="007E6E3F" w:rsidRPr="0019193D" w:rsidRDefault="002E16F5" w:rsidP="00A75929">
      <w:pPr>
        <w:pStyle w:val="ListParagraph"/>
        <w:numPr>
          <w:ilvl w:val="0"/>
          <w:numId w:val="46"/>
        </w:numPr>
        <w:ind w:left="360"/>
        <w:contextualSpacing w:val="0"/>
        <w:rPr>
          <w:rFonts w:cs="Times New Roman"/>
          <w:lang w:val="ru-RU"/>
        </w:rPr>
      </w:pPr>
      <w:r w:rsidRPr="0019193D">
        <w:rPr>
          <w:rFonts w:cs="Times New Roman"/>
          <w:lang w:val="ru-RU"/>
        </w:rPr>
        <w:t xml:space="preserve">Закон о потврђивању Уговора између Србије и Црне Горе и Босне и Херцеговине о међусобном извршавању судских одлука у кривичним стварима </w:t>
      </w:r>
      <w:r w:rsidR="0092146C" w:rsidRPr="0092146C">
        <w:rPr>
          <w:rFonts w:cs="Times New Roman"/>
          <w:lang w:val="ru-RU"/>
        </w:rPr>
        <w:t>(</w:t>
      </w:r>
      <w:r w:rsidRPr="0019193D">
        <w:rPr>
          <w:rFonts w:cs="Times New Roman"/>
          <w:lang w:val="ru-RU"/>
        </w:rPr>
        <w:t>„Службени лист СЦГ -</w:t>
      </w:r>
      <w:r w:rsidR="00243371">
        <w:rPr>
          <w:rFonts w:cs="Times New Roman"/>
          <w:lang w:val="ru-RU"/>
        </w:rPr>
        <w:t xml:space="preserve"> Међународни уговори</w:t>
      </w:r>
      <w:r w:rsidR="00586C7D">
        <w:rPr>
          <w:rFonts w:cs="Times New Roman"/>
          <w:lang w:val="ru-RU"/>
        </w:rPr>
        <w:t>ˮ</w:t>
      </w:r>
      <w:r w:rsidR="00243371">
        <w:rPr>
          <w:rFonts w:cs="Times New Roman"/>
          <w:lang w:val="ru-RU"/>
        </w:rPr>
        <w:t>, број 6/</w:t>
      </w:r>
      <w:r w:rsidRPr="0019193D">
        <w:rPr>
          <w:rFonts w:cs="Times New Roman"/>
          <w:lang w:val="ru-RU"/>
        </w:rPr>
        <w:t>05</w:t>
      </w:r>
      <w:r w:rsidR="0092146C" w:rsidRPr="0092146C">
        <w:rPr>
          <w:rFonts w:cs="Times New Roman"/>
          <w:lang w:val="ru-RU"/>
        </w:rPr>
        <w:t>)</w:t>
      </w:r>
      <w:r w:rsidRPr="0019193D">
        <w:rPr>
          <w:rFonts w:cs="Times New Roman"/>
          <w:lang w:val="ru-RU"/>
        </w:rPr>
        <w:t>;</w:t>
      </w:r>
    </w:p>
    <w:p w14:paraId="73265447" w14:textId="3F58AD53" w:rsidR="007E6E3F" w:rsidRPr="0019193D" w:rsidRDefault="007E6E3F" w:rsidP="00A75929">
      <w:pPr>
        <w:pStyle w:val="ListParagraph"/>
        <w:numPr>
          <w:ilvl w:val="0"/>
          <w:numId w:val="46"/>
        </w:numPr>
        <w:ind w:left="360"/>
        <w:contextualSpacing w:val="0"/>
        <w:rPr>
          <w:rFonts w:cs="Times New Roman"/>
          <w:lang w:val="ru-RU"/>
        </w:rPr>
      </w:pPr>
      <w:r w:rsidRPr="0019193D">
        <w:rPr>
          <w:rFonts w:cs="Times New Roman"/>
          <w:lang w:val="ru-RU"/>
        </w:rPr>
        <w:t xml:space="preserve">Закон о потврђивању Уговора између Републике Србије и Босне и Херцеговине о изменама и допунама Уговора између Србије и Црне Горе и Босне и Херцеговине о међусобном извршавању судских одлука у кривичним стварима </w:t>
      </w:r>
      <w:r w:rsidR="0092146C" w:rsidRPr="0092146C">
        <w:rPr>
          <w:rFonts w:cs="Times New Roman"/>
          <w:lang w:val="ru-RU"/>
        </w:rPr>
        <w:t>(</w:t>
      </w:r>
      <w:r w:rsidRPr="0019193D">
        <w:rPr>
          <w:rFonts w:cs="Times New Roman"/>
          <w:lang w:val="ru-RU"/>
        </w:rPr>
        <w:t>„Службени гласник РС - Међун</w:t>
      </w:r>
      <w:r w:rsidR="00243371">
        <w:rPr>
          <w:rFonts w:cs="Times New Roman"/>
          <w:lang w:val="ru-RU"/>
        </w:rPr>
        <w:t>ародни уговори</w:t>
      </w:r>
      <w:r w:rsidR="00586C7D">
        <w:rPr>
          <w:rFonts w:cs="Times New Roman"/>
          <w:lang w:val="ru-RU"/>
        </w:rPr>
        <w:t>ˮ</w:t>
      </w:r>
      <w:r w:rsidR="00243371">
        <w:rPr>
          <w:rFonts w:cs="Times New Roman"/>
          <w:lang w:val="ru-RU"/>
        </w:rPr>
        <w:t>, број 13/10</w:t>
      </w:r>
      <w:r w:rsidR="0092146C" w:rsidRPr="0092146C">
        <w:rPr>
          <w:rFonts w:cs="Times New Roman"/>
          <w:lang w:val="ru-RU"/>
        </w:rPr>
        <w:t>)</w:t>
      </w:r>
      <w:r w:rsidRPr="0019193D">
        <w:rPr>
          <w:rFonts w:cs="Times New Roman"/>
          <w:lang w:val="ru-RU"/>
        </w:rPr>
        <w:t>;</w:t>
      </w:r>
    </w:p>
    <w:p w14:paraId="207C22D4" w14:textId="77777777" w:rsidR="00904120" w:rsidRPr="0019193D" w:rsidRDefault="00F126CC" w:rsidP="00A75929">
      <w:pPr>
        <w:pStyle w:val="ListParagraph"/>
        <w:numPr>
          <w:ilvl w:val="0"/>
          <w:numId w:val="46"/>
        </w:numPr>
        <w:ind w:left="360"/>
        <w:contextualSpacing w:val="0"/>
        <w:rPr>
          <w:rFonts w:cs="Times New Roman"/>
          <w:lang w:val="ru-RU"/>
        </w:rPr>
      </w:pPr>
      <w:r w:rsidRPr="0019193D">
        <w:rPr>
          <w:rFonts w:cs="Times New Roman"/>
          <w:lang w:val="ru-RU"/>
        </w:rPr>
        <w:t>Одлу</w:t>
      </w:r>
      <w:r w:rsidR="00904120" w:rsidRPr="0019193D">
        <w:rPr>
          <w:rFonts w:cs="Times New Roman"/>
          <w:lang w:val="ru-RU"/>
        </w:rPr>
        <w:t>ка</w:t>
      </w:r>
      <w:r w:rsidRPr="0019193D">
        <w:rPr>
          <w:rFonts w:cs="Times New Roman"/>
          <w:lang w:val="ru-RU"/>
        </w:rPr>
        <w:t xml:space="preserve"> о оснивању Комисије за нестала лица Владе Републике Србије од 8. јуна 2006. године („Службени гласник РС”, број 49/06, 73/06, 116/06, 53/10 и 108/12); </w:t>
      </w:r>
    </w:p>
    <w:p w14:paraId="5550DC62" w14:textId="77777777" w:rsidR="00F126CC" w:rsidRPr="00FD6B73" w:rsidRDefault="00F126CC" w:rsidP="00A75929">
      <w:pPr>
        <w:pStyle w:val="ListParagraph"/>
        <w:numPr>
          <w:ilvl w:val="0"/>
          <w:numId w:val="46"/>
        </w:numPr>
        <w:ind w:left="360"/>
        <w:contextualSpacing w:val="0"/>
        <w:rPr>
          <w:lang w:val="ru-RU"/>
        </w:rPr>
      </w:pPr>
      <w:r w:rsidRPr="0019193D">
        <w:rPr>
          <w:rFonts w:cs="Times New Roman"/>
          <w:lang w:val="ru-RU"/>
        </w:rPr>
        <w:t>Меморандум</w:t>
      </w:r>
      <w:r w:rsidR="0061364E" w:rsidRPr="0019193D">
        <w:rPr>
          <w:rFonts w:cs="Times New Roman"/>
          <w:lang w:val="ru-RU"/>
        </w:rPr>
        <w:t>и</w:t>
      </w:r>
      <w:r w:rsidRPr="0019193D">
        <w:rPr>
          <w:rFonts w:cs="Times New Roman"/>
          <w:lang w:val="ru-RU"/>
        </w:rPr>
        <w:t xml:space="preserve"> о сарадњи који су закључени између државних органа Републике Србије са надлежним органима држава региона (Хрватска, Босна и Херцеговина, Црна Гора) и Протокол о сарадњи са ЕУЛЕКС-ом, који имају за циљ непосредну сарадњу и ефикаснију размену информација о ратним злочинима и њиховим учиниоцима</w:t>
      </w:r>
      <w:r w:rsidRPr="00FD6B73">
        <w:rPr>
          <w:lang w:val="ru-RU"/>
        </w:rPr>
        <w:t>.</w:t>
      </w:r>
    </w:p>
    <w:p w14:paraId="1A236C60" w14:textId="77777777" w:rsidR="007F714A" w:rsidRPr="00FD6B73" w:rsidRDefault="00841FBF" w:rsidP="00F10AC7">
      <w:pPr>
        <w:spacing w:line="240" w:lineRule="auto"/>
        <w:rPr>
          <w:rFonts w:cs="Times New Roman"/>
          <w:szCs w:val="24"/>
          <w:shd w:val="clear" w:color="auto" w:fill="FFFFFF"/>
          <w:lang w:val="ru-RU"/>
        </w:rPr>
      </w:pPr>
      <w:r w:rsidRPr="00FD6B73">
        <w:rPr>
          <w:rFonts w:cs="Times New Roman"/>
          <w:szCs w:val="24"/>
          <w:shd w:val="clear" w:color="auto" w:fill="FFFFFF"/>
          <w:lang w:val="ru-RU"/>
        </w:rPr>
        <w:t xml:space="preserve">Када је реч о </w:t>
      </w:r>
      <w:r w:rsidRPr="00243371">
        <w:rPr>
          <w:rFonts w:cs="Times New Roman"/>
          <w:bCs/>
          <w:szCs w:val="24"/>
          <w:shd w:val="clear" w:color="auto" w:fill="FFFFFF"/>
          <w:lang w:val="ru-RU"/>
        </w:rPr>
        <w:t>релевантним међународним изворима права</w:t>
      </w:r>
      <w:r w:rsidRPr="00FD6B73">
        <w:rPr>
          <w:rFonts w:cs="Times New Roman"/>
          <w:szCs w:val="24"/>
          <w:shd w:val="clear" w:color="auto" w:fill="FFFFFF"/>
          <w:lang w:val="ru-RU"/>
        </w:rPr>
        <w:t>, треба издвојити следеће универзалне и регионалне инструменте који садрже стандарде</w:t>
      </w:r>
      <w:r w:rsidR="00FF6002" w:rsidRPr="00FD6B73">
        <w:rPr>
          <w:rFonts w:cs="Times New Roman"/>
          <w:szCs w:val="24"/>
          <w:shd w:val="clear" w:color="auto" w:fill="FFFFFF"/>
          <w:lang w:val="ru-RU"/>
        </w:rPr>
        <w:t xml:space="preserve"> у овој области:</w:t>
      </w:r>
    </w:p>
    <w:p w14:paraId="5C01715F" w14:textId="50F0D1EA" w:rsidR="005A1510" w:rsidRPr="00BD1AE5" w:rsidRDefault="0041004A" w:rsidP="00F10AC7">
      <w:pPr>
        <w:pStyle w:val="ListParagraph"/>
        <w:numPr>
          <w:ilvl w:val="0"/>
          <w:numId w:val="40"/>
        </w:numPr>
        <w:ind w:left="450"/>
        <w:contextualSpacing w:val="0"/>
        <w:rPr>
          <w:rFonts w:cs="Times New Roman"/>
          <w:szCs w:val="24"/>
        </w:rPr>
      </w:pPr>
      <w:r w:rsidRPr="00FD6B73">
        <w:rPr>
          <w:rStyle w:val="Hyperlink"/>
          <w:rFonts w:cs="Times New Roman"/>
          <w:color w:val="auto"/>
          <w:szCs w:val="24"/>
          <w:u w:val="none"/>
          <w:lang w:val="ru-RU"/>
        </w:rPr>
        <w:t xml:space="preserve">Женевска конвенција о побољшању положаја рањеника и болесника у оружаним сукобима на копну, од 12. августа 1949. </w:t>
      </w:r>
      <w:r w:rsidR="00243371">
        <w:rPr>
          <w:rStyle w:val="Hyperlink"/>
          <w:rFonts w:cs="Times New Roman"/>
          <w:color w:val="auto"/>
          <w:szCs w:val="24"/>
          <w:u w:val="none"/>
          <w:lang w:val="ru-RU"/>
        </w:rPr>
        <w:t xml:space="preserve">године </w:t>
      </w:r>
      <w:r w:rsidRPr="0041004A">
        <w:rPr>
          <w:rStyle w:val="Hyperlink"/>
          <w:rFonts w:cs="Times New Roman"/>
          <w:color w:val="auto"/>
          <w:szCs w:val="24"/>
          <w:u w:val="none"/>
        </w:rPr>
        <w:t>(I Женевска конвенција)</w:t>
      </w:r>
      <w:r w:rsidR="004F313C" w:rsidRPr="00BD1AE5">
        <w:rPr>
          <w:rStyle w:val="Hyperlink"/>
          <w:rFonts w:cs="Times New Roman"/>
          <w:color w:val="auto"/>
          <w:szCs w:val="24"/>
          <w:u w:val="none"/>
        </w:rPr>
        <w:t>;</w:t>
      </w:r>
    </w:p>
    <w:p w14:paraId="3E6722D4" w14:textId="095703FA" w:rsidR="005A1510" w:rsidRPr="00BD1AE5" w:rsidRDefault="003915A2" w:rsidP="00F10AC7">
      <w:pPr>
        <w:pStyle w:val="ListParagraph"/>
        <w:numPr>
          <w:ilvl w:val="0"/>
          <w:numId w:val="40"/>
        </w:numPr>
        <w:ind w:left="450"/>
        <w:contextualSpacing w:val="0"/>
        <w:rPr>
          <w:rFonts w:cs="Times New Roman"/>
          <w:szCs w:val="24"/>
        </w:rPr>
      </w:pPr>
      <w:r w:rsidRPr="00FD6B73">
        <w:rPr>
          <w:rStyle w:val="Hyperlink"/>
          <w:rFonts w:cs="Times New Roman"/>
          <w:color w:val="auto"/>
          <w:szCs w:val="24"/>
          <w:u w:val="none"/>
          <w:lang w:val="ru-RU"/>
        </w:rPr>
        <w:t xml:space="preserve">Женевска конвенција о побољшању положаја рањеника, болесника и бродоломника оружаних снага на мору, од 12. августа 1949. </w:t>
      </w:r>
      <w:r w:rsidR="00243371">
        <w:rPr>
          <w:rStyle w:val="Hyperlink"/>
          <w:rFonts w:cs="Times New Roman"/>
          <w:color w:val="auto"/>
          <w:szCs w:val="24"/>
          <w:u w:val="none"/>
          <w:lang w:val="ru-RU"/>
        </w:rPr>
        <w:t xml:space="preserve">године </w:t>
      </w:r>
      <w:r w:rsidRPr="003915A2">
        <w:rPr>
          <w:rStyle w:val="Hyperlink"/>
          <w:rFonts w:cs="Times New Roman"/>
          <w:color w:val="auto"/>
          <w:szCs w:val="24"/>
          <w:u w:val="none"/>
        </w:rPr>
        <w:t>(II Женевска конвенција)</w:t>
      </w:r>
      <w:r w:rsidR="004F313C" w:rsidRPr="00BD1AE5">
        <w:rPr>
          <w:rStyle w:val="Hyperlink"/>
          <w:rFonts w:cs="Times New Roman"/>
          <w:color w:val="auto"/>
          <w:szCs w:val="24"/>
          <w:u w:val="none"/>
        </w:rPr>
        <w:t>;</w:t>
      </w:r>
    </w:p>
    <w:p w14:paraId="15AFE646" w14:textId="77777777" w:rsidR="005A1510" w:rsidRPr="00FD6B73" w:rsidRDefault="003915A2" w:rsidP="00F10AC7">
      <w:pPr>
        <w:pStyle w:val="ListParagraph"/>
        <w:numPr>
          <w:ilvl w:val="0"/>
          <w:numId w:val="40"/>
        </w:numPr>
        <w:ind w:left="450"/>
        <w:contextualSpacing w:val="0"/>
        <w:rPr>
          <w:rFonts w:cs="Times New Roman"/>
          <w:szCs w:val="24"/>
          <w:lang w:val="ru-RU"/>
        </w:rPr>
      </w:pPr>
      <w:r w:rsidRPr="00FD6B73">
        <w:rPr>
          <w:rStyle w:val="Hyperlink"/>
          <w:rFonts w:cs="Times New Roman"/>
          <w:color w:val="auto"/>
          <w:szCs w:val="24"/>
          <w:u w:val="none"/>
          <w:lang w:val="ru-RU"/>
        </w:rPr>
        <w:t>Женевска конвенција о поступању са ратним заробљеницима, од 12. августа 1949. године (</w:t>
      </w:r>
      <w:r w:rsidRPr="003915A2">
        <w:rPr>
          <w:rStyle w:val="Hyperlink"/>
          <w:rFonts w:cs="Times New Roman"/>
          <w:color w:val="auto"/>
          <w:szCs w:val="24"/>
          <w:u w:val="none"/>
        </w:rPr>
        <w:t>III</w:t>
      </w:r>
      <w:r w:rsidRPr="00FD6B73">
        <w:rPr>
          <w:rStyle w:val="Hyperlink"/>
          <w:rFonts w:cs="Times New Roman"/>
          <w:color w:val="auto"/>
          <w:szCs w:val="24"/>
          <w:u w:val="none"/>
          <w:lang w:val="ru-RU"/>
        </w:rPr>
        <w:t xml:space="preserve"> Женевска конвенција)</w:t>
      </w:r>
      <w:r w:rsidR="004F313C" w:rsidRPr="00FD6B73">
        <w:rPr>
          <w:rStyle w:val="Hyperlink"/>
          <w:rFonts w:cs="Times New Roman"/>
          <w:color w:val="auto"/>
          <w:szCs w:val="24"/>
          <w:u w:val="none"/>
          <w:lang w:val="ru-RU"/>
        </w:rPr>
        <w:t>;</w:t>
      </w:r>
    </w:p>
    <w:p w14:paraId="1821DB4E" w14:textId="77777777" w:rsidR="005A1510" w:rsidRPr="00FD6B73" w:rsidRDefault="00C76D32" w:rsidP="00F10AC7">
      <w:pPr>
        <w:pStyle w:val="ListParagraph"/>
        <w:numPr>
          <w:ilvl w:val="0"/>
          <w:numId w:val="40"/>
        </w:numPr>
        <w:ind w:left="450"/>
        <w:contextualSpacing w:val="0"/>
        <w:rPr>
          <w:rFonts w:cs="Times New Roman"/>
          <w:szCs w:val="24"/>
          <w:lang w:val="ru-RU"/>
        </w:rPr>
      </w:pPr>
      <w:r w:rsidRPr="0019193D">
        <w:rPr>
          <w:lang w:val="ru-RU"/>
        </w:rPr>
        <w:t>Женевска конвенција о заштити грађанских лица за време рата, од 12. августа 1949. године (</w:t>
      </w:r>
      <w:r w:rsidRPr="00C76D32">
        <w:t>IV</w:t>
      </w:r>
      <w:r w:rsidRPr="0019193D">
        <w:rPr>
          <w:lang w:val="ru-RU"/>
        </w:rPr>
        <w:t xml:space="preserve"> Женевска конвенција)</w:t>
      </w:r>
      <w:r w:rsidR="004F313C" w:rsidRPr="00FD6B73">
        <w:rPr>
          <w:rStyle w:val="Hyperlink"/>
          <w:rFonts w:cs="Times New Roman"/>
          <w:color w:val="auto"/>
          <w:szCs w:val="24"/>
          <w:u w:val="none"/>
          <w:lang w:val="ru-RU"/>
        </w:rPr>
        <w:t>;</w:t>
      </w:r>
    </w:p>
    <w:p w14:paraId="65E70AF0" w14:textId="77777777" w:rsidR="005A1510" w:rsidRPr="00FD6B73" w:rsidRDefault="003915A2" w:rsidP="00F10AC7">
      <w:pPr>
        <w:pStyle w:val="ListParagraph"/>
        <w:numPr>
          <w:ilvl w:val="0"/>
          <w:numId w:val="40"/>
        </w:numPr>
        <w:ind w:left="450"/>
        <w:contextualSpacing w:val="0"/>
        <w:rPr>
          <w:rFonts w:cs="Times New Roman"/>
          <w:szCs w:val="24"/>
          <w:lang w:val="ru-RU"/>
        </w:rPr>
      </w:pPr>
      <w:r w:rsidRPr="00FD6B73">
        <w:rPr>
          <w:rStyle w:val="Hyperlink"/>
          <w:rFonts w:cs="Times New Roman"/>
          <w:color w:val="auto"/>
          <w:szCs w:val="24"/>
          <w:u w:val="none"/>
          <w:lang w:val="ru-RU"/>
        </w:rPr>
        <w:t xml:space="preserve">Допунски протокол уз Женевске конвенције од 12. августа 1949. године о заштити жртава међународних оружаних сукоба (Протокол </w:t>
      </w:r>
      <w:r w:rsidRPr="003915A2">
        <w:rPr>
          <w:rStyle w:val="Hyperlink"/>
          <w:rFonts w:cs="Times New Roman"/>
          <w:color w:val="auto"/>
          <w:szCs w:val="24"/>
          <w:u w:val="none"/>
        </w:rPr>
        <w:t>I</w:t>
      </w:r>
      <w:r w:rsidRPr="00FD6B73">
        <w:rPr>
          <w:rStyle w:val="Hyperlink"/>
          <w:rFonts w:cs="Times New Roman"/>
          <w:color w:val="auto"/>
          <w:szCs w:val="24"/>
          <w:u w:val="none"/>
          <w:lang w:val="ru-RU"/>
        </w:rPr>
        <w:t>)</w:t>
      </w:r>
      <w:r w:rsidR="004F313C" w:rsidRPr="00FD6B73">
        <w:rPr>
          <w:rStyle w:val="Hyperlink"/>
          <w:rFonts w:cs="Times New Roman"/>
          <w:color w:val="auto"/>
          <w:szCs w:val="24"/>
          <w:u w:val="none"/>
          <w:lang w:val="ru-RU"/>
        </w:rPr>
        <w:t>;</w:t>
      </w:r>
    </w:p>
    <w:p w14:paraId="6B9B7D97" w14:textId="141B3211" w:rsidR="005A1510" w:rsidRPr="00FD6B73" w:rsidRDefault="003915A2" w:rsidP="00F10AC7">
      <w:pPr>
        <w:pStyle w:val="ListParagraph"/>
        <w:numPr>
          <w:ilvl w:val="0"/>
          <w:numId w:val="40"/>
        </w:numPr>
        <w:ind w:left="450"/>
        <w:contextualSpacing w:val="0"/>
        <w:rPr>
          <w:rFonts w:cs="Times New Roman"/>
          <w:szCs w:val="24"/>
          <w:lang w:val="ru-RU"/>
        </w:rPr>
      </w:pPr>
      <w:r w:rsidRPr="00FD6B73">
        <w:rPr>
          <w:rStyle w:val="Hyperlink"/>
          <w:rFonts w:cs="Times New Roman"/>
          <w:color w:val="auto"/>
          <w:szCs w:val="24"/>
          <w:u w:val="none"/>
          <w:lang w:val="ru-RU"/>
        </w:rPr>
        <w:lastRenderedPageBreak/>
        <w:t xml:space="preserve">Допунски протокол уз Женевске конвенције од 12. августа 1949. године о заштити жртава немеђународних оружаних сукоба (Протокол </w:t>
      </w:r>
      <w:r w:rsidRPr="003915A2">
        <w:rPr>
          <w:rStyle w:val="Hyperlink"/>
          <w:rFonts w:cs="Times New Roman"/>
          <w:color w:val="auto"/>
          <w:szCs w:val="24"/>
          <w:u w:val="none"/>
        </w:rPr>
        <w:t>II</w:t>
      </w:r>
      <w:r w:rsidRPr="00FD6B73">
        <w:rPr>
          <w:rStyle w:val="Hyperlink"/>
          <w:rFonts w:cs="Times New Roman"/>
          <w:color w:val="auto"/>
          <w:szCs w:val="24"/>
          <w:u w:val="none"/>
          <w:lang w:val="ru-RU"/>
        </w:rPr>
        <w:t>)</w:t>
      </w:r>
      <w:r w:rsidR="004F313C" w:rsidRPr="00FD6B73">
        <w:rPr>
          <w:rStyle w:val="Hyperlink"/>
          <w:rFonts w:cs="Times New Roman"/>
          <w:color w:val="auto"/>
          <w:szCs w:val="24"/>
          <w:u w:val="none"/>
          <w:lang w:val="ru-RU"/>
        </w:rPr>
        <w:t>;</w:t>
      </w:r>
      <w:r w:rsidR="00243371">
        <w:rPr>
          <w:rStyle w:val="Hyperlink"/>
          <w:rFonts w:cs="Times New Roman"/>
          <w:color w:val="auto"/>
          <w:szCs w:val="24"/>
          <w:u w:val="none"/>
          <w:lang w:val="ru-RU"/>
        </w:rPr>
        <w:t xml:space="preserve"> </w:t>
      </w:r>
    </w:p>
    <w:p w14:paraId="472DF2FB" w14:textId="77777777" w:rsidR="0074641B" w:rsidRPr="00BD1AE5" w:rsidRDefault="003915A2" w:rsidP="0074641B">
      <w:pPr>
        <w:pStyle w:val="ListParagraph"/>
        <w:numPr>
          <w:ilvl w:val="0"/>
          <w:numId w:val="40"/>
        </w:numPr>
        <w:ind w:left="450" w:hanging="450"/>
        <w:contextualSpacing w:val="0"/>
        <w:rPr>
          <w:rStyle w:val="Hyperlink"/>
          <w:rFonts w:cs="Times New Roman"/>
          <w:color w:val="auto"/>
          <w:szCs w:val="24"/>
          <w:u w:val="none"/>
        </w:rPr>
      </w:pPr>
      <w:r w:rsidRPr="003915A2">
        <w:rPr>
          <w:rStyle w:val="Hyperlink"/>
          <w:rFonts w:cs="Times New Roman"/>
          <w:color w:val="auto"/>
          <w:szCs w:val="24"/>
          <w:u w:val="none"/>
        </w:rPr>
        <w:t>Европска конвенција о екстрадицији</w:t>
      </w:r>
      <w:r w:rsidR="00CC3080" w:rsidRPr="00BD1AE5">
        <w:rPr>
          <w:rStyle w:val="Hyperlink"/>
          <w:rFonts w:cs="Times New Roman"/>
          <w:color w:val="auto"/>
          <w:szCs w:val="24"/>
          <w:u w:val="none"/>
        </w:rPr>
        <w:t>;</w:t>
      </w:r>
      <w:r w:rsidR="003513E8" w:rsidRPr="00BD1AE5">
        <w:rPr>
          <w:rStyle w:val="FootnoteReference"/>
          <w:rFonts w:cs="Times New Roman"/>
          <w:szCs w:val="24"/>
        </w:rPr>
        <w:footnoteReference w:id="10"/>
      </w:r>
    </w:p>
    <w:p w14:paraId="48CF5B07" w14:textId="77777777" w:rsidR="0074641B" w:rsidRPr="00FD6B73" w:rsidRDefault="0074641B" w:rsidP="0074641B">
      <w:pPr>
        <w:pStyle w:val="ListParagraph"/>
        <w:numPr>
          <w:ilvl w:val="0"/>
          <w:numId w:val="40"/>
        </w:numPr>
        <w:ind w:left="450" w:hanging="450"/>
        <w:contextualSpacing w:val="0"/>
        <w:rPr>
          <w:rFonts w:cs="Times New Roman"/>
          <w:lang w:val="ru-RU"/>
        </w:rPr>
      </w:pPr>
      <w:r w:rsidRPr="00FD6B73">
        <w:rPr>
          <w:rFonts w:cs="Times New Roman"/>
          <w:szCs w:val="24"/>
          <w:lang w:val="ru-RU"/>
        </w:rPr>
        <w:t>Европска конвенција за заштиту људских права и основних слобода</w:t>
      </w:r>
      <w:r w:rsidR="0035788B" w:rsidRPr="00FD6B73">
        <w:rPr>
          <w:rStyle w:val="Hyperlink"/>
          <w:rFonts w:cs="Times New Roman"/>
          <w:color w:val="auto"/>
          <w:szCs w:val="24"/>
          <w:u w:val="none"/>
          <w:lang w:val="ru-RU"/>
        </w:rPr>
        <w:t>;</w:t>
      </w:r>
      <w:r w:rsidRPr="00CD46D4">
        <w:rPr>
          <w:rStyle w:val="FootnoteReference"/>
          <w:rFonts w:cs="Times New Roman"/>
          <w:szCs w:val="24"/>
        </w:rPr>
        <w:footnoteReference w:id="11"/>
      </w:r>
    </w:p>
    <w:p w14:paraId="55E3FF32" w14:textId="77777777" w:rsidR="00D17A2A" w:rsidRPr="00FD6B73" w:rsidRDefault="003915A2" w:rsidP="00111E21">
      <w:pPr>
        <w:pStyle w:val="ListParagraph"/>
        <w:numPr>
          <w:ilvl w:val="0"/>
          <w:numId w:val="40"/>
        </w:numPr>
        <w:spacing w:after="120"/>
        <w:ind w:left="446"/>
        <w:contextualSpacing w:val="0"/>
        <w:rPr>
          <w:rFonts w:cs="Times New Roman"/>
          <w:lang w:val="ru-RU"/>
        </w:rPr>
      </w:pPr>
      <w:r w:rsidRPr="00FD6B73">
        <w:rPr>
          <w:rFonts w:cs="Times New Roman"/>
          <w:lang w:val="ru-RU"/>
        </w:rPr>
        <w:t>Европска конвенција о међусобном пружању правне помоћи у кривичним стварима, са Додатним протоколом</w:t>
      </w:r>
      <w:r w:rsidR="00D17A2A" w:rsidRPr="00FD6B73">
        <w:rPr>
          <w:rFonts w:cs="Times New Roman"/>
          <w:lang w:val="ru-RU"/>
        </w:rPr>
        <w:t>;</w:t>
      </w:r>
      <w:r w:rsidR="00D17A2A" w:rsidRPr="00CD46D4">
        <w:rPr>
          <w:rFonts w:cs="Times New Roman"/>
          <w:vertAlign w:val="superscript"/>
        </w:rPr>
        <w:footnoteReference w:id="12"/>
      </w:r>
    </w:p>
    <w:p w14:paraId="26C21155" w14:textId="77777777" w:rsidR="00D17A2A" w:rsidRPr="00FD6B73" w:rsidRDefault="003915A2" w:rsidP="00111E21">
      <w:pPr>
        <w:pStyle w:val="ListParagraph"/>
        <w:numPr>
          <w:ilvl w:val="0"/>
          <w:numId w:val="40"/>
        </w:numPr>
        <w:spacing w:after="120"/>
        <w:ind w:left="446"/>
        <w:contextualSpacing w:val="0"/>
        <w:rPr>
          <w:rStyle w:val="Hyperlink"/>
          <w:rFonts w:cs="Times New Roman"/>
          <w:color w:val="auto"/>
          <w:szCs w:val="24"/>
          <w:u w:val="none"/>
          <w:lang w:val="ru-RU"/>
        </w:rPr>
      </w:pPr>
      <w:r w:rsidRPr="00FD6B73">
        <w:rPr>
          <w:rStyle w:val="Hyperlink"/>
          <w:rFonts w:cs="Times New Roman"/>
          <w:color w:val="auto"/>
          <w:szCs w:val="24"/>
          <w:u w:val="none"/>
          <w:lang w:val="ru-RU"/>
        </w:rPr>
        <w:t>Европска конвенција о међународном важењу кривичних пресуда, са додацима</w:t>
      </w:r>
      <w:r w:rsidR="0035788B" w:rsidRPr="00FD6B73">
        <w:rPr>
          <w:rStyle w:val="Hyperlink"/>
          <w:rFonts w:cs="Times New Roman"/>
          <w:color w:val="auto"/>
          <w:szCs w:val="24"/>
          <w:u w:val="none"/>
          <w:lang w:val="ru-RU"/>
        </w:rPr>
        <w:t>;</w:t>
      </w:r>
      <w:r w:rsidR="00D17A2A" w:rsidRPr="00BD1AE5">
        <w:rPr>
          <w:rStyle w:val="FootnoteReference"/>
          <w:rFonts w:cs="Times New Roman"/>
          <w:szCs w:val="24"/>
        </w:rPr>
        <w:footnoteReference w:id="13"/>
      </w:r>
    </w:p>
    <w:p w14:paraId="7E1FC07E" w14:textId="77777777" w:rsidR="00F734B5" w:rsidRPr="00FD6B73" w:rsidRDefault="00126693" w:rsidP="00111E21">
      <w:pPr>
        <w:pStyle w:val="ListParagraph"/>
        <w:numPr>
          <w:ilvl w:val="0"/>
          <w:numId w:val="40"/>
        </w:numPr>
        <w:spacing w:after="120"/>
        <w:ind w:left="446"/>
        <w:contextualSpacing w:val="0"/>
        <w:rPr>
          <w:rFonts w:cs="Times New Roman"/>
          <w:szCs w:val="24"/>
          <w:lang w:val="ru-RU"/>
        </w:rPr>
      </w:pPr>
      <w:r w:rsidRPr="00FD6B73">
        <w:rPr>
          <w:rFonts w:cs="Times New Roman"/>
          <w:szCs w:val="24"/>
          <w:lang w:val="ru-RU"/>
        </w:rPr>
        <w:t>Европск</w:t>
      </w:r>
      <w:r w:rsidR="004F313C" w:rsidRPr="00FD6B73">
        <w:rPr>
          <w:rFonts w:cs="Times New Roman"/>
          <w:szCs w:val="24"/>
          <w:lang w:val="ru-RU"/>
        </w:rPr>
        <w:t>а</w:t>
      </w:r>
      <w:r w:rsidRPr="00FD6B73">
        <w:rPr>
          <w:rFonts w:cs="Times New Roman"/>
          <w:szCs w:val="24"/>
          <w:lang w:val="ru-RU"/>
        </w:rPr>
        <w:t xml:space="preserve"> конвенциј</w:t>
      </w:r>
      <w:r w:rsidR="004F313C" w:rsidRPr="00FD6B73">
        <w:rPr>
          <w:rFonts w:cs="Times New Roman"/>
          <w:szCs w:val="24"/>
          <w:lang w:val="ru-RU"/>
        </w:rPr>
        <w:t>а</w:t>
      </w:r>
      <w:r w:rsidRPr="00FD6B73">
        <w:rPr>
          <w:rFonts w:cs="Times New Roman"/>
          <w:szCs w:val="24"/>
          <w:lang w:val="ru-RU"/>
        </w:rPr>
        <w:t xml:space="preserve"> о незастаревању кривичних дела против човечности и ратних злочина</w:t>
      </w:r>
      <w:r w:rsidR="00AE4E68" w:rsidRPr="00FD6B73">
        <w:rPr>
          <w:rFonts w:cs="Times New Roman"/>
          <w:szCs w:val="24"/>
          <w:lang w:val="ru-RU"/>
        </w:rPr>
        <w:t>;</w:t>
      </w:r>
      <w:r w:rsidR="001E48D5" w:rsidRPr="00BD1AE5">
        <w:rPr>
          <w:rStyle w:val="FootnoteReference"/>
          <w:rFonts w:cs="Times New Roman"/>
          <w:szCs w:val="24"/>
        </w:rPr>
        <w:footnoteReference w:id="14"/>
      </w:r>
    </w:p>
    <w:p w14:paraId="2328A114" w14:textId="77777777" w:rsidR="00D17A2A" w:rsidRPr="00FD6B73" w:rsidRDefault="003915A2" w:rsidP="00111E21">
      <w:pPr>
        <w:pStyle w:val="ListParagraph"/>
        <w:numPr>
          <w:ilvl w:val="0"/>
          <w:numId w:val="40"/>
        </w:numPr>
        <w:spacing w:after="120"/>
        <w:ind w:left="446"/>
        <w:contextualSpacing w:val="0"/>
        <w:rPr>
          <w:rFonts w:cs="Times New Roman"/>
          <w:szCs w:val="24"/>
          <w:lang w:val="ru-RU"/>
        </w:rPr>
      </w:pPr>
      <w:r w:rsidRPr="00FD6B73">
        <w:rPr>
          <w:rStyle w:val="Hyperlink"/>
          <w:rFonts w:cs="Times New Roman"/>
          <w:color w:val="auto"/>
          <w:szCs w:val="24"/>
          <w:u w:val="none"/>
          <w:lang w:val="ru-RU"/>
        </w:rPr>
        <w:t>Европска Конвенција о надзору условно осуђених или условно ослобођених лица, са прилогом</w:t>
      </w:r>
      <w:r w:rsidR="00AE4E68" w:rsidRPr="00FD6B73">
        <w:rPr>
          <w:rStyle w:val="Hyperlink"/>
          <w:rFonts w:cs="Times New Roman"/>
          <w:color w:val="auto"/>
          <w:szCs w:val="24"/>
          <w:u w:val="none"/>
          <w:lang w:val="ru-RU"/>
        </w:rPr>
        <w:t>;</w:t>
      </w:r>
      <w:r w:rsidR="000A6E28" w:rsidRPr="00BD1AE5">
        <w:rPr>
          <w:rStyle w:val="FootnoteReference"/>
          <w:rFonts w:cs="Times New Roman"/>
          <w:szCs w:val="24"/>
        </w:rPr>
        <w:footnoteReference w:id="15"/>
      </w:r>
    </w:p>
    <w:p w14:paraId="68B8471E" w14:textId="77777777" w:rsidR="00FF6002" w:rsidRPr="00FD6B73" w:rsidRDefault="00C76D32" w:rsidP="00111E21">
      <w:pPr>
        <w:pStyle w:val="ListParagraph"/>
        <w:numPr>
          <w:ilvl w:val="0"/>
          <w:numId w:val="40"/>
        </w:numPr>
        <w:spacing w:after="120"/>
        <w:ind w:left="446"/>
        <w:contextualSpacing w:val="0"/>
        <w:rPr>
          <w:rStyle w:val="Hyperlink"/>
          <w:rFonts w:cs="Times New Roman"/>
          <w:color w:val="auto"/>
          <w:szCs w:val="24"/>
          <w:u w:val="none"/>
          <w:lang w:val="ru-RU"/>
        </w:rPr>
      </w:pPr>
      <w:r w:rsidRPr="00FD6B73">
        <w:rPr>
          <w:rStyle w:val="Hyperlink"/>
          <w:rFonts w:cs="Times New Roman"/>
          <w:color w:val="auto"/>
          <w:szCs w:val="24"/>
          <w:u w:val="none"/>
          <w:lang w:val="ru-RU"/>
        </w:rPr>
        <w:t>Европска конвенција о преносу поступка у кривичним стварима</w:t>
      </w:r>
      <w:r w:rsidR="00AE4E68" w:rsidRPr="00FD6B73">
        <w:rPr>
          <w:rStyle w:val="Hyperlink"/>
          <w:rFonts w:cs="Times New Roman"/>
          <w:color w:val="auto"/>
          <w:szCs w:val="24"/>
          <w:u w:val="none"/>
          <w:lang w:val="ru-RU"/>
        </w:rPr>
        <w:t>;</w:t>
      </w:r>
      <w:r w:rsidR="000A6E28" w:rsidRPr="00BD1AE5">
        <w:rPr>
          <w:rStyle w:val="FootnoteReference"/>
          <w:rFonts w:cs="Times New Roman"/>
          <w:szCs w:val="24"/>
        </w:rPr>
        <w:footnoteReference w:id="16"/>
      </w:r>
    </w:p>
    <w:p w14:paraId="008D355A" w14:textId="77777777" w:rsidR="00FF6002" w:rsidRPr="00FD6B73" w:rsidRDefault="00FF6002" w:rsidP="00111E21">
      <w:pPr>
        <w:pStyle w:val="ListParagraph"/>
        <w:numPr>
          <w:ilvl w:val="0"/>
          <w:numId w:val="40"/>
        </w:numPr>
        <w:spacing w:after="120"/>
        <w:ind w:left="446"/>
        <w:contextualSpacing w:val="0"/>
        <w:rPr>
          <w:rFonts w:cs="Times New Roman"/>
          <w:szCs w:val="24"/>
          <w:lang w:val="ru-RU"/>
        </w:rPr>
      </w:pPr>
      <w:r w:rsidRPr="00FD6B73">
        <w:rPr>
          <w:rFonts w:cs="Times New Roman"/>
          <w:szCs w:val="24"/>
          <w:lang w:val="ru-RU"/>
        </w:rPr>
        <w:t>Конвенција о незастаревању ратних злочина и злочина против човечности</w:t>
      </w:r>
      <w:r w:rsidR="00AE4E68" w:rsidRPr="00FD6B73">
        <w:rPr>
          <w:rFonts w:cs="Times New Roman"/>
          <w:szCs w:val="24"/>
          <w:lang w:val="ru-RU"/>
        </w:rPr>
        <w:t>;</w:t>
      </w:r>
      <w:r w:rsidRPr="00BD1AE5">
        <w:rPr>
          <w:rStyle w:val="FootnoteReference"/>
          <w:rFonts w:cs="Times New Roman"/>
          <w:szCs w:val="24"/>
        </w:rPr>
        <w:footnoteReference w:id="17"/>
      </w:r>
    </w:p>
    <w:p w14:paraId="44445CF1" w14:textId="77777777" w:rsidR="00D17A2A" w:rsidRPr="00FD6B73" w:rsidRDefault="003915A2" w:rsidP="00111E21">
      <w:pPr>
        <w:pStyle w:val="ListParagraph"/>
        <w:numPr>
          <w:ilvl w:val="0"/>
          <w:numId w:val="40"/>
        </w:numPr>
        <w:spacing w:after="120"/>
        <w:ind w:left="446"/>
        <w:contextualSpacing w:val="0"/>
        <w:rPr>
          <w:rStyle w:val="Hyperlink"/>
          <w:rFonts w:cs="Times New Roman"/>
          <w:color w:val="auto"/>
          <w:szCs w:val="24"/>
          <w:u w:val="none"/>
          <w:lang w:val="ru-RU"/>
        </w:rPr>
      </w:pPr>
      <w:r w:rsidRPr="00FD6B73">
        <w:rPr>
          <w:rStyle w:val="Hyperlink"/>
          <w:rFonts w:cs="Times New Roman"/>
          <w:color w:val="auto"/>
          <w:szCs w:val="24"/>
          <w:u w:val="none"/>
          <w:lang w:val="ru-RU"/>
        </w:rPr>
        <w:t>Конвенција о спречавању и кажњавању злочина геноцида</w:t>
      </w:r>
      <w:r w:rsidR="00AE4E68" w:rsidRPr="00FD6B73">
        <w:rPr>
          <w:rStyle w:val="Hyperlink"/>
          <w:rFonts w:cs="Times New Roman"/>
          <w:color w:val="auto"/>
          <w:szCs w:val="24"/>
          <w:u w:val="none"/>
          <w:lang w:val="ru-RU"/>
        </w:rPr>
        <w:t>;</w:t>
      </w:r>
      <w:r w:rsidR="000A6E28" w:rsidRPr="00BD1AE5">
        <w:rPr>
          <w:rStyle w:val="FootnoteReference"/>
          <w:rFonts w:cs="Times New Roman"/>
          <w:szCs w:val="24"/>
        </w:rPr>
        <w:footnoteReference w:id="18"/>
      </w:r>
    </w:p>
    <w:p w14:paraId="0DAE5994" w14:textId="77777777" w:rsidR="0074641B" w:rsidRPr="00FD6B73" w:rsidRDefault="0074641B" w:rsidP="00111E21">
      <w:pPr>
        <w:pStyle w:val="ListParagraph"/>
        <w:numPr>
          <w:ilvl w:val="0"/>
          <w:numId w:val="40"/>
        </w:numPr>
        <w:spacing w:after="120"/>
        <w:ind w:left="446"/>
        <w:contextualSpacing w:val="0"/>
        <w:rPr>
          <w:rFonts w:cs="Times New Roman"/>
          <w:szCs w:val="24"/>
          <w:lang w:val="ru-RU"/>
        </w:rPr>
      </w:pPr>
      <w:r w:rsidRPr="00BD1AE5">
        <w:rPr>
          <w:rFonts w:cs="Times New Roman"/>
          <w:szCs w:val="24"/>
        </w:rPr>
        <w:t>K</w:t>
      </w:r>
      <w:r w:rsidRPr="00FD6B73">
        <w:rPr>
          <w:rFonts w:cs="Times New Roman"/>
          <w:szCs w:val="24"/>
          <w:lang w:val="ru-RU"/>
        </w:rPr>
        <w:t>онвенциј</w:t>
      </w:r>
      <w:r w:rsidRPr="00BD1AE5">
        <w:rPr>
          <w:rFonts w:cs="Times New Roman"/>
          <w:szCs w:val="24"/>
        </w:rPr>
        <w:t>a</w:t>
      </w:r>
      <w:r w:rsidRPr="00FD6B73">
        <w:rPr>
          <w:rFonts w:cs="Times New Roman"/>
          <w:szCs w:val="24"/>
          <w:lang w:val="ru-RU"/>
        </w:rPr>
        <w:t xml:space="preserve"> о спречавању мучења и нечовечних или понижавајућих поступака и кажњавања, измењене и допуњене протоколом 1 и протоколом 2 уз Конвенцију;</w:t>
      </w:r>
      <w:r w:rsidRPr="00BD1AE5">
        <w:rPr>
          <w:rStyle w:val="FootnoteReference"/>
          <w:rFonts w:cs="Times New Roman"/>
          <w:szCs w:val="24"/>
        </w:rPr>
        <w:footnoteReference w:id="19"/>
      </w:r>
    </w:p>
    <w:p w14:paraId="74AF4167" w14:textId="77777777" w:rsidR="00D17A2A" w:rsidRPr="00FD6B73" w:rsidRDefault="003915A2" w:rsidP="00111E21">
      <w:pPr>
        <w:pStyle w:val="ListParagraph"/>
        <w:numPr>
          <w:ilvl w:val="0"/>
          <w:numId w:val="40"/>
        </w:numPr>
        <w:spacing w:after="120"/>
        <w:ind w:left="446"/>
        <w:contextualSpacing w:val="0"/>
        <w:rPr>
          <w:rStyle w:val="Hyperlink"/>
          <w:rFonts w:cs="Times New Roman"/>
          <w:color w:val="auto"/>
          <w:szCs w:val="24"/>
          <w:u w:val="none"/>
          <w:lang w:val="ru-RU"/>
        </w:rPr>
      </w:pPr>
      <w:r w:rsidRPr="00FD6B73">
        <w:rPr>
          <w:rStyle w:val="Hyperlink"/>
          <w:rFonts w:cs="Times New Roman"/>
          <w:color w:val="auto"/>
          <w:szCs w:val="24"/>
          <w:u w:val="none"/>
          <w:lang w:val="ru-RU"/>
        </w:rPr>
        <w:lastRenderedPageBreak/>
        <w:t>Конвенција о трансферу осуђених лица</w:t>
      </w:r>
      <w:r w:rsidR="00AE4E68" w:rsidRPr="00FD6B73">
        <w:rPr>
          <w:rStyle w:val="Hyperlink"/>
          <w:rFonts w:cs="Times New Roman"/>
          <w:color w:val="auto"/>
          <w:szCs w:val="24"/>
          <w:u w:val="none"/>
          <w:lang w:val="ru-RU"/>
        </w:rPr>
        <w:t>;</w:t>
      </w:r>
      <w:r w:rsidR="000A6E28" w:rsidRPr="00BD1AE5">
        <w:rPr>
          <w:rStyle w:val="FootnoteReference"/>
          <w:rFonts w:cs="Times New Roman"/>
          <w:szCs w:val="24"/>
        </w:rPr>
        <w:footnoteReference w:id="20"/>
      </w:r>
    </w:p>
    <w:p w14:paraId="026D06EE" w14:textId="77777777" w:rsidR="0074641B" w:rsidRPr="00FD6B73" w:rsidRDefault="0074641B" w:rsidP="00111E21">
      <w:pPr>
        <w:pStyle w:val="ListParagraph"/>
        <w:numPr>
          <w:ilvl w:val="0"/>
          <w:numId w:val="40"/>
        </w:numPr>
        <w:spacing w:after="120"/>
        <w:ind w:left="446"/>
        <w:contextualSpacing w:val="0"/>
        <w:rPr>
          <w:rFonts w:cs="Times New Roman"/>
          <w:szCs w:val="24"/>
          <w:lang w:val="ru-RU"/>
        </w:rPr>
      </w:pPr>
      <w:r w:rsidRPr="00FD6B73">
        <w:rPr>
          <w:rFonts w:cs="Times New Roman"/>
          <w:szCs w:val="24"/>
          <w:lang w:val="ru-RU"/>
        </w:rPr>
        <w:t>Конвенција против тортуре и других сурових, нељудских или понижавајућих казни и поступака</w:t>
      </w:r>
      <w:r w:rsidR="004F313C" w:rsidRPr="00FD6B73">
        <w:rPr>
          <w:rStyle w:val="Hyperlink"/>
          <w:rFonts w:cs="Times New Roman"/>
          <w:color w:val="auto"/>
          <w:szCs w:val="24"/>
          <w:u w:val="none"/>
          <w:lang w:val="ru-RU"/>
        </w:rPr>
        <w:t>;</w:t>
      </w:r>
      <w:r w:rsidRPr="00BD1AE5">
        <w:rPr>
          <w:rStyle w:val="FootnoteReference"/>
          <w:rFonts w:cs="Times New Roman"/>
          <w:szCs w:val="24"/>
        </w:rPr>
        <w:footnoteReference w:id="21"/>
      </w:r>
    </w:p>
    <w:p w14:paraId="2BAF8B57" w14:textId="77777777" w:rsidR="00D17A2A" w:rsidRPr="00FD6B73" w:rsidRDefault="003915A2" w:rsidP="00111E21">
      <w:pPr>
        <w:pStyle w:val="ListParagraph"/>
        <w:numPr>
          <w:ilvl w:val="0"/>
          <w:numId w:val="40"/>
        </w:numPr>
        <w:spacing w:after="120"/>
        <w:ind w:left="446"/>
        <w:contextualSpacing w:val="0"/>
        <w:rPr>
          <w:rStyle w:val="Hyperlink"/>
          <w:rFonts w:cs="Times New Roman"/>
          <w:color w:val="auto"/>
          <w:szCs w:val="24"/>
          <w:u w:val="none"/>
          <w:lang w:val="ru-RU"/>
        </w:rPr>
      </w:pPr>
      <w:r w:rsidRPr="00FD6B73">
        <w:rPr>
          <w:rStyle w:val="Hyperlink"/>
          <w:rFonts w:cs="Times New Roman"/>
          <w:color w:val="auto"/>
          <w:szCs w:val="24"/>
          <w:u w:val="none"/>
          <w:lang w:val="ru-RU"/>
        </w:rPr>
        <w:t>Конвенција Уједињених нација против транснационалног организованог криминала;</w:t>
      </w:r>
      <w:r w:rsidR="00AE4E68" w:rsidRPr="00BD1AE5">
        <w:rPr>
          <w:rStyle w:val="FootnoteReference"/>
          <w:rFonts w:cs="Times New Roman"/>
          <w:szCs w:val="24"/>
        </w:rPr>
        <w:footnoteReference w:id="22"/>
      </w:r>
    </w:p>
    <w:p w14:paraId="088148E6" w14:textId="77777777" w:rsidR="0074641B" w:rsidRPr="00FD6B73" w:rsidRDefault="0074641B" w:rsidP="00111E21">
      <w:pPr>
        <w:pStyle w:val="ListParagraph"/>
        <w:numPr>
          <w:ilvl w:val="0"/>
          <w:numId w:val="40"/>
        </w:numPr>
        <w:spacing w:after="120"/>
        <w:ind w:left="446"/>
        <w:contextualSpacing w:val="0"/>
        <w:rPr>
          <w:rFonts w:cs="Times New Roman"/>
          <w:lang w:val="ru-RU"/>
        </w:rPr>
      </w:pPr>
      <w:r w:rsidRPr="00FD6B73">
        <w:rPr>
          <w:rFonts w:cs="Times New Roman"/>
          <w:szCs w:val="24"/>
          <w:lang w:val="ru-RU"/>
        </w:rPr>
        <w:t>Међународна конвенција о заштити свих лица од присилних нестанака</w:t>
      </w:r>
      <w:r w:rsidR="0035788B" w:rsidRPr="00FD6B73">
        <w:rPr>
          <w:rFonts w:cs="Times New Roman"/>
          <w:szCs w:val="24"/>
          <w:lang w:val="ru-RU"/>
        </w:rPr>
        <w:t>;</w:t>
      </w:r>
      <w:r w:rsidRPr="00CD46D4">
        <w:rPr>
          <w:rStyle w:val="FootnoteReference"/>
          <w:rFonts w:cs="Times New Roman"/>
          <w:szCs w:val="24"/>
        </w:rPr>
        <w:footnoteReference w:id="23"/>
      </w:r>
    </w:p>
    <w:p w14:paraId="62D66430" w14:textId="77777777" w:rsidR="0074641B" w:rsidRPr="00FD6B73" w:rsidRDefault="0074641B" w:rsidP="00111E21">
      <w:pPr>
        <w:pStyle w:val="ListParagraph"/>
        <w:numPr>
          <w:ilvl w:val="0"/>
          <w:numId w:val="40"/>
        </w:numPr>
        <w:spacing w:after="120"/>
        <w:ind w:left="446"/>
        <w:contextualSpacing w:val="0"/>
        <w:rPr>
          <w:rFonts w:cs="Times New Roman"/>
          <w:szCs w:val="24"/>
          <w:lang w:val="ru-RU"/>
        </w:rPr>
      </w:pPr>
      <w:r w:rsidRPr="00FD6B73">
        <w:rPr>
          <w:rFonts w:cs="Times New Roman"/>
          <w:szCs w:val="24"/>
          <w:lang w:val="ru-RU"/>
        </w:rPr>
        <w:t>Међународни пакт о грађанским и политичким правима</w:t>
      </w:r>
      <w:r w:rsidR="0035788B" w:rsidRPr="00FD6B73">
        <w:rPr>
          <w:rFonts w:cs="Times New Roman"/>
          <w:szCs w:val="24"/>
          <w:lang w:val="ru-RU"/>
        </w:rPr>
        <w:t>;</w:t>
      </w:r>
      <w:r w:rsidRPr="00CD46D4">
        <w:rPr>
          <w:rStyle w:val="FootnoteReference"/>
          <w:rFonts w:cs="Times New Roman"/>
          <w:szCs w:val="24"/>
        </w:rPr>
        <w:footnoteReference w:id="24"/>
      </w:r>
    </w:p>
    <w:p w14:paraId="55CE6DF6" w14:textId="77777777" w:rsidR="0074641B" w:rsidRPr="00FD6B73" w:rsidRDefault="0074641B" w:rsidP="00111E21">
      <w:pPr>
        <w:pStyle w:val="ListParagraph"/>
        <w:numPr>
          <w:ilvl w:val="0"/>
          <w:numId w:val="40"/>
        </w:numPr>
        <w:spacing w:after="120"/>
        <w:ind w:left="446"/>
        <w:contextualSpacing w:val="0"/>
        <w:rPr>
          <w:rFonts w:cs="Times New Roman"/>
          <w:szCs w:val="24"/>
          <w:lang w:val="ru-RU"/>
        </w:rPr>
      </w:pPr>
      <w:r w:rsidRPr="00FD6B73">
        <w:rPr>
          <w:rFonts w:cs="Times New Roman"/>
          <w:szCs w:val="24"/>
          <w:lang w:val="ru-RU"/>
        </w:rPr>
        <w:t>Опциони протокол уз Конвенцију против тортуре и других сурових, нељудских или понижавајућих казни и поступака;</w:t>
      </w:r>
      <w:r w:rsidRPr="00CD46D4">
        <w:rPr>
          <w:rStyle w:val="FootnoteReference"/>
          <w:rFonts w:cs="Times New Roman"/>
          <w:szCs w:val="24"/>
        </w:rPr>
        <w:footnoteReference w:id="25"/>
      </w:r>
    </w:p>
    <w:p w14:paraId="6B5D5F1D" w14:textId="77777777" w:rsidR="0074641B" w:rsidRPr="00CD46D4" w:rsidRDefault="00C76D32" w:rsidP="000358EE">
      <w:pPr>
        <w:pStyle w:val="ListParagraph"/>
        <w:numPr>
          <w:ilvl w:val="0"/>
          <w:numId w:val="40"/>
        </w:numPr>
        <w:spacing w:after="120"/>
        <w:ind w:left="450"/>
        <w:contextualSpacing w:val="0"/>
        <w:rPr>
          <w:rFonts w:cs="Times New Roman"/>
        </w:rPr>
      </w:pPr>
      <w:r>
        <w:t>Повеља Уједињених нација</w:t>
      </w:r>
      <w:r w:rsidR="0074641B" w:rsidRPr="00CD46D4">
        <w:rPr>
          <w:rFonts w:cs="Times New Roman"/>
        </w:rPr>
        <w:t>;</w:t>
      </w:r>
      <w:r w:rsidR="0074641B" w:rsidRPr="00CD46D4">
        <w:rPr>
          <w:rStyle w:val="FootnoteReference"/>
          <w:rFonts w:cs="Times New Roman"/>
        </w:rPr>
        <w:footnoteReference w:id="26"/>
      </w:r>
    </w:p>
    <w:p w14:paraId="7816D930" w14:textId="77777777" w:rsidR="00D17A2A" w:rsidRPr="00CD46D4" w:rsidRDefault="00B875F6" w:rsidP="000358EE">
      <w:pPr>
        <w:pStyle w:val="ListParagraph"/>
        <w:numPr>
          <w:ilvl w:val="0"/>
          <w:numId w:val="40"/>
        </w:numPr>
        <w:spacing w:after="120"/>
        <w:ind w:left="450"/>
        <w:contextualSpacing w:val="0"/>
        <w:rPr>
          <w:rFonts w:cs="Times New Roman"/>
        </w:rPr>
      </w:pPr>
      <w:hyperlink r:id="rId8" w:tgtFrame="_blank" w:tooltip="Document title" w:history="1">
        <w:r w:rsidR="00D17A2A" w:rsidRPr="00CD46D4">
          <w:rPr>
            <w:rStyle w:val="Hyperlink"/>
            <w:rFonts w:cs="Times New Roman"/>
            <w:color w:val="auto"/>
            <w:u w:val="none"/>
          </w:rPr>
          <w:t xml:space="preserve">Резолуција </w:t>
        </w:r>
        <w:r w:rsidR="000A6E28" w:rsidRPr="00CD46D4">
          <w:rPr>
            <w:rStyle w:val="Hyperlink"/>
            <w:rFonts w:cs="Times New Roman"/>
            <w:color w:val="auto"/>
            <w:u w:val="none"/>
          </w:rPr>
          <w:t xml:space="preserve">Савета Безбедности УН </w:t>
        </w:r>
        <w:r w:rsidR="00D17A2A" w:rsidRPr="00CD46D4">
          <w:rPr>
            <w:rStyle w:val="Hyperlink"/>
            <w:rFonts w:cs="Times New Roman"/>
            <w:color w:val="auto"/>
            <w:u w:val="none"/>
          </w:rPr>
          <w:t>1503</w:t>
        </w:r>
      </w:hyperlink>
      <w:r w:rsidR="0035788B">
        <w:rPr>
          <w:rFonts w:cs="Times New Roman"/>
        </w:rPr>
        <w:t>;</w:t>
      </w:r>
      <w:r w:rsidR="000A6E28" w:rsidRPr="00CD46D4">
        <w:rPr>
          <w:rStyle w:val="FootnoteReference"/>
          <w:rFonts w:cs="Times New Roman"/>
        </w:rPr>
        <w:footnoteReference w:id="27"/>
      </w:r>
    </w:p>
    <w:p w14:paraId="1F96F7CE" w14:textId="77777777" w:rsidR="00D17A2A" w:rsidRPr="00CD46D4" w:rsidRDefault="00B875F6" w:rsidP="000358EE">
      <w:pPr>
        <w:pStyle w:val="ListParagraph"/>
        <w:numPr>
          <w:ilvl w:val="0"/>
          <w:numId w:val="40"/>
        </w:numPr>
        <w:spacing w:after="120"/>
        <w:ind w:left="450"/>
        <w:contextualSpacing w:val="0"/>
        <w:rPr>
          <w:rFonts w:cs="Times New Roman"/>
        </w:rPr>
      </w:pPr>
      <w:hyperlink r:id="rId9" w:tgtFrame="_blank" w:tooltip="Document title" w:history="1">
        <w:r w:rsidR="00D17A2A" w:rsidRPr="00CD46D4">
          <w:rPr>
            <w:rStyle w:val="Hyperlink"/>
            <w:rFonts w:cs="Times New Roman"/>
            <w:color w:val="auto"/>
            <w:u w:val="none"/>
          </w:rPr>
          <w:t xml:space="preserve">Резолуција </w:t>
        </w:r>
        <w:r w:rsidR="0073364B" w:rsidRPr="00CD46D4">
          <w:rPr>
            <w:rStyle w:val="Hyperlink"/>
            <w:rFonts w:cs="Times New Roman"/>
            <w:color w:val="auto"/>
            <w:u w:val="none"/>
          </w:rPr>
          <w:t xml:space="preserve">Савета Безбедности УН </w:t>
        </w:r>
        <w:r w:rsidR="00D17A2A" w:rsidRPr="00CD46D4">
          <w:rPr>
            <w:rStyle w:val="Hyperlink"/>
            <w:rFonts w:cs="Times New Roman"/>
            <w:color w:val="auto"/>
            <w:u w:val="none"/>
          </w:rPr>
          <w:t>1534</w:t>
        </w:r>
      </w:hyperlink>
      <w:r w:rsidR="000A6E28" w:rsidRPr="00CD46D4">
        <w:rPr>
          <w:rFonts w:cs="Times New Roman"/>
        </w:rPr>
        <w:t>;</w:t>
      </w:r>
      <w:r w:rsidR="0073364B" w:rsidRPr="00CD46D4">
        <w:rPr>
          <w:rStyle w:val="FootnoteReference"/>
          <w:rFonts w:cs="Times New Roman"/>
        </w:rPr>
        <w:footnoteReference w:id="28"/>
      </w:r>
    </w:p>
    <w:p w14:paraId="7DAD6CEE" w14:textId="77777777" w:rsidR="00FF6002" w:rsidRPr="00CD46D4" w:rsidRDefault="00B875F6" w:rsidP="000358EE">
      <w:pPr>
        <w:pStyle w:val="ListParagraph"/>
        <w:numPr>
          <w:ilvl w:val="0"/>
          <w:numId w:val="40"/>
        </w:numPr>
        <w:spacing w:after="120"/>
        <w:ind w:left="450"/>
        <w:contextualSpacing w:val="0"/>
        <w:rPr>
          <w:rStyle w:val="Hyperlink"/>
          <w:rFonts w:cs="Times New Roman"/>
          <w:color w:val="auto"/>
          <w:u w:val="none"/>
        </w:rPr>
      </w:pPr>
      <w:hyperlink r:id="rId10" w:tgtFrame="_blank" w:tooltip="Document title" w:history="1">
        <w:r w:rsidR="00D17A2A" w:rsidRPr="00CD46D4">
          <w:rPr>
            <w:rStyle w:val="Hyperlink"/>
            <w:rFonts w:cs="Times New Roman"/>
            <w:color w:val="auto"/>
            <w:u w:val="none"/>
          </w:rPr>
          <w:t xml:space="preserve">Резолуција </w:t>
        </w:r>
        <w:r w:rsidR="00FF6002" w:rsidRPr="00CD46D4">
          <w:rPr>
            <w:rStyle w:val="Hyperlink"/>
            <w:rFonts w:cs="Times New Roman"/>
            <w:color w:val="auto"/>
            <w:u w:val="none"/>
          </w:rPr>
          <w:t xml:space="preserve">Савета Безбедности УН </w:t>
        </w:r>
        <w:r w:rsidR="00D17A2A" w:rsidRPr="00CD46D4">
          <w:rPr>
            <w:rStyle w:val="Hyperlink"/>
            <w:rFonts w:cs="Times New Roman"/>
            <w:color w:val="auto"/>
            <w:u w:val="none"/>
          </w:rPr>
          <w:t>1244</w:t>
        </w:r>
      </w:hyperlink>
      <w:r w:rsidR="0035788B" w:rsidRPr="00CD46D4">
        <w:rPr>
          <w:rFonts w:cs="Times New Roman"/>
          <w:szCs w:val="24"/>
        </w:rPr>
        <w:t>;</w:t>
      </w:r>
      <w:r w:rsidR="00FF6002" w:rsidRPr="00CD46D4">
        <w:rPr>
          <w:rStyle w:val="FootnoteReference"/>
          <w:rFonts w:cs="Times New Roman"/>
        </w:rPr>
        <w:footnoteReference w:id="29"/>
      </w:r>
    </w:p>
    <w:p w14:paraId="0138D12A" w14:textId="77777777" w:rsidR="00D17A2A" w:rsidRPr="00FD6B73" w:rsidRDefault="003915A2" w:rsidP="000358EE">
      <w:pPr>
        <w:pStyle w:val="ListParagraph"/>
        <w:numPr>
          <w:ilvl w:val="0"/>
          <w:numId w:val="40"/>
        </w:numPr>
        <w:spacing w:after="120"/>
        <w:ind w:left="450"/>
        <w:contextualSpacing w:val="0"/>
        <w:rPr>
          <w:rStyle w:val="Hyperlink"/>
          <w:rFonts w:cs="Times New Roman"/>
          <w:color w:val="auto"/>
          <w:u w:val="none"/>
          <w:lang w:val="ru-RU"/>
        </w:rPr>
      </w:pPr>
      <w:r w:rsidRPr="00FD6B73">
        <w:rPr>
          <w:rStyle w:val="Hyperlink"/>
          <w:rFonts w:cs="Times New Roman"/>
          <w:color w:val="auto"/>
          <w:u w:val="none"/>
          <w:lang w:val="ru-RU"/>
        </w:rPr>
        <w:t>Статут Међународног кривичног суда за бившу Југославију;</w:t>
      </w:r>
      <w:r w:rsidR="000A6E28" w:rsidRPr="00CD46D4">
        <w:rPr>
          <w:rStyle w:val="FootnoteReference"/>
          <w:rFonts w:cs="Times New Roman"/>
        </w:rPr>
        <w:footnoteReference w:id="30"/>
      </w:r>
    </w:p>
    <w:p w14:paraId="7BBCDE8B" w14:textId="77777777" w:rsidR="00816BD8" w:rsidRPr="00FD6B73" w:rsidRDefault="00816BD8" w:rsidP="000358EE">
      <w:pPr>
        <w:pStyle w:val="ListParagraph"/>
        <w:numPr>
          <w:ilvl w:val="0"/>
          <w:numId w:val="40"/>
        </w:numPr>
        <w:spacing w:after="120"/>
        <w:ind w:left="450"/>
        <w:contextualSpacing w:val="0"/>
        <w:rPr>
          <w:rStyle w:val="Hyperlink"/>
          <w:rFonts w:cs="Times New Roman"/>
          <w:color w:val="auto"/>
          <w:u w:val="none"/>
          <w:lang w:val="ru-RU"/>
        </w:rPr>
      </w:pPr>
      <w:r w:rsidRPr="00FD6B73">
        <w:rPr>
          <w:rStyle w:val="Hyperlink"/>
          <w:rFonts w:cs="Times New Roman"/>
          <w:color w:val="auto"/>
          <w:u w:val="none"/>
          <w:lang w:val="ru-RU"/>
        </w:rPr>
        <w:t>Статут Међународног резидуалног механизма за кривичне судове</w:t>
      </w:r>
      <w:r w:rsidR="0035788B" w:rsidRPr="00FD6B73">
        <w:rPr>
          <w:rFonts w:cs="Times New Roman"/>
          <w:szCs w:val="24"/>
          <w:lang w:val="ru-RU"/>
        </w:rPr>
        <w:t>;</w:t>
      </w:r>
      <w:r>
        <w:rPr>
          <w:rStyle w:val="FootnoteReference"/>
          <w:rFonts w:cs="Times New Roman"/>
        </w:rPr>
        <w:footnoteReference w:id="31"/>
      </w:r>
    </w:p>
    <w:p w14:paraId="17B273BC" w14:textId="77777777" w:rsidR="00FF6002" w:rsidRPr="00FD6B73" w:rsidRDefault="00FF6002" w:rsidP="000358EE">
      <w:pPr>
        <w:pStyle w:val="ListParagraph"/>
        <w:numPr>
          <w:ilvl w:val="0"/>
          <w:numId w:val="40"/>
        </w:numPr>
        <w:spacing w:after="120"/>
        <w:ind w:left="450"/>
        <w:contextualSpacing w:val="0"/>
        <w:rPr>
          <w:rFonts w:cs="Times New Roman"/>
          <w:szCs w:val="24"/>
          <w:lang w:val="ru-RU"/>
        </w:rPr>
      </w:pPr>
      <w:r w:rsidRPr="00FD6B73">
        <w:rPr>
          <w:rFonts w:cs="Times New Roman"/>
          <w:szCs w:val="24"/>
          <w:lang w:val="ru-RU"/>
        </w:rPr>
        <w:t>Римски статут Међународног кривичног суда;</w:t>
      </w:r>
      <w:r w:rsidRPr="00BD1AE5">
        <w:rPr>
          <w:rStyle w:val="FootnoteReference"/>
          <w:rFonts w:cs="Times New Roman"/>
          <w:szCs w:val="24"/>
        </w:rPr>
        <w:footnoteReference w:id="32"/>
      </w:r>
    </w:p>
    <w:p w14:paraId="340EAE44" w14:textId="77777777" w:rsidR="007A72FD" w:rsidRPr="00FD6B73" w:rsidRDefault="007A72FD" w:rsidP="00C127D9">
      <w:pPr>
        <w:pStyle w:val="ListParagraph"/>
        <w:numPr>
          <w:ilvl w:val="0"/>
          <w:numId w:val="35"/>
        </w:numPr>
        <w:spacing w:after="0"/>
        <w:ind w:left="450"/>
        <w:contextualSpacing w:val="0"/>
        <w:rPr>
          <w:rFonts w:cs="Times New Roman"/>
          <w:szCs w:val="24"/>
          <w:lang w:val="ru-RU"/>
        </w:rPr>
      </w:pPr>
      <w:bookmarkStart w:id="9" w:name="_Toc72932061"/>
      <w:r w:rsidRPr="00FD6B73">
        <w:rPr>
          <w:rFonts w:cs="Times New Roman"/>
          <w:szCs w:val="24"/>
          <w:lang w:val="ru-RU"/>
        </w:rPr>
        <w:t>Универзална декларација о људским правима</w:t>
      </w:r>
      <w:r w:rsidR="0074641B" w:rsidRPr="00FD6B73">
        <w:rPr>
          <w:rFonts w:cs="Times New Roman"/>
          <w:szCs w:val="24"/>
          <w:lang w:val="ru-RU"/>
        </w:rPr>
        <w:t>.</w:t>
      </w:r>
      <w:r w:rsidRPr="00BD1AE5">
        <w:rPr>
          <w:rStyle w:val="FootnoteReference"/>
          <w:rFonts w:cs="Times New Roman"/>
          <w:szCs w:val="24"/>
        </w:rPr>
        <w:footnoteReference w:id="33"/>
      </w:r>
    </w:p>
    <w:p w14:paraId="32403EAC" w14:textId="77777777" w:rsidR="007A72FD" w:rsidRPr="00FD6B73" w:rsidRDefault="007A72FD" w:rsidP="001A1964">
      <w:pPr>
        <w:rPr>
          <w:rFonts w:cs="Times New Roman"/>
          <w:szCs w:val="24"/>
          <w:lang w:val="ru-RU"/>
        </w:rPr>
      </w:pPr>
    </w:p>
    <w:p w14:paraId="65B10966" w14:textId="77777777" w:rsidR="006844E0" w:rsidRPr="00FD6B73" w:rsidRDefault="006844E0" w:rsidP="00C976F8">
      <w:pPr>
        <w:pStyle w:val="Heading1"/>
        <w:numPr>
          <w:ilvl w:val="0"/>
          <w:numId w:val="1"/>
        </w:numPr>
        <w:spacing w:after="240" w:line="240" w:lineRule="auto"/>
        <w:rPr>
          <w:rFonts w:cs="Times New Roman"/>
          <w:lang w:val="ru-RU"/>
        </w:rPr>
      </w:pPr>
      <w:bookmarkStart w:id="10" w:name="_Toc84580768"/>
      <w:r w:rsidRPr="00FD6B73">
        <w:rPr>
          <w:rFonts w:cs="Times New Roman"/>
          <w:lang w:val="ru-RU"/>
        </w:rPr>
        <w:t>ТРЕНУТНО</w:t>
      </w:r>
      <w:r w:rsidR="00F15D6B" w:rsidRPr="00FD6B73">
        <w:rPr>
          <w:rFonts w:cs="Times New Roman"/>
          <w:lang w:val="ru-RU"/>
        </w:rPr>
        <w:t xml:space="preserve"> СТАЊЕ У ОБЛАСТИ </w:t>
      </w:r>
      <w:r w:rsidR="00393680" w:rsidRPr="00FD6B73">
        <w:rPr>
          <w:rFonts w:cs="Times New Roman"/>
          <w:lang w:val="ru-RU"/>
        </w:rPr>
        <w:t>ПРОЦЕСУИРАЊА РАТНИХ ЗЛОЧИНА</w:t>
      </w:r>
      <w:r w:rsidRPr="00FD6B73">
        <w:rPr>
          <w:rFonts w:cs="Times New Roman"/>
          <w:lang w:val="ru-RU"/>
        </w:rPr>
        <w:t xml:space="preserve"> У РЕПУБЛИЦИ СРБИЈИ</w:t>
      </w:r>
      <w:bookmarkEnd w:id="9"/>
      <w:bookmarkEnd w:id="10"/>
    </w:p>
    <w:p w14:paraId="53C281BE" w14:textId="50B50B16" w:rsidR="00C976F8" w:rsidRPr="00FD6B73" w:rsidRDefault="00C976F8" w:rsidP="00CB45FE">
      <w:pPr>
        <w:spacing w:after="120" w:line="240" w:lineRule="auto"/>
        <w:rPr>
          <w:rFonts w:eastAsiaTheme="majorEastAsia" w:cs="Times New Roman"/>
          <w:lang w:val="ru-RU"/>
        </w:rPr>
      </w:pPr>
      <w:r w:rsidRPr="00FD6B73">
        <w:rPr>
          <w:rFonts w:eastAsiaTheme="majorEastAsia" w:cs="Times New Roman"/>
          <w:lang w:val="ru-RU"/>
        </w:rPr>
        <w:t xml:space="preserve">Влада Републике Србије усвојила је фебруара 2016. године Националну стратегију за процесуирање ратних злочина (у даљем тексту: </w:t>
      </w:r>
      <w:r w:rsidR="0053707F">
        <w:rPr>
          <w:rFonts w:eastAsiaTheme="majorEastAsia" w:cs="Times New Roman"/>
          <w:lang w:val="ru-RU"/>
        </w:rPr>
        <w:t>НСПРЗ</w:t>
      </w:r>
      <w:r w:rsidRPr="00FD6B73">
        <w:rPr>
          <w:rFonts w:eastAsiaTheme="majorEastAsia" w:cs="Times New Roman"/>
          <w:lang w:val="ru-RU"/>
        </w:rPr>
        <w:t xml:space="preserve">) као кровни стратешки документ којим се трасирају реформски кораци у овој области. Усвајању </w:t>
      </w:r>
      <w:r w:rsidR="002C73A2" w:rsidRPr="00FD6B73">
        <w:rPr>
          <w:rFonts w:eastAsiaTheme="majorEastAsia" w:cs="Times New Roman"/>
          <w:lang w:val="ru-RU"/>
        </w:rPr>
        <w:t>НСПРЗ</w:t>
      </w:r>
      <w:r w:rsidRPr="00FD6B73">
        <w:rPr>
          <w:rFonts w:eastAsiaTheme="majorEastAsia" w:cs="Times New Roman"/>
          <w:lang w:val="ru-RU"/>
        </w:rPr>
        <w:t xml:space="preserve"> претходио </w:t>
      </w:r>
      <w:r w:rsidR="00CC3080" w:rsidRPr="00FD6B73">
        <w:rPr>
          <w:rFonts w:eastAsiaTheme="majorEastAsia" w:cs="Times New Roman"/>
          <w:lang w:val="ru-RU"/>
        </w:rPr>
        <w:t xml:space="preserve">је </w:t>
      </w:r>
      <w:r w:rsidR="0094152A" w:rsidRPr="00FD6B73">
        <w:rPr>
          <w:rFonts w:eastAsiaTheme="majorEastAsia" w:cs="Times New Roman"/>
          <w:lang w:val="ru-RU"/>
        </w:rPr>
        <w:t xml:space="preserve">консултативни </w:t>
      </w:r>
      <w:r w:rsidRPr="00FD6B73">
        <w:rPr>
          <w:rFonts w:eastAsiaTheme="majorEastAsia" w:cs="Times New Roman"/>
          <w:lang w:val="ru-RU"/>
        </w:rPr>
        <w:t xml:space="preserve">процес са свим заинтересованим институцијама, организацијама и појединцима. </w:t>
      </w:r>
    </w:p>
    <w:p w14:paraId="67F8413E" w14:textId="5275296A" w:rsidR="00C976F8" w:rsidRPr="00FD6B73" w:rsidRDefault="00C976F8" w:rsidP="00CB45FE">
      <w:pPr>
        <w:spacing w:after="120" w:line="240" w:lineRule="auto"/>
        <w:rPr>
          <w:rFonts w:eastAsiaTheme="majorEastAsia" w:cs="Times New Roman"/>
          <w:lang w:val="ru-RU"/>
        </w:rPr>
      </w:pPr>
      <w:r w:rsidRPr="00FD6B73">
        <w:rPr>
          <w:rFonts w:eastAsiaTheme="majorEastAsia" w:cs="Times New Roman"/>
          <w:lang w:val="ru-RU"/>
        </w:rPr>
        <w:t>Сама одлука да се приступи изради и усвајању оваквог стратешког документа, била је одређена потребом да се на адекватан начин адресирају препоруке садржане у Извештају о скринингу за Поглавље 23</w:t>
      </w:r>
      <w:r w:rsidRPr="00CD46D4">
        <w:rPr>
          <w:rStyle w:val="FootnoteReference"/>
          <w:rFonts w:eastAsiaTheme="majorEastAsia" w:cs="Times New Roman"/>
        </w:rPr>
        <w:footnoteReference w:id="34"/>
      </w:r>
      <w:r w:rsidRPr="0070172A">
        <w:rPr>
          <w:rStyle w:val="FootnoteReference"/>
          <w:lang w:val="ru-RU"/>
        </w:rPr>
        <w:t>,</w:t>
      </w:r>
      <w:r w:rsidRPr="00FD6B73">
        <w:rPr>
          <w:rFonts w:eastAsiaTheme="majorEastAsia" w:cs="Times New Roman"/>
          <w:lang w:val="ru-RU"/>
        </w:rPr>
        <w:t xml:space="preserve"> као и мере и активности из Акционог плана за исто преговарачко поглавље</w:t>
      </w:r>
      <w:r w:rsidRPr="00CD46D4">
        <w:rPr>
          <w:rStyle w:val="FootnoteReference"/>
          <w:rFonts w:eastAsiaTheme="majorEastAsia" w:cs="Times New Roman"/>
        </w:rPr>
        <w:footnoteReference w:id="35"/>
      </w:r>
      <w:r w:rsidRPr="00FD6B73">
        <w:rPr>
          <w:rFonts w:eastAsiaTheme="majorEastAsia" w:cs="Times New Roman"/>
          <w:lang w:val="ru-RU"/>
        </w:rPr>
        <w:t xml:space="preserve">који је, иако званично усвојен у априлу 2016. године (након усвајања </w:t>
      </w:r>
      <w:r w:rsidR="002C73A2" w:rsidRPr="00FD6B73">
        <w:rPr>
          <w:rFonts w:eastAsiaTheme="majorEastAsia" w:cs="Times New Roman"/>
          <w:lang w:val="ru-RU"/>
        </w:rPr>
        <w:t>НСПРЗ</w:t>
      </w:r>
      <w:r w:rsidRPr="00FD6B73">
        <w:rPr>
          <w:rFonts w:eastAsiaTheme="majorEastAsia" w:cs="Times New Roman"/>
          <w:lang w:val="ru-RU"/>
        </w:rPr>
        <w:t>) већ почетком 2015</w:t>
      </w:r>
      <w:r w:rsidR="0070172A" w:rsidRPr="00FD6B73">
        <w:rPr>
          <w:rFonts w:eastAsiaTheme="majorEastAsia" w:cs="Times New Roman"/>
          <w:lang w:val="ru-RU"/>
        </w:rPr>
        <w:t>.</w:t>
      </w:r>
      <w:r w:rsidR="0053707F">
        <w:rPr>
          <w:rFonts w:eastAsiaTheme="majorEastAsia" w:cs="Times New Roman"/>
          <w:lang w:val="ru-RU"/>
        </w:rPr>
        <w:t xml:space="preserve"> године</w:t>
      </w:r>
      <w:r w:rsidRPr="00FD6B73">
        <w:rPr>
          <w:rFonts w:eastAsiaTheme="majorEastAsia" w:cs="Times New Roman"/>
          <w:lang w:val="ru-RU"/>
        </w:rPr>
        <w:t xml:space="preserve">, у својим радним верзијама, трасирао принципе касније разрађене у </w:t>
      </w:r>
      <w:r w:rsidR="0053707F" w:rsidRPr="00FD6B73">
        <w:rPr>
          <w:rFonts w:eastAsiaTheme="majorEastAsia" w:cs="Times New Roman"/>
          <w:lang w:val="ru-RU"/>
        </w:rPr>
        <w:t>НСПРЗ</w:t>
      </w:r>
      <w:r w:rsidRPr="00FD6B73">
        <w:rPr>
          <w:rFonts w:eastAsiaTheme="majorEastAsia" w:cs="Times New Roman"/>
          <w:lang w:val="ru-RU"/>
        </w:rPr>
        <w:t>.</w:t>
      </w:r>
    </w:p>
    <w:p w14:paraId="39EBE4F4" w14:textId="45B8D22E" w:rsidR="00C976F8" w:rsidRPr="00FD6B73" w:rsidRDefault="00C976F8" w:rsidP="00E22F0B">
      <w:pPr>
        <w:spacing w:after="120" w:line="240" w:lineRule="auto"/>
        <w:rPr>
          <w:rFonts w:eastAsiaTheme="majorEastAsia" w:cs="Times New Roman"/>
          <w:lang w:val="ru-RU"/>
        </w:rPr>
      </w:pPr>
      <w:r w:rsidRPr="00FD6B73">
        <w:rPr>
          <w:rFonts w:eastAsiaTheme="majorEastAsia" w:cs="Times New Roman"/>
          <w:lang w:val="ru-RU"/>
        </w:rPr>
        <w:t xml:space="preserve">Када је реч о садржини </w:t>
      </w:r>
      <w:r w:rsidR="0053707F" w:rsidRPr="00FD6B73">
        <w:rPr>
          <w:rFonts w:eastAsiaTheme="majorEastAsia" w:cs="Times New Roman"/>
          <w:lang w:val="ru-RU"/>
        </w:rPr>
        <w:t>НСПРЗ</w:t>
      </w:r>
      <w:r w:rsidRPr="00FD6B73">
        <w:rPr>
          <w:rFonts w:eastAsiaTheme="majorEastAsia" w:cs="Times New Roman"/>
          <w:lang w:val="ru-RU"/>
        </w:rPr>
        <w:t xml:space="preserve">, важно је напоменути да је након уводних поглавља која, у Општем делу, дају преглед постојећег стања и дефинишу визију и опредељеност Републике Србије, планирани циљеви и активности за период спровођења </w:t>
      </w:r>
      <w:r w:rsidR="002C73A2" w:rsidRPr="00FD6B73">
        <w:rPr>
          <w:rFonts w:eastAsiaTheme="majorEastAsia" w:cs="Times New Roman"/>
          <w:lang w:val="ru-RU"/>
        </w:rPr>
        <w:t>НСПРЗ</w:t>
      </w:r>
      <w:r w:rsidRPr="00FD6B73">
        <w:rPr>
          <w:rFonts w:eastAsiaTheme="majorEastAsia" w:cs="Times New Roman"/>
          <w:lang w:val="ru-RU"/>
        </w:rPr>
        <w:t xml:space="preserve"> садржани су у Посебном делу, у оквиру осам тематских целина/циљева:</w:t>
      </w:r>
    </w:p>
    <w:p w14:paraId="29BB4107" w14:textId="77777777" w:rsidR="00C976F8" w:rsidRPr="00FD6B73" w:rsidRDefault="00C976F8" w:rsidP="00E22F0B">
      <w:pPr>
        <w:pStyle w:val="ListParagraph"/>
        <w:numPr>
          <w:ilvl w:val="0"/>
          <w:numId w:val="19"/>
        </w:numPr>
        <w:spacing w:after="120"/>
        <w:contextualSpacing w:val="0"/>
        <w:rPr>
          <w:rFonts w:eastAsiaTheme="majorEastAsia" w:cs="Times New Roman"/>
          <w:lang w:val="ru-RU"/>
        </w:rPr>
      </w:pPr>
      <w:r w:rsidRPr="00FD6B73">
        <w:rPr>
          <w:rFonts w:eastAsiaTheme="majorEastAsia" w:cs="Times New Roman"/>
          <w:lang w:val="ru-RU"/>
        </w:rPr>
        <w:t>Повећање ефикасности поступака за ратне злочине пред органима Републике Србије;</w:t>
      </w:r>
    </w:p>
    <w:p w14:paraId="0FBA81F6" w14:textId="77777777" w:rsidR="00C976F8" w:rsidRPr="00CD46D4" w:rsidRDefault="00C976F8" w:rsidP="00E22F0B">
      <w:pPr>
        <w:pStyle w:val="ListParagraph"/>
        <w:numPr>
          <w:ilvl w:val="0"/>
          <w:numId w:val="19"/>
        </w:numPr>
        <w:spacing w:after="120"/>
        <w:contextualSpacing w:val="0"/>
        <w:rPr>
          <w:rFonts w:eastAsiaTheme="majorEastAsia" w:cs="Times New Roman"/>
        </w:rPr>
      </w:pPr>
      <w:r w:rsidRPr="00CD46D4">
        <w:rPr>
          <w:rFonts w:eastAsiaTheme="majorEastAsia" w:cs="Times New Roman"/>
        </w:rPr>
        <w:t>Заштита сведока и жртава;</w:t>
      </w:r>
    </w:p>
    <w:p w14:paraId="01187ABC" w14:textId="77777777" w:rsidR="00C976F8" w:rsidRPr="00CD46D4" w:rsidRDefault="00C976F8" w:rsidP="00E22F0B">
      <w:pPr>
        <w:pStyle w:val="ListParagraph"/>
        <w:numPr>
          <w:ilvl w:val="0"/>
          <w:numId w:val="19"/>
        </w:numPr>
        <w:spacing w:after="120"/>
        <w:contextualSpacing w:val="0"/>
        <w:rPr>
          <w:rFonts w:eastAsiaTheme="majorEastAsia" w:cs="Times New Roman"/>
        </w:rPr>
      </w:pPr>
      <w:r w:rsidRPr="00CD46D4">
        <w:rPr>
          <w:rFonts w:eastAsiaTheme="majorEastAsia" w:cs="Times New Roman"/>
        </w:rPr>
        <w:t>Подршка сведоцима и жртвама;</w:t>
      </w:r>
    </w:p>
    <w:p w14:paraId="232932E6" w14:textId="77777777" w:rsidR="00C976F8" w:rsidRPr="00CD46D4" w:rsidRDefault="00C976F8" w:rsidP="00E22F0B">
      <w:pPr>
        <w:pStyle w:val="ListParagraph"/>
        <w:numPr>
          <w:ilvl w:val="0"/>
          <w:numId w:val="19"/>
        </w:numPr>
        <w:spacing w:after="120"/>
        <w:contextualSpacing w:val="0"/>
        <w:rPr>
          <w:rFonts w:eastAsiaTheme="majorEastAsia" w:cs="Times New Roman"/>
        </w:rPr>
      </w:pPr>
      <w:r w:rsidRPr="00CD46D4">
        <w:rPr>
          <w:rFonts w:eastAsiaTheme="majorEastAsia" w:cs="Times New Roman"/>
        </w:rPr>
        <w:t>Одбрана окривљеног;</w:t>
      </w:r>
    </w:p>
    <w:p w14:paraId="7E9268A9" w14:textId="77777777" w:rsidR="00C976F8" w:rsidRPr="00FD6B73" w:rsidRDefault="00C976F8" w:rsidP="00E22F0B">
      <w:pPr>
        <w:pStyle w:val="ListParagraph"/>
        <w:numPr>
          <w:ilvl w:val="0"/>
          <w:numId w:val="19"/>
        </w:numPr>
        <w:spacing w:after="120"/>
        <w:contextualSpacing w:val="0"/>
        <w:rPr>
          <w:rFonts w:eastAsiaTheme="majorEastAsia" w:cs="Times New Roman"/>
          <w:lang w:val="ru-RU"/>
        </w:rPr>
      </w:pPr>
      <w:r w:rsidRPr="00FD6B73">
        <w:rPr>
          <w:rFonts w:eastAsiaTheme="majorEastAsia" w:cs="Times New Roman"/>
          <w:lang w:val="ru-RU"/>
        </w:rPr>
        <w:t>Суђења за ратне злочине и питање несталих лица;</w:t>
      </w:r>
    </w:p>
    <w:p w14:paraId="51C60F32" w14:textId="77777777" w:rsidR="00C976F8" w:rsidRPr="00FD6B73" w:rsidRDefault="00C976F8" w:rsidP="00E22F0B">
      <w:pPr>
        <w:pStyle w:val="ListParagraph"/>
        <w:numPr>
          <w:ilvl w:val="0"/>
          <w:numId w:val="19"/>
        </w:numPr>
        <w:spacing w:after="120"/>
        <w:contextualSpacing w:val="0"/>
        <w:rPr>
          <w:rFonts w:eastAsiaTheme="majorEastAsia" w:cs="Times New Roman"/>
          <w:lang w:val="ru-RU"/>
        </w:rPr>
      </w:pPr>
      <w:r w:rsidRPr="00FD6B73">
        <w:rPr>
          <w:rFonts w:eastAsiaTheme="majorEastAsia" w:cs="Times New Roman"/>
          <w:lang w:val="ru-RU"/>
        </w:rPr>
        <w:t>Сарадња са Међународним кривичним трибуналом за бившу Југославију;</w:t>
      </w:r>
    </w:p>
    <w:p w14:paraId="3641D3B2" w14:textId="77777777" w:rsidR="00C976F8" w:rsidRPr="00FD6B73" w:rsidRDefault="00C976F8" w:rsidP="00E22F0B">
      <w:pPr>
        <w:pStyle w:val="ListParagraph"/>
        <w:numPr>
          <w:ilvl w:val="0"/>
          <w:numId w:val="19"/>
        </w:numPr>
        <w:spacing w:after="120"/>
        <w:contextualSpacing w:val="0"/>
        <w:rPr>
          <w:rFonts w:eastAsiaTheme="majorEastAsia" w:cs="Times New Roman"/>
          <w:lang w:val="ru-RU"/>
        </w:rPr>
      </w:pPr>
      <w:r w:rsidRPr="00FD6B73">
        <w:rPr>
          <w:rFonts w:eastAsiaTheme="majorEastAsia" w:cs="Times New Roman"/>
          <w:lang w:val="ru-RU"/>
        </w:rPr>
        <w:t>Регионална и шира међународна сарадња;</w:t>
      </w:r>
    </w:p>
    <w:p w14:paraId="16632809" w14:textId="77777777" w:rsidR="00C976F8" w:rsidRPr="00FD6B73" w:rsidRDefault="00C976F8" w:rsidP="00E22F0B">
      <w:pPr>
        <w:pStyle w:val="ListParagraph"/>
        <w:numPr>
          <w:ilvl w:val="0"/>
          <w:numId w:val="19"/>
        </w:numPr>
        <w:spacing w:after="120"/>
        <w:contextualSpacing w:val="0"/>
        <w:rPr>
          <w:rFonts w:eastAsiaTheme="majorEastAsia" w:cs="Times New Roman"/>
          <w:lang w:val="ru-RU"/>
        </w:rPr>
      </w:pPr>
      <w:r w:rsidRPr="00FD6B73">
        <w:rPr>
          <w:rFonts w:eastAsiaTheme="majorEastAsia" w:cs="Times New Roman"/>
          <w:lang w:val="ru-RU"/>
        </w:rPr>
        <w:t>Унапређење укупног односа јавности према суђењима за ратне злочине.</w:t>
      </w:r>
    </w:p>
    <w:p w14:paraId="7503A8F9" w14:textId="77178030" w:rsidR="00C976F8" w:rsidRPr="00FD6B73" w:rsidRDefault="00C976F8" w:rsidP="00E22F0B">
      <w:pPr>
        <w:spacing w:after="120" w:line="240" w:lineRule="auto"/>
        <w:rPr>
          <w:rFonts w:eastAsiaTheme="majorEastAsia" w:cs="Times New Roman"/>
          <w:lang w:val="ru-RU"/>
        </w:rPr>
      </w:pPr>
      <w:r w:rsidRPr="00FD6B73">
        <w:rPr>
          <w:rFonts w:eastAsiaTheme="majorEastAsia" w:cs="Times New Roman"/>
          <w:lang w:val="ru-RU"/>
        </w:rPr>
        <w:t xml:space="preserve">Важно је напоменути да, имајући у виду хронолошки след догађаја у оквиру процеса приступних преговора, </w:t>
      </w:r>
      <w:r w:rsidR="0053707F" w:rsidRPr="00FD6B73">
        <w:rPr>
          <w:rFonts w:eastAsiaTheme="majorEastAsia" w:cs="Times New Roman"/>
          <w:lang w:val="ru-RU"/>
        </w:rPr>
        <w:t xml:space="preserve">НСПРЗ </w:t>
      </w:r>
      <w:r w:rsidRPr="00FD6B73">
        <w:rPr>
          <w:rFonts w:eastAsiaTheme="majorEastAsia" w:cs="Times New Roman"/>
          <w:lang w:val="ru-RU"/>
        </w:rPr>
        <w:t>није била заснована на садржини прелазних мерила, садржаних у Преговарачкој позицији за Поглавље 23</w:t>
      </w:r>
      <w:r w:rsidRPr="00CD46D4">
        <w:rPr>
          <w:rStyle w:val="FootnoteReference"/>
          <w:rFonts w:eastAsiaTheme="majorEastAsia" w:cs="Times New Roman"/>
        </w:rPr>
        <w:footnoteReference w:id="36"/>
      </w:r>
      <w:r w:rsidRPr="00FD6B73">
        <w:rPr>
          <w:rFonts w:eastAsiaTheme="majorEastAsia" w:cs="Times New Roman"/>
          <w:lang w:val="ru-RU"/>
        </w:rPr>
        <w:t xml:space="preserve"> усвојене у јулу 2016. године. Такође, у августу 2020. године, Влада Републике Србије је усвојила Ревидирани Акциони </w:t>
      </w:r>
      <w:r w:rsidRPr="00FD6B73">
        <w:rPr>
          <w:rFonts w:eastAsiaTheme="majorEastAsia" w:cs="Times New Roman"/>
          <w:lang w:val="ru-RU"/>
        </w:rPr>
        <w:lastRenderedPageBreak/>
        <w:t>план за Поглавље 23, заснован на резултатима постигнутим у прве четири године спровођења овог стратешког документа, али и на прелазним мерилима из Преговарачке позиције за Поглавље 23.</w:t>
      </w:r>
    </w:p>
    <w:p w14:paraId="28765224" w14:textId="3F2351BB" w:rsidR="00C976F8" w:rsidRPr="00FD6B73" w:rsidRDefault="00E22F0B" w:rsidP="00E22F0B">
      <w:pPr>
        <w:spacing w:after="0" w:line="240" w:lineRule="auto"/>
        <w:rPr>
          <w:rFonts w:eastAsiaTheme="majorEastAsia" w:cs="Times New Roman"/>
          <w:lang w:val="ru-RU"/>
        </w:rPr>
      </w:pPr>
      <w:r w:rsidRPr="00FD6B73">
        <w:rPr>
          <w:rFonts w:eastAsiaTheme="majorEastAsia" w:cs="Times New Roman"/>
          <w:lang w:val="ru-RU"/>
        </w:rPr>
        <w:t xml:space="preserve">У децембру 2020. године, Министарство правде препознало је потребу да се иницира процес израде </w:t>
      </w:r>
      <w:r w:rsidRPr="00CD46D4">
        <w:rPr>
          <w:rFonts w:eastAsiaTheme="majorEastAsia" w:cs="Times New Roman"/>
          <w:i/>
        </w:rPr>
        <w:t>ex</w:t>
      </w:r>
      <w:r w:rsidRPr="00FD6B73">
        <w:rPr>
          <w:rFonts w:eastAsiaTheme="majorEastAsia" w:cs="Times New Roman"/>
          <w:i/>
          <w:lang w:val="ru-RU"/>
        </w:rPr>
        <w:t>-</w:t>
      </w:r>
      <w:r w:rsidRPr="00CD46D4">
        <w:rPr>
          <w:rFonts w:eastAsiaTheme="majorEastAsia" w:cs="Times New Roman"/>
          <w:i/>
        </w:rPr>
        <w:t>ante</w:t>
      </w:r>
      <w:r w:rsidRPr="00FD6B73">
        <w:rPr>
          <w:rFonts w:eastAsiaTheme="majorEastAsia" w:cs="Times New Roman"/>
          <w:lang w:val="ru-RU"/>
        </w:rPr>
        <w:t xml:space="preserve"> анализе стања у области процесуирања ратних злочина у Републици Србији, као претходницу формирања радне групе и израде новог документа јавних политика у овој области. На овај начин, Министарство</w:t>
      </w:r>
      <w:r w:rsidR="0053707F">
        <w:rPr>
          <w:rFonts w:eastAsiaTheme="majorEastAsia" w:cs="Times New Roman"/>
          <w:lang w:val="ru-RU"/>
        </w:rPr>
        <w:t xml:space="preserve"> правде</w:t>
      </w:r>
      <w:r w:rsidRPr="00FD6B73">
        <w:rPr>
          <w:rFonts w:eastAsiaTheme="majorEastAsia" w:cs="Times New Roman"/>
          <w:lang w:val="ru-RU"/>
        </w:rPr>
        <w:t xml:space="preserve"> је поступило у складу са обавезама прописаним </w:t>
      </w:r>
      <w:r w:rsidR="0053707F">
        <w:rPr>
          <w:rFonts w:eastAsiaTheme="majorEastAsia" w:cs="Times New Roman"/>
          <w:lang w:val="ru-RU"/>
        </w:rPr>
        <w:t xml:space="preserve">у </w:t>
      </w:r>
      <w:r w:rsidRPr="00FD6B73">
        <w:rPr>
          <w:rFonts w:eastAsiaTheme="majorEastAsia" w:cs="Times New Roman"/>
          <w:lang w:val="ru-RU"/>
        </w:rPr>
        <w:t>чл. 2, 31, 33</w:t>
      </w:r>
      <w:r w:rsidR="0053707F">
        <w:rPr>
          <w:rFonts w:eastAsiaTheme="majorEastAsia" w:cs="Times New Roman"/>
          <w:lang w:val="ru-RU"/>
        </w:rPr>
        <w:t>.</w:t>
      </w:r>
      <w:r w:rsidRPr="00FD6B73">
        <w:rPr>
          <w:rFonts w:eastAsiaTheme="majorEastAsia" w:cs="Times New Roman"/>
          <w:lang w:val="ru-RU"/>
        </w:rPr>
        <w:t xml:space="preserve"> и 37. Закона о планском систему Републике Србије, а све са циљем пружања објективних и свеобухватних инпута за потребе будућег документа јавне политике у овој области, заснованих, како на постојећем стању у предметној области, тако и на захтевима преговарачког процеса у оквиру Поглавља 23.</w:t>
      </w:r>
    </w:p>
    <w:p w14:paraId="5E3A0851" w14:textId="77777777" w:rsidR="00E22F0B" w:rsidRPr="00FD6B73" w:rsidRDefault="00E22F0B" w:rsidP="00E22F0B">
      <w:pPr>
        <w:spacing w:after="120" w:line="276" w:lineRule="auto"/>
        <w:rPr>
          <w:rFonts w:eastAsiaTheme="majorEastAsia" w:cs="Times New Roman"/>
          <w:lang w:val="ru-RU"/>
        </w:rPr>
      </w:pPr>
    </w:p>
    <w:p w14:paraId="735DF213" w14:textId="77777777" w:rsidR="00AF1189" w:rsidRPr="00FD6B73" w:rsidRDefault="00AF1189" w:rsidP="00F10AC7">
      <w:pPr>
        <w:pStyle w:val="Heading2"/>
        <w:numPr>
          <w:ilvl w:val="1"/>
          <w:numId w:val="1"/>
        </w:numPr>
        <w:spacing w:line="240" w:lineRule="auto"/>
        <w:rPr>
          <w:rFonts w:cs="Times New Roman"/>
          <w:lang w:val="ru-RU"/>
        </w:rPr>
      </w:pPr>
      <w:bookmarkStart w:id="11" w:name="_Toc69325778"/>
      <w:bookmarkStart w:id="12" w:name="_Toc72932062"/>
      <w:bookmarkStart w:id="13" w:name="_Toc84580769"/>
      <w:r w:rsidRPr="00FD6B73">
        <w:rPr>
          <w:rStyle w:val="Heading1Char"/>
          <w:rFonts w:cs="Times New Roman"/>
          <w:caps w:val="0"/>
          <w:sz w:val="24"/>
          <w:szCs w:val="26"/>
          <w:lang w:val="ru-RU"/>
        </w:rPr>
        <w:t xml:space="preserve">Повећање ефикасности поступака за ратне злочине пред органима </w:t>
      </w:r>
      <w:r w:rsidR="002C73A2" w:rsidRPr="00FD6B73">
        <w:rPr>
          <w:rStyle w:val="Heading1Char"/>
          <w:rFonts w:cs="Times New Roman"/>
          <w:caps w:val="0"/>
          <w:sz w:val="24"/>
          <w:szCs w:val="26"/>
          <w:lang w:val="ru-RU"/>
        </w:rPr>
        <w:t>Р</w:t>
      </w:r>
      <w:r w:rsidRPr="00FD6B73">
        <w:rPr>
          <w:rStyle w:val="Heading1Char"/>
          <w:rFonts w:cs="Times New Roman"/>
          <w:caps w:val="0"/>
          <w:sz w:val="24"/>
          <w:szCs w:val="26"/>
          <w:lang w:val="ru-RU"/>
        </w:rPr>
        <w:t xml:space="preserve">епублике </w:t>
      </w:r>
      <w:r w:rsidR="002C73A2" w:rsidRPr="00FD6B73">
        <w:rPr>
          <w:rStyle w:val="Heading1Char"/>
          <w:rFonts w:cs="Times New Roman"/>
          <w:caps w:val="0"/>
          <w:sz w:val="24"/>
          <w:szCs w:val="26"/>
          <w:lang w:val="ru-RU"/>
        </w:rPr>
        <w:t>С</w:t>
      </w:r>
      <w:r w:rsidRPr="00FD6B73">
        <w:rPr>
          <w:rStyle w:val="Heading1Char"/>
          <w:rFonts w:cs="Times New Roman"/>
          <w:caps w:val="0"/>
          <w:sz w:val="24"/>
          <w:szCs w:val="26"/>
          <w:lang w:val="ru-RU"/>
        </w:rPr>
        <w:t>рбије</w:t>
      </w:r>
      <w:bookmarkEnd w:id="11"/>
      <w:bookmarkEnd w:id="12"/>
      <w:bookmarkEnd w:id="13"/>
    </w:p>
    <w:p w14:paraId="761CBD42" w14:textId="77777777" w:rsidR="00AF1189" w:rsidRPr="00FD6B73" w:rsidRDefault="00AF1189" w:rsidP="00F10AC7">
      <w:pPr>
        <w:spacing w:after="120" w:line="240" w:lineRule="auto"/>
        <w:rPr>
          <w:rFonts w:cs="Times New Roman"/>
          <w:b/>
          <w:lang w:val="ru-RU"/>
        </w:rPr>
      </w:pPr>
    </w:p>
    <w:p w14:paraId="47957EA5" w14:textId="3B7CE10A" w:rsidR="00AF1189" w:rsidRPr="00FD6B73" w:rsidRDefault="00AF1189" w:rsidP="00F10AC7">
      <w:pPr>
        <w:spacing w:after="120" w:line="240" w:lineRule="auto"/>
        <w:rPr>
          <w:rFonts w:cs="Times New Roman"/>
          <w:lang w:val="ru-RU"/>
        </w:rPr>
      </w:pPr>
      <w:r w:rsidRPr="00FD6B73">
        <w:rPr>
          <w:rFonts w:cs="Times New Roman"/>
          <w:lang w:val="ru-RU"/>
        </w:rPr>
        <w:t>Осим што чини централни део Стратегије</w:t>
      </w:r>
      <w:r w:rsidRPr="00FD6B73">
        <w:rPr>
          <w:rFonts w:cs="Times New Roman"/>
          <w:szCs w:val="24"/>
          <w:lang w:val="ru-RU"/>
        </w:rPr>
        <w:t>,</w:t>
      </w:r>
      <w:r w:rsidR="002F0532" w:rsidRPr="002F0532">
        <w:rPr>
          <w:rFonts w:cs="Times New Roman"/>
          <w:szCs w:val="24"/>
          <w:lang w:val="ru-RU"/>
        </w:rPr>
        <w:t xml:space="preserve"> </w:t>
      </w:r>
      <w:r w:rsidRPr="00FD6B73">
        <w:rPr>
          <w:rFonts w:cs="Times New Roman"/>
          <w:lang w:val="ru-RU"/>
        </w:rPr>
        <w:t>унапређење истрага и суђења за ратне злочине препознато је и у Преговарачкој позицији за Поглавље 23</w:t>
      </w:r>
      <w:r w:rsidR="007746ED" w:rsidRPr="00FD6B73">
        <w:rPr>
          <w:rFonts w:cs="Times New Roman"/>
          <w:lang w:val="ru-RU"/>
        </w:rPr>
        <w:t>,</w:t>
      </w:r>
      <w:r w:rsidRPr="00FD6B73">
        <w:rPr>
          <w:rFonts w:cs="Times New Roman"/>
          <w:lang w:val="ru-RU"/>
        </w:rPr>
        <w:t xml:space="preserve"> која у мерилу број </w:t>
      </w:r>
      <w:r w:rsidRPr="00FD6B73">
        <w:rPr>
          <w:rFonts w:cs="Times New Roman"/>
          <w:bCs/>
          <w:lang w:val="ru-RU"/>
        </w:rPr>
        <w:t>19 предвиђа следеће: „</w:t>
      </w:r>
      <w:r w:rsidRPr="00FD6B73">
        <w:rPr>
          <w:rFonts w:cs="Times New Roman"/>
          <w:lang w:val="ru-RU"/>
        </w:rPr>
        <w:t>Србија доказује делотворно спровођење адекватних истрага оптужби и једнак третман осумњичених, не дајући утисак да је било ко изнад закона, без обзира на њихову националност, етничку припадност или да ли се ради о жртвама; Србија обезбеђује иницијалну евиденцију свих истрага, гоњења и пресуда већег броја случајева, укључујући случајеве против осумњичених високог профила, као и случајеве који су прослеђени Србији из МК</w:t>
      </w:r>
      <w:r w:rsidR="00E32577">
        <w:rPr>
          <w:rFonts w:cs="Times New Roman"/>
          <w:lang w:val="ru-RU"/>
        </w:rPr>
        <w:t>Т</w:t>
      </w:r>
      <w:r w:rsidRPr="00FD6B73">
        <w:rPr>
          <w:rFonts w:cs="Times New Roman"/>
          <w:lang w:val="ru-RU"/>
        </w:rPr>
        <w:t xml:space="preserve">Ј. Србија обезбеђује пропорционалност кривичних пресуда и политику кажњавања у складу са „стандардима међународног кривичног </w:t>
      </w:r>
      <w:r w:rsidR="004B0CEC" w:rsidRPr="00FD6B73">
        <w:rPr>
          <w:rFonts w:cs="Times New Roman"/>
          <w:lang w:val="ru-RU"/>
        </w:rPr>
        <w:t>права</w:t>
      </w:r>
      <w:r w:rsidR="0053707F">
        <w:rPr>
          <w:rFonts w:cs="Times New Roman"/>
          <w:lang w:val="ru-RU"/>
        </w:rPr>
        <w:t>ˮ.</w:t>
      </w:r>
    </w:p>
    <w:p w14:paraId="4D28488C" w14:textId="2794E461" w:rsidR="00AF1189" w:rsidRPr="00FD6B73" w:rsidRDefault="0053707F" w:rsidP="00F10AC7">
      <w:pPr>
        <w:spacing w:after="120" w:line="240" w:lineRule="auto"/>
        <w:rPr>
          <w:rFonts w:cs="Times New Roman"/>
          <w:lang w:val="ru-RU"/>
        </w:rPr>
      </w:pPr>
      <w:r>
        <w:rPr>
          <w:rFonts w:eastAsiaTheme="majorEastAsia" w:cs="Times New Roman"/>
          <w:lang w:val="ru-RU"/>
        </w:rPr>
        <w:t xml:space="preserve">У </w:t>
      </w:r>
      <w:r w:rsidRPr="00FD6B73">
        <w:rPr>
          <w:rFonts w:eastAsiaTheme="majorEastAsia" w:cs="Times New Roman"/>
          <w:lang w:val="ru-RU"/>
        </w:rPr>
        <w:t>НСПРЗ</w:t>
      </w:r>
      <w:r w:rsidRPr="00FD6B73">
        <w:rPr>
          <w:rFonts w:cs="Times New Roman"/>
          <w:lang w:val="ru-RU"/>
        </w:rPr>
        <w:t xml:space="preserve"> </w:t>
      </w:r>
      <w:r w:rsidR="00AF1189" w:rsidRPr="00FD6B73">
        <w:rPr>
          <w:rFonts w:cs="Times New Roman"/>
          <w:lang w:val="ru-RU"/>
        </w:rPr>
        <w:t>су мере за унапређење ефикасности поступака за ратне злочине биле подељене у два сета активности усмерених на:</w:t>
      </w:r>
    </w:p>
    <w:p w14:paraId="1D73FD13" w14:textId="77777777" w:rsidR="00AF1189" w:rsidRPr="00CD46D4" w:rsidRDefault="00AF1189" w:rsidP="00F10AC7">
      <w:pPr>
        <w:pStyle w:val="ListParagraph"/>
        <w:numPr>
          <w:ilvl w:val="0"/>
          <w:numId w:val="19"/>
        </w:numPr>
        <w:spacing w:after="120"/>
        <w:rPr>
          <w:rFonts w:cs="Times New Roman"/>
        </w:rPr>
      </w:pPr>
      <w:r w:rsidRPr="00CD46D4">
        <w:rPr>
          <w:rFonts w:cs="Times New Roman"/>
        </w:rPr>
        <w:t>Фазу истраге и оптужења;</w:t>
      </w:r>
    </w:p>
    <w:p w14:paraId="05C0900E" w14:textId="77777777" w:rsidR="00AF1189" w:rsidRPr="00CD46D4" w:rsidRDefault="00AF1189" w:rsidP="00F10AC7">
      <w:pPr>
        <w:pStyle w:val="ListParagraph"/>
        <w:numPr>
          <w:ilvl w:val="0"/>
          <w:numId w:val="19"/>
        </w:numPr>
        <w:spacing w:after="120"/>
        <w:rPr>
          <w:rFonts w:cs="Times New Roman"/>
        </w:rPr>
      </w:pPr>
      <w:r w:rsidRPr="00CD46D4">
        <w:rPr>
          <w:rFonts w:cs="Times New Roman"/>
        </w:rPr>
        <w:t>Фазу суђења.</w:t>
      </w:r>
    </w:p>
    <w:p w14:paraId="47632DDF" w14:textId="77777777" w:rsidR="00AF1189" w:rsidRPr="00CD46D4" w:rsidRDefault="00AF1189" w:rsidP="00F10AC7">
      <w:pPr>
        <w:pStyle w:val="ListParagraph"/>
        <w:spacing w:after="120"/>
        <w:rPr>
          <w:rFonts w:cs="Times New Roman"/>
        </w:rPr>
      </w:pPr>
    </w:p>
    <w:p w14:paraId="42E3941C" w14:textId="77777777" w:rsidR="00AF1189" w:rsidRPr="00CD46D4" w:rsidRDefault="00AF1189" w:rsidP="00620442">
      <w:pPr>
        <w:pStyle w:val="Heading3"/>
        <w:numPr>
          <w:ilvl w:val="2"/>
          <w:numId w:val="1"/>
        </w:numPr>
        <w:spacing w:line="240" w:lineRule="auto"/>
        <w:jc w:val="center"/>
        <w:rPr>
          <w:rFonts w:cs="Times New Roman"/>
        </w:rPr>
      </w:pPr>
      <w:bookmarkStart w:id="14" w:name="_Toc69325779"/>
      <w:bookmarkStart w:id="15" w:name="_Toc72932063"/>
      <w:bookmarkStart w:id="16" w:name="_Toc84580770"/>
      <w:r w:rsidRPr="00CD46D4">
        <w:rPr>
          <w:rFonts w:cs="Times New Roman"/>
        </w:rPr>
        <w:t>Истраге и подизање оптужница</w:t>
      </w:r>
      <w:bookmarkEnd w:id="14"/>
      <w:bookmarkEnd w:id="15"/>
      <w:bookmarkEnd w:id="16"/>
    </w:p>
    <w:p w14:paraId="2FB5D6AE" w14:textId="77777777" w:rsidR="00AF1189" w:rsidRPr="00CD46D4" w:rsidRDefault="00AF1189" w:rsidP="00F10AC7">
      <w:pPr>
        <w:spacing w:after="120" w:line="240" w:lineRule="auto"/>
        <w:rPr>
          <w:rFonts w:cs="Times New Roman"/>
        </w:rPr>
      </w:pPr>
    </w:p>
    <w:p w14:paraId="6DF9A940" w14:textId="77777777" w:rsidR="00AF1189" w:rsidRPr="00CD46D4" w:rsidRDefault="00AF1189" w:rsidP="00F10AC7">
      <w:pPr>
        <w:pStyle w:val="Heading4"/>
        <w:numPr>
          <w:ilvl w:val="0"/>
          <w:numId w:val="34"/>
        </w:numPr>
        <w:spacing w:before="120" w:after="240" w:line="240" w:lineRule="auto"/>
        <w:rPr>
          <w:rFonts w:cs="Times New Roman"/>
        </w:rPr>
      </w:pPr>
      <w:bookmarkStart w:id="17" w:name="_Toc69325780"/>
      <w:r w:rsidRPr="00CD46D4">
        <w:rPr>
          <w:rFonts w:cs="Times New Roman"/>
        </w:rPr>
        <w:t>Преглед испуњености мера из</w:t>
      </w:r>
      <w:bookmarkEnd w:id="17"/>
      <w:r w:rsidR="002C73A2" w:rsidRPr="00CD46D4">
        <w:rPr>
          <w:rFonts w:cs="Times New Roman"/>
        </w:rPr>
        <w:t xml:space="preserve"> НСПРЗ</w:t>
      </w:r>
    </w:p>
    <w:p w14:paraId="1DDEE680" w14:textId="5BD2CD48"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унапређењу процеса истрага и оптужења у поступцима за ратне злочине, </w:t>
      </w:r>
      <w:r w:rsidR="0053707F" w:rsidRPr="00FD6B73">
        <w:rPr>
          <w:rFonts w:eastAsiaTheme="majorEastAsia" w:cs="Times New Roman"/>
          <w:lang w:val="ru-RU"/>
        </w:rPr>
        <w:t>НСПРЗ</w:t>
      </w:r>
      <w:r w:rsidR="0053707F" w:rsidRPr="00FD6B73">
        <w:rPr>
          <w:rFonts w:cs="Times New Roman"/>
          <w:lang w:val="ru-RU"/>
        </w:rPr>
        <w:t xml:space="preserve"> </w:t>
      </w:r>
      <w:r w:rsidRPr="00FD6B73">
        <w:rPr>
          <w:rFonts w:cs="Times New Roman"/>
          <w:lang w:val="ru-RU"/>
        </w:rPr>
        <w:t xml:space="preserve">је исправно препознато да сложеност овог задатка захтева доношење, (током првог квартала 2016. године) и примену посебног планског документа Тужилаштва за ратне злочине, односно Тужилачке стратегије за истрагу и гоњење ратних злочина у Републици Србији (у даљем тексту: Тужилачка стратегија) у складу с циљевима и роковима предвиђеним </w:t>
      </w:r>
      <w:r w:rsidR="004C16F1" w:rsidRPr="00FD6B73">
        <w:rPr>
          <w:rFonts w:eastAsiaTheme="majorEastAsia" w:cs="Times New Roman"/>
          <w:lang w:val="ru-RU"/>
        </w:rPr>
        <w:t>НСПРЗ</w:t>
      </w:r>
      <w:r w:rsidRPr="00FD6B73">
        <w:rPr>
          <w:rFonts w:cs="Times New Roman"/>
          <w:lang w:val="ru-RU"/>
        </w:rPr>
        <w:t>, Акционим планом за Поглавље 23 и имајући у виду Завршну стратегију Међународног кривичног трибунала за бившу Југославију</w:t>
      </w:r>
      <w:r w:rsidR="004C16F1">
        <w:rPr>
          <w:rFonts w:cs="Times New Roman"/>
          <w:lang w:val="ru-RU"/>
        </w:rPr>
        <w:t xml:space="preserve"> (у даљем тексту: Завршна стратегија Трибунала)</w:t>
      </w:r>
      <w:r w:rsidRPr="00FD6B73">
        <w:rPr>
          <w:rFonts w:cs="Times New Roman"/>
          <w:lang w:val="ru-RU"/>
        </w:rPr>
        <w:t>. Уз то</w:t>
      </w:r>
      <w:r w:rsidR="0053707F">
        <w:rPr>
          <w:rFonts w:cs="Times New Roman"/>
          <w:lang w:val="ru-RU"/>
        </w:rPr>
        <w:t>,</w:t>
      </w:r>
      <w:r w:rsidRPr="00FD6B73">
        <w:rPr>
          <w:rFonts w:cs="Times New Roman"/>
          <w:lang w:val="ru-RU"/>
        </w:rPr>
        <w:t xml:space="preserve"> захтевано </w:t>
      </w:r>
      <w:r w:rsidR="0053707F">
        <w:rPr>
          <w:rFonts w:cs="Times New Roman"/>
          <w:lang w:val="ru-RU"/>
        </w:rPr>
        <w:t xml:space="preserve">је </w:t>
      </w:r>
      <w:r w:rsidRPr="00FD6B73">
        <w:rPr>
          <w:rFonts w:cs="Times New Roman"/>
          <w:lang w:val="ru-RU"/>
        </w:rPr>
        <w:t>да Тужилачка стратегија буде израђена и усвојена кроз транспарентан консултативни процес са свим релевантним субјектима и заснована на следећим принципима:</w:t>
      </w:r>
      <w:r w:rsidR="004C16F1">
        <w:rPr>
          <w:rFonts w:cs="Times New Roman"/>
          <w:lang w:val="ru-RU"/>
        </w:rPr>
        <w:t xml:space="preserve"> </w:t>
      </w:r>
    </w:p>
    <w:p w14:paraId="0B3D85DC" w14:textId="77777777" w:rsidR="00AF1189" w:rsidRPr="00CD46D4" w:rsidRDefault="00AF1189" w:rsidP="00F10AC7">
      <w:pPr>
        <w:numPr>
          <w:ilvl w:val="0"/>
          <w:numId w:val="22"/>
        </w:numPr>
        <w:spacing w:after="120" w:line="240" w:lineRule="auto"/>
        <w:rPr>
          <w:rFonts w:cs="Times New Roman"/>
        </w:rPr>
      </w:pPr>
      <w:r w:rsidRPr="00FD6B73">
        <w:rPr>
          <w:rFonts w:cs="Times New Roman"/>
          <w:lang w:val="ru-RU"/>
        </w:rPr>
        <w:lastRenderedPageBreak/>
        <w:t xml:space="preserve">Једнако поступање према сваком осумњиченом, без обзира на његов или њен положај, статус или припадност. </w:t>
      </w:r>
      <w:r w:rsidRPr="00CD46D4">
        <w:rPr>
          <w:rFonts w:cs="Times New Roman"/>
        </w:rPr>
        <w:t xml:space="preserve">То исто важи и када су у питању жртве;  </w:t>
      </w:r>
    </w:p>
    <w:p w14:paraId="5244F5BA" w14:textId="3EF99972" w:rsidR="00AF1189" w:rsidRPr="00FD6B73" w:rsidRDefault="00AF1189" w:rsidP="00F10AC7">
      <w:pPr>
        <w:numPr>
          <w:ilvl w:val="0"/>
          <w:numId w:val="22"/>
        </w:numPr>
        <w:spacing w:after="120" w:line="240" w:lineRule="auto"/>
        <w:rPr>
          <w:rFonts w:cs="Times New Roman"/>
          <w:lang w:val="ru-RU"/>
        </w:rPr>
      </w:pPr>
      <w:r w:rsidRPr="00FD6B73">
        <w:rPr>
          <w:rFonts w:cs="Times New Roman"/>
          <w:lang w:val="ru-RU"/>
        </w:rPr>
        <w:t xml:space="preserve">Потпуна усклађеност са Завршном стратегијом Трибунала, Акционим планом за Поглавље 23 и </w:t>
      </w:r>
      <w:r w:rsidR="004C16F1" w:rsidRPr="00FD6B73">
        <w:rPr>
          <w:rFonts w:eastAsiaTheme="majorEastAsia" w:cs="Times New Roman"/>
          <w:lang w:val="ru-RU"/>
        </w:rPr>
        <w:t>НСПРЗ</w:t>
      </w:r>
      <w:r w:rsidRPr="00FD6B73">
        <w:rPr>
          <w:rFonts w:cs="Times New Roman"/>
          <w:lang w:val="ru-RU"/>
        </w:rPr>
        <w:t>;</w:t>
      </w:r>
    </w:p>
    <w:p w14:paraId="3A93D23D" w14:textId="77777777" w:rsidR="00AF1189" w:rsidRPr="00FD6B73" w:rsidRDefault="00AF1189" w:rsidP="00F10AC7">
      <w:pPr>
        <w:numPr>
          <w:ilvl w:val="0"/>
          <w:numId w:val="22"/>
        </w:numPr>
        <w:spacing w:after="120" w:line="240" w:lineRule="auto"/>
        <w:rPr>
          <w:rFonts w:cs="Times New Roman"/>
          <w:lang w:val="ru-RU"/>
        </w:rPr>
      </w:pPr>
      <w:r w:rsidRPr="00FD6B73">
        <w:rPr>
          <w:rFonts w:cs="Times New Roman"/>
          <w:lang w:val="ru-RU"/>
        </w:rPr>
        <w:t>Прецизно дефинисани индикатори утицаја и резултата примене Тужилачке стратегије;</w:t>
      </w:r>
    </w:p>
    <w:p w14:paraId="53F536B1" w14:textId="77777777" w:rsidR="00AF1189" w:rsidRPr="00FD6B73" w:rsidRDefault="00AF1189" w:rsidP="00F10AC7">
      <w:pPr>
        <w:numPr>
          <w:ilvl w:val="0"/>
          <w:numId w:val="22"/>
        </w:numPr>
        <w:spacing w:after="120" w:line="240" w:lineRule="auto"/>
        <w:rPr>
          <w:rFonts w:cs="Times New Roman"/>
          <w:lang w:val="ru-RU"/>
        </w:rPr>
      </w:pPr>
      <w:r w:rsidRPr="00FD6B73">
        <w:rPr>
          <w:rFonts w:cs="Times New Roman"/>
          <w:lang w:val="ru-RU"/>
        </w:rPr>
        <w:t xml:space="preserve">Јасно дефинисан модел извештавања Републичког јавног тужилаштва и Савета за спровођење Акционог плана за Поглавље 23 о примени Тужилачке стратегије, као и </w:t>
      </w:r>
    </w:p>
    <w:p w14:paraId="013FF78D" w14:textId="77777777" w:rsidR="00AF1189" w:rsidRPr="00FD6B73" w:rsidRDefault="00AF1189" w:rsidP="00F10AC7">
      <w:pPr>
        <w:numPr>
          <w:ilvl w:val="0"/>
          <w:numId w:val="22"/>
        </w:numPr>
        <w:spacing w:after="120" w:line="240" w:lineRule="auto"/>
        <w:rPr>
          <w:rFonts w:cs="Times New Roman"/>
          <w:lang w:val="ru-RU"/>
        </w:rPr>
      </w:pPr>
      <w:r w:rsidRPr="00FD6B73">
        <w:rPr>
          <w:rFonts w:cs="Times New Roman"/>
          <w:lang w:val="ru-RU"/>
        </w:rPr>
        <w:t xml:space="preserve">Ефикасан и одржив модел извештавања јавности.  </w:t>
      </w:r>
    </w:p>
    <w:p w14:paraId="0E088822" w14:textId="77777777" w:rsidR="00AF1189" w:rsidRPr="00FD6B73" w:rsidRDefault="00AF1189" w:rsidP="00F10AC7">
      <w:pPr>
        <w:spacing w:after="120" w:line="240" w:lineRule="auto"/>
        <w:rPr>
          <w:rFonts w:cs="Times New Roman"/>
          <w:b/>
          <w:lang w:val="ru-RU"/>
        </w:rPr>
      </w:pPr>
      <w:r w:rsidRPr="00FD6B73">
        <w:rPr>
          <w:rFonts w:cs="Times New Roman"/>
          <w:lang w:val="ru-RU"/>
        </w:rPr>
        <w:t>Идентичан захтев садржан је и у прелазном мерилу број 17 из Преговарачке позиције за Поглавље 23, уз додатни захтев да се примена Тужилачке стратегије прати а њен утицај процењује.</w:t>
      </w:r>
    </w:p>
    <w:p w14:paraId="785B44C2" w14:textId="7EF9F17A" w:rsidR="00AF1189" w:rsidRPr="00FD6B73" w:rsidRDefault="00AF1189" w:rsidP="00F10AC7">
      <w:pPr>
        <w:spacing w:after="120" w:line="240" w:lineRule="auto"/>
        <w:rPr>
          <w:rFonts w:cs="Times New Roman"/>
          <w:lang w:val="ru-RU"/>
        </w:rPr>
      </w:pPr>
      <w:r w:rsidRPr="00FD6B73">
        <w:rPr>
          <w:rFonts w:cs="Times New Roman"/>
          <w:lang w:val="ru-RU"/>
        </w:rPr>
        <w:t xml:space="preserve">Као један од основних задатака </w:t>
      </w:r>
      <w:r w:rsidR="00080411" w:rsidRPr="00FD6B73">
        <w:rPr>
          <w:rFonts w:cs="Times New Roman"/>
          <w:lang w:val="ru-RU"/>
        </w:rPr>
        <w:t xml:space="preserve">Тужилачке стратегије, </w:t>
      </w:r>
      <w:r w:rsidR="004C16F1" w:rsidRPr="00FD6B73">
        <w:rPr>
          <w:rFonts w:eastAsiaTheme="majorEastAsia" w:cs="Times New Roman"/>
          <w:lang w:val="ru-RU"/>
        </w:rPr>
        <w:t>НСПРЗ</w:t>
      </w:r>
      <w:r w:rsidR="004C16F1" w:rsidRPr="00FD6B73">
        <w:rPr>
          <w:rFonts w:cs="Times New Roman"/>
          <w:lang w:val="ru-RU"/>
        </w:rPr>
        <w:t xml:space="preserve"> </w:t>
      </w:r>
      <w:r w:rsidR="00F7481C" w:rsidRPr="00FD6B73">
        <w:rPr>
          <w:rFonts w:cs="Times New Roman"/>
          <w:lang w:val="ru-RU"/>
        </w:rPr>
        <w:t>увиђа потребу</w:t>
      </w:r>
      <w:r w:rsidR="002F0532">
        <w:rPr>
          <w:rFonts w:cs="Times New Roman"/>
          <w:lang w:val="ru-RU"/>
        </w:rPr>
        <w:t xml:space="preserve"> </w:t>
      </w:r>
      <w:r w:rsidRPr="00FD6B73">
        <w:rPr>
          <w:rFonts w:cs="Times New Roman"/>
          <w:lang w:val="ru-RU"/>
        </w:rPr>
        <w:t>да се дефинишу критеријуми за селекцију случајева ратних злочина и стварање листе приоритетних и важнијих случајева ратних злочина који треба да се процесуирају како би се испунила обавеза да сви приоритетни и важни случајеви буду процесуирани.</w:t>
      </w:r>
      <w:r w:rsidRPr="00CD46D4">
        <w:rPr>
          <w:rStyle w:val="FootnoteReference"/>
          <w:rFonts w:cs="Times New Roman"/>
        </w:rPr>
        <w:footnoteReference w:id="37"/>
      </w:r>
      <w:r w:rsidR="004C16F1">
        <w:rPr>
          <w:rFonts w:cs="Times New Roman"/>
          <w:lang w:val="ru-RU"/>
        </w:rPr>
        <w:t xml:space="preserve"> </w:t>
      </w:r>
    </w:p>
    <w:p w14:paraId="6069CBF6" w14:textId="77777777" w:rsidR="00AF1189" w:rsidRPr="00FD6B73" w:rsidRDefault="00AF1189" w:rsidP="00F10AC7">
      <w:pPr>
        <w:spacing w:after="120" w:line="240" w:lineRule="auto"/>
        <w:rPr>
          <w:rFonts w:cs="Times New Roman"/>
          <w:lang w:val="ru-RU"/>
        </w:rPr>
      </w:pPr>
      <w:r w:rsidRPr="00FD6B73">
        <w:rPr>
          <w:rFonts w:cs="Times New Roman"/>
          <w:lang w:val="ru-RU"/>
        </w:rPr>
        <w:t xml:space="preserve">Тужилаштво за ратне злочине (у даљем тексту: ТРЗ) је обавезу из </w:t>
      </w:r>
      <w:r w:rsidR="002C73A2" w:rsidRPr="00FD6B73">
        <w:rPr>
          <w:rFonts w:eastAsiaTheme="majorEastAsia" w:cs="Times New Roman"/>
          <w:lang w:val="ru-RU"/>
        </w:rPr>
        <w:t>НСПРЗ</w:t>
      </w:r>
      <w:r w:rsidRPr="00FD6B73">
        <w:rPr>
          <w:rFonts w:cs="Times New Roman"/>
          <w:lang w:val="ru-RU"/>
        </w:rPr>
        <w:t xml:space="preserve"> испунило са извесним кашњењем (у марту 2018. године) што је у несумњивој вези са чињеницом да је поступак избора Тужиоца за ратне злочине трајао дуже него што је уобичајено и самим тим успорио реализацију обавеза ТРЗ из </w:t>
      </w:r>
      <w:r w:rsidR="002C73A2" w:rsidRPr="00FD6B73">
        <w:rPr>
          <w:rFonts w:eastAsiaTheme="majorEastAsia" w:cs="Times New Roman"/>
          <w:lang w:val="ru-RU"/>
        </w:rPr>
        <w:t>НСПРЗ</w:t>
      </w:r>
      <w:r w:rsidR="007029BB" w:rsidRPr="00FD6B73">
        <w:rPr>
          <w:rFonts w:eastAsiaTheme="majorEastAsia" w:cs="Times New Roman"/>
          <w:lang w:val="ru-RU"/>
        </w:rPr>
        <w:t xml:space="preserve"> и</w:t>
      </w:r>
      <w:r w:rsidRPr="00FD6B73">
        <w:rPr>
          <w:rFonts w:cs="Times New Roman"/>
          <w:lang w:val="ru-RU"/>
        </w:rPr>
        <w:t xml:space="preserve"> Тужилачк</w:t>
      </w:r>
      <w:r w:rsidR="007029BB" w:rsidRPr="00FD6B73">
        <w:rPr>
          <w:rFonts w:cs="Times New Roman"/>
          <w:lang w:val="ru-RU"/>
        </w:rPr>
        <w:t>е</w:t>
      </w:r>
      <w:r w:rsidRPr="00FD6B73">
        <w:rPr>
          <w:rFonts w:cs="Times New Roman"/>
          <w:lang w:val="ru-RU"/>
        </w:rPr>
        <w:t xml:space="preserve"> стратегиј</w:t>
      </w:r>
      <w:r w:rsidR="007029BB" w:rsidRPr="00FD6B73">
        <w:rPr>
          <w:rFonts w:cs="Times New Roman"/>
          <w:lang w:val="ru-RU"/>
        </w:rPr>
        <w:t>е</w:t>
      </w:r>
      <w:r w:rsidRPr="00FD6B73">
        <w:rPr>
          <w:rFonts w:cs="Times New Roman"/>
          <w:lang w:val="ru-RU"/>
        </w:rPr>
        <w:t xml:space="preserve"> за истрагу и процесуирање ратних злочина.</w:t>
      </w:r>
      <w:r w:rsidRPr="00CD46D4">
        <w:rPr>
          <w:rStyle w:val="FootnoteReference"/>
          <w:rFonts w:cs="Times New Roman"/>
        </w:rPr>
        <w:footnoteReference w:id="38"/>
      </w:r>
    </w:p>
    <w:p w14:paraId="55C279CD" w14:textId="4AF55F6E"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w:t>
      </w:r>
      <w:r w:rsidRPr="004C16F1">
        <w:rPr>
          <w:rFonts w:cs="Times New Roman"/>
          <w:lang w:val="ru-RU"/>
        </w:rPr>
        <w:t>транспарентности и инклузивности процеса</w:t>
      </w:r>
      <w:r w:rsidRPr="00FD6B73">
        <w:rPr>
          <w:rFonts w:cs="Times New Roman"/>
          <w:lang w:val="ru-RU"/>
        </w:rPr>
        <w:t xml:space="preserve"> припреме </w:t>
      </w:r>
      <w:r w:rsidR="002C73A2" w:rsidRPr="00FD6B73">
        <w:rPr>
          <w:rFonts w:cs="Times New Roman"/>
          <w:lang w:val="ru-RU"/>
        </w:rPr>
        <w:t>Тужилачке с</w:t>
      </w:r>
      <w:r w:rsidRPr="00FD6B73">
        <w:rPr>
          <w:rFonts w:cs="Times New Roman"/>
          <w:lang w:val="ru-RU"/>
        </w:rPr>
        <w:t>тратегије, битно је напоменути да је њеном усвајању претходио састанак организован у циљу представљања радног текста, као и да је заинтересована јавност била позвана да достави коментаре. Ипак, треба напоменути да је рок за достављање коментара</w:t>
      </w:r>
      <w:r w:rsidR="0094152A" w:rsidRPr="00FD6B73">
        <w:rPr>
          <w:rFonts w:cs="Times New Roman"/>
          <w:lang w:val="ru-RU"/>
        </w:rPr>
        <w:t xml:space="preserve"> и сугестија</w:t>
      </w:r>
      <w:r w:rsidR="002F0532">
        <w:rPr>
          <w:rFonts w:cs="Times New Roman"/>
          <w:lang w:val="ru-RU"/>
        </w:rPr>
        <w:t xml:space="preserve"> </w:t>
      </w:r>
      <w:r w:rsidR="009E4647" w:rsidRPr="00FD6B73">
        <w:rPr>
          <w:bCs/>
          <w:lang w:val="ru-RU"/>
        </w:rPr>
        <w:t>испоштован и Тужилачка стратегија усвојена. Без обзира на то у будућем периоду треба одвојити више времена за припрему, дискусију и усвајање стратешких докумената.</w:t>
      </w:r>
    </w:p>
    <w:p w14:paraId="20C79AB8" w14:textId="77777777" w:rsidR="00AF1189" w:rsidRPr="00FD6B73" w:rsidRDefault="00AF1189" w:rsidP="00F10AC7">
      <w:pPr>
        <w:spacing w:before="280" w:after="120" w:line="240" w:lineRule="auto"/>
        <w:rPr>
          <w:rFonts w:cs="Times New Roman"/>
          <w:lang w:val="ru-RU"/>
        </w:rPr>
      </w:pPr>
      <w:r w:rsidRPr="00FD6B73">
        <w:rPr>
          <w:rFonts w:cs="Times New Roman"/>
          <w:lang w:val="ru-RU"/>
        </w:rPr>
        <w:lastRenderedPageBreak/>
        <w:t xml:space="preserve">Када је реч </w:t>
      </w:r>
      <w:r w:rsidRPr="004C16F1">
        <w:rPr>
          <w:rFonts w:cs="Times New Roman"/>
          <w:lang w:val="ru-RU"/>
        </w:rPr>
        <w:t>о праћењу и извештавању о спровођењу Тужилачке стратегије, с</w:t>
      </w:r>
      <w:r w:rsidRPr="004C16F1">
        <w:rPr>
          <w:rFonts w:cs="Times New Roman"/>
          <w:color w:val="000000"/>
          <w:lang w:val="ru-RU"/>
        </w:rPr>
        <w:t xml:space="preserve"> обзиром</w:t>
      </w:r>
      <w:r w:rsidRPr="00FD6B73">
        <w:rPr>
          <w:rFonts w:cs="Times New Roman"/>
          <w:color w:val="000000"/>
          <w:lang w:val="ru-RU"/>
        </w:rPr>
        <w:t xml:space="preserve"> да се највећи број активности подудара са Националном стратегијом за процесуирање ратних злочина и Акционог плана за Поглавље 23, Тужилаштво је о спровођењу Тужилачке стратегије извештавало у склопу извештаја о спровођењу ова два стратешка документа, као и у оквиру годишњег извештаја који се подноси Републичком јавном тужилаштву, а који је јавно доступан на сајту тог тужилаштва.</w:t>
      </w:r>
    </w:p>
    <w:p w14:paraId="2487583E" w14:textId="77777777" w:rsidR="00AF1189" w:rsidRPr="00FD6B73" w:rsidRDefault="00AF1189" w:rsidP="00F10AC7">
      <w:pPr>
        <w:spacing w:before="280" w:after="120" w:line="240" w:lineRule="auto"/>
        <w:rPr>
          <w:rFonts w:cs="Times New Roman"/>
          <w:color w:val="000000"/>
          <w:lang w:val="ru-RU"/>
        </w:rPr>
      </w:pPr>
      <w:r w:rsidRPr="00FD6B73">
        <w:rPr>
          <w:rFonts w:cs="Times New Roman"/>
          <w:color w:val="000000"/>
          <w:lang w:val="ru-RU"/>
        </w:rPr>
        <w:t xml:space="preserve">Према ревидираном Акционом плану за Поглавље 23, и у складу са Тужилачком стратегијом, </w:t>
      </w:r>
      <w:r w:rsidR="00F40A41" w:rsidRPr="00FD6B73">
        <w:rPr>
          <w:lang w:val="ru-RU"/>
        </w:rPr>
        <w:t xml:space="preserve">ТРЗ </w:t>
      </w:r>
      <w:r w:rsidR="00F40A41" w:rsidRPr="00FD6B73">
        <w:rPr>
          <w:bCs/>
          <w:lang w:val="ru-RU"/>
        </w:rPr>
        <w:t>је у поступку објављивања</w:t>
      </w:r>
      <w:r w:rsidR="00F40A41" w:rsidRPr="00FD6B73">
        <w:rPr>
          <w:lang w:val="ru-RU"/>
        </w:rPr>
        <w:t xml:space="preserve"> кварталних извештаја о спровођењу Тужилачке стратегије</w:t>
      </w:r>
      <w:r w:rsidRPr="00FD6B73">
        <w:rPr>
          <w:rFonts w:cs="Times New Roman"/>
          <w:bCs/>
          <w:color w:val="000000"/>
          <w:lang w:val="ru-RU"/>
        </w:rPr>
        <w:t>.</w:t>
      </w:r>
    </w:p>
    <w:p w14:paraId="7750FC5D" w14:textId="77777777" w:rsidR="00AF1189" w:rsidRPr="00FD6B73" w:rsidRDefault="00AF1189" w:rsidP="00F10AC7">
      <w:pPr>
        <w:spacing w:before="280" w:after="120" w:line="240" w:lineRule="auto"/>
        <w:rPr>
          <w:rFonts w:cs="Times New Roman"/>
          <w:lang w:val="ru-RU"/>
        </w:rPr>
      </w:pPr>
      <w:r w:rsidRPr="00FD6B73">
        <w:rPr>
          <w:rFonts w:cs="Times New Roman"/>
          <w:color w:val="000000"/>
          <w:lang w:val="ru-RU"/>
        </w:rPr>
        <w:t xml:space="preserve">Од усвајања Тужилачке стратегије, није било округлих столова </w:t>
      </w:r>
      <w:r w:rsidR="00CD46D4" w:rsidRPr="00FD6B73">
        <w:rPr>
          <w:rFonts w:cs="Times New Roman"/>
          <w:color w:val="000000"/>
          <w:lang w:val="ru-RU"/>
        </w:rPr>
        <w:t>који</w:t>
      </w:r>
      <w:r w:rsidRPr="00FD6B73">
        <w:rPr>
          <w:rFonts w:cs="Times New Roman"/>
          <w:color w:val="000000"/>
          <w:lang w:val="ru-RU"/>
        </w:rPr>
        <w:t xml:space="preserve"> би за предмет имали резултате спровођења </w:t>
      </w:r>
      <w:r w:rsidR="00DA2586" w:rsidRPr="00FD6B73">
        <w:rPr>
          <w:rFonts w:cs="Times New Roman"/>
          <w:color w:val="000000"/>
          <w:lang w:val="ru-RU"/>
        </w:rPr>
        <w:t>овог планског документа</w:t>
      </w:r>
      <w:r w:rsidRPr="00FD6B73">
        <w:rPr>
          <w:rFonts w:cs="Times New Roman"/>
          <w:color w:val="000000"/>
          <w:lang w:val="ru-RU"/>
        </w:rPr>
        <w:t>, али је ТРЗ одговарало на примљене захтеве за приступ информација од јавног значаја и орг</w:t>
      </w:r>
      <w:r w:rsidR="0026607C" w:rsidRPr="00FD6B73">
        <w:rPr>
          <w:rFonts w:cs="Times New Roman"/>
          <w:color w:val="000000"/>
          <w:lang w:val="ru-RU"/>
        </w:rPr>
        <w:t>а</w:t>
      </w:r>
      <w:r w:rsidRPr="00FD6B73">
        <w:rPr>
          <w:rFonts w:cs="Times New Roman"/>
          <w:color w:val="000000"/>
          <w:lang w:val="ru-RU"/>
        </w:rPr>
        <w:t>низовало билатералне састанке. У том смислу, има простора за унапређење праксе у предстојећем периоду.</w:t>
      </w:r>
    </w:p>
    <w:p w14:paraId="78EE84AD" w14:textId="12DA2CDE" w:rsidR="00AF1189" w:rsidRPr="00FD6B73" w:rsidRDefault="00AF1189" w:rsidP="00F10AC7">
      <w:pPr>
        <w:spacing w:after="120" w:line="240" w:lineRule="auto"/>
        <w:rPr>
          <w:rFonts w:cs="Times New Roman"/>
          <w:lang w:val="ru-RU"/>
        </w:rPr>
      </w:pPr>
      <w:r w:rsidRPr="004C16F1">
        <w:rPr>
          <w:rFonts w:cs="Times New Roman"/>
          <w:lang w:val="ru-RU"/>
        </w:rPr>
        <w:t>У погледу садржине,</w:t>
      </w:r>
      <w:r w:rsidRPr="00FD6B73">
        <w:rPr>
          <w:rFonts w:cs="Times New Roman"/>
          <w:lang w:val="ru-RU"/>
        </w:rPr>
        <w:t xml:space="preserve"> Тужилачка стратегија је укључила принципе дефинисане у </w:t>
      </w:r>
      <w:r w:rsidR="004C16F1" w:rsidRPr="00FD6B73">
        <w:rPr>
          <w:rFonts w:eastAsiaTheme="majorEastAsia" w:cs="Times New Roman"/>
          <w:lang w:val="ru-RU"/>
        </w:rPr>
        <w:t>НСПРЗ</w:t>
      </w:r>
      <w:r w:rsidR="004C16F1" w:rsidRPr="00FD6B73">
        <w:rPr>
          <w:rFonts w:cs="Times New Roman"/>
          <w:lang w:val="ru-RU"/>
        </w:rPr>
        <w:t xml:space="preserve"> </w:t>
      </w:r>
      <w:r w:rsidRPr="00FD6B73">
        <w:rPr>
          <w:rFonts w:cs="Times New Roman"/>
          <w:lang w:val="ru-RU"/>
        </w:rPr>
        <w:t>и детаљније уредила нека од питања предвиђена као обавез</w:t>
      </w:r>
      <w:r w:rsidR="0070172A" w:rsidRPr="00FD6B73">
        <w:rPr>
          <w:rFonts w:cs="Times New Roman"/>
          <w:lang w:val="ru-RU"/>
        </w:rPr>
        <w:t>у</w:t>
      </w:r>
      <w:r w:rsidRPr="00FD6B73">
        <w:rPr>
          <w:rFonts w:cs="Times New Roman"/>
          <w:lang w:val="ru-RU"/>
        </w:rPr>
        <w:t xml:space="preserve"> ТРЗ. Поред тога, дат</w:t>
      </w:r>
      <w:r w:rsidR="00F40A41" w:rsidRPr="00FD6B73">
        <w:rPr>
          <w:rFonts w:cs="Times New Roman"/>
          <w:lang w:val="ru-RU"/>
        </w:rPr>
        <w:t>и су</w:t>
      </w:r>
      <w:r w:rsidRPr="00FD6B73">
        <w:rPr>
          <w:rFonts w:cs="Times New Roman"/>
          <w:lang w:val="ru-RU"/>
        </w:rPr>
        <w:t xml:space="preserve"> критеријум</w:t>
      </w:r>
      <w:r w:rsidR="00F40A41" w:rsidRPr="00FD6B73">
        <w:rPr>
          <w:rFonts w:cs="Times New Roman"/>
          <w:lang w:val="ru-RU"/>
        </w:rPr>
        <w:t>и</w:t>
      </w:r>
      <w:r w:rsidRPr="00FD6B73">
        <w:rPr>
          <w:rFonts w:cs="Times New Roman"/>
          <w:lang w:val="ru-RU"/>
        </w:rPr>
        <w:t xml:space="preserve"> које ТРЗ примењује у одређивању приоритета, уз позивање на принцип једнакости пред законом и чињеницу да су сви предмети у којима поступа ТРЗ сложени.</w:t>
      </w:r>
    </w:p>
    <w:p w14:paraId="7164DBA7" w14:textId="715A19DF"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осталим активностима предвиђеним </w:t>
      </w:r>
      <w:r w:rsidR="004C16F1" w:rsidRPr="00FD6B73">
        <w:rPr>
          <w:rFonts w:eastAsiaTheme="majorEastAsia" w:cs="Times New Roman"/>
          <w:lang w:val="ru-RU"/>
        </w:rPr>
        <w:t>НСПРЗ</w:t>
      </w:r>
      <w:r w:rsidR="004C16F1">
        <w:rPr>
          <w:rFonts w:cs="Times New Roman"/>
          <w:lang w:val="ru-RU"/>
        </w:rPr>
        <w:t xml:space="preserve">, </w:t>
      </w:r>
      <w:r w:rsidRPr="00FD6B73">
        <w:rPr>
          <w:rFonts w:cs="Times New Roman"/>
          <w:lang w:val="ru-RU"/>
        </w:rPr>
        <w:t>а релевантни</w:t>
      </w:r>
      <w:r w:rsidR="0070172A" w:rsidRPr="00FD6B73">
        <w:rPr>
          <w:rFonts w:cs="Times New Roman"/>
          <w:lang w:val="ru-RU"/>
        </w:rPr>
        <w:t>м</w:t>
      </w:r>
      <w:r w:rsidRPr="00FD6B73">
        <w:rPr>
          <w:rFonts w:cs="Times New Roman"/>
          <w:lang w:val="ru-RU"/>
        </w:rPr>
        <w:t xml:space="preserve"> за фазу истраге и оптужења, једна од значајнијих обавеза предвиђених </w:t>
      </w:r>
      <w:r w:rsidR="00ED1D42" w:rsidRPr="00FD6B73">
        <w:rPr>
          <w:rFonts w:eastAsiaTheme="majorEastAsia" w:cs="Times New Roman"/>
          <w:lang w:val="ru-RU"/>
        </w:rPr>
        <w:t>НСПРЗ</w:t>
      </w:r>
      <w:r w:rsidRPr="00FD6B73">
        <w:rPr>
          <w:rFonts w:cs="Times New Roman"/>
          <w:lang w:val="ru-RU"/>
        </w:rPr>
        <w:t xml:space="preserve"> била је и  успостављање и вођење прецизне евиденције догађаја који могу бити квалификовани као ратни злочин и евиденцију нерешених предмета, помоћу које</w:t>
      </w:r>
      <w:r w:rsidR="0070172A" w:rsidRPr="00FD6B73">
        <w:rPr>
          <w:rFonts w:cs="Times New Roman"/>
          <w:lang w:val="ru-RU"/>
        </w:rPr>
        <w:t xml:space="preserve"> се</w:t>
      </w:r>
      <w:r w:rsidRPr="00FD6B73">
        <w:rPr>
          <w:rFonts w:cs="Times New Roman"/>
          <w:lang w:val="ru-RU"/>
        </w:rPr>
        <w:t xml:space="preserve"> на основу јасно дефинисаних критеријума, врши одређивање приоритетних предмета у раду и сачињава петогодишњи план  поступања, до краја 2016. године, као и регистрација и преузимање свих предмета ратних злочина који се још увек налазе пред домаћим судовима опште надлежности, у истом року.</w:t>
      </w:r>
    </w:p>
    <w:p w14:paraId="454B8AC8" w14:textId="799F1EB0" w:rsidR="00AF1189" w:rsidRPr="00FD6B73" w:rsidRDefault="00AF1189" w:rsidP="00F10AC7">
      <w:pPr>
        <w:pStyle w:val="WW-Default"/>
        <w:spacing w:after="120" w:line="240" w:lineRule="auto"/>
        <w:jc w:val="both"/>
        <w:rPr>
          <w:color w:val="111111"/>
          <w:lang w:val="ru-RU"/>
        </w:rPr>
      </w:pPr>
      <w:r w:rsidRPr="00FD6B73">
        <w:rPr>
          <w:lang w:val="ru-RU"/>
        </w:rPr>
        <w:t>Од фебруара 2016. године, па до краја 2020</w:t>
      </w:r>
      <w:r w:rsidR="004C16F1">
        <w:rPr>
          <w:lang w:val="ru-RU"/>
        </w:rPr>
        <w:t>. године</w:t>
      </w:r>
      <w:r w:rsidRPr="00FD6B73">
        <w:rPr>
          <w:lang w:val="ru-RU"/>
        </w:rPr>
        <w:t xml:space="preserve">, ТРЗ је преузело укупно 2.853 предмета од Виших јавних тужилаштава у Нишу, Врању, Лесковцу, Пожаревцу и од Окружног суда у Приштини, Пећи и Призрену. </w:t>
      </w:r>
      <w:r w:rsidRPr="00FD6B73">
        <w:rPr>
          <w:color w:val="111111"/>
          <w:lang w:val="ru-RU"/>
        </w:rPr>
        <w:t>Активност регистровања и преузимања предмета ратних злочина од тужилаштава опште надлежности је завршена. Након детаљног разматрања и обраде свих преузетих предмета, у раду тужилаштва је остао укупно 1731 предмет, а остали предмети су враћени на поступање надлежним тужилаштвима.</w:t>
      </w:r>
    </w:p>
    <w:p w14:paraId="7E17F0E5" w14:textId="77777777" w:rsidR="00AF1189" w:rsidRPr="00FD6B73" w:rsidRDefault="00AF1189" w:rsidP="00F10AC7">
      <w:pPr>
        <w:spacing w:after="120" w:line="240" w:lineRule="auto"/>
        <w:rPr>
          <w:rFonts w:cs="Times New Roman"/>
          <w:lang w:val="ru-RU"/>
        </w:rPr>
      </w:pPr>
      <w:r w:rsidRPr="00FD6B73">
        <w:rPr>
          <w:rFonts w:cs="Times New Roman"/>
          <w:lang w:val="ru-RU"/>
        </w:rPr>
        <w:t xml:space="preserve">Поред наведеног, </w:t>
      </w:r>
      <w:r w:rsidR="00ED1D42" w:rsidRPr="00FD6B73">
        <w:rPr>
          <w:rFonts w:eastAsiaTheme="majorEastAsia" w:cs="Times New Roman"/>
          <w:lang w:val="ru-RU"/>
        </w:rPr>
        <w:t>НСПРЗ</w:t>
      </w:r>
      <w:r w:rsidRPr="00FD6B73">
        <w:rPr>
          <w:rFonts w:cs="Times New Roman"/>
          <w:lang w:val="ru-RU"/>
        </w:rPr>
        <w:t xml:space="preserve"> је оквирно предвиђено, а потом Тужилачком стратегијом детаљније уређено питање </w:t>
      </w:r>
      <w:r w:rsidRPr="004C16F1">
        <w:rPr>
          <w:rFonts w:cs="Times New Roman"/>
          <w:bCs/>
          <w:lang w:val="ru-RU"/>
        </w:rPr>
        <w:t>мера за повећање ефикасности рада ТРЗ</w:t>
      </w:r>
      <w:r w:rsidRPr="004C16F1">
        <w:rPr>
          <w:rFonts w:cs="Times New Roman"/>
          <w:lang w:val="ru-RU"/>
        </w:rPr>
        <w:t>,</w:t>
      </w:r>
      <w:r w:rsidRPr="00FD6B73">
        <w:rPr>
          <w:rFonts w:cs="Times New Roman"/>
          <w:lang w:val="ru-RU"/>
        </w:rPr>
        <w:t xml:space="preserve"> и то из два угла:</w:t>
      </w:r>
    </w:p>
    <w:p w14:paraId="77818403" w14:textId="77777777" w:rsidR="00AF1189" w:rsidRPr="00FD6B73" w:rsidRDefault="00AF1189" w:rsidP="00F10AC7">
      <w:pPr>
        <w:pStyle w:val="ListParagraph"/>
        <w:numPr>
          <w:ilvl w:val="0"/>
          <w:numId w:val="22"/>
        </w:numPr>
        <w:spacing w:after="120"/>
        <w:contextualSpacing w:val="0"/>
        <w:rPr>
          <w:rFonts w:cs="Times New Roman"/>
          <w:lang w:val="ru-RU"/>
        </w:rPr>
      </w:pPr>
      <w:r w:rsidRPr="00FD6B73">
        <w:rPr>
          <w:rFonts w:cs="Times New Roman"/>
          <w:lang w:val="ru-RU"/>
        </w:rPr>
        <w:t>Унапређење ефикасности рада у оквиру постојећих капацитета, укључујући ширу примену споразума о признању кривичног дела; унапређење поверљивости процеса истраге; да у току истраге испита да ли осумњичени поседује имовину прибављену извршењем ратног злочина и ако је то случај, да поднесе суду одговарајући захтев, на основу Закона о одузимању имовине проистекле из кривичног дела.</w:t>
      </w:r>
    </w:p>
    <w:p w14:paraId="3EB26CFD" w14:textId="77777777" w:rsidR="00AF1189" w:rsidRPr="00FD6B73" w:rsidRDefault="00AF1189" w:rsidP="00F10AC7">
      <w:pPr>
        <w:pStyle w:val="ListParagraph"/>
        <w:numPr>
          <w:ilvl w:val="0"/>
          <w:numId w:val="22"/>
        </w:numPr>
        <w:spacing w:after="120"/>
        <w:contextualSpacing w:val="0"/>
        <w:rPr>
          <w:rFonts w:cs="Times New Roman"/>
          <w:lang w:val="ru-RU"/>
        </w:rPr>
      </w:pPr>
      <w:r w:rsidRPr="00FD6B73">
        <w:rPr>
          <w:rFonts w:cs="Times New Roman"/>
          <w:lang w:val="ru-RU"/>
        </w:rPr>
        <w:t>Унапређење капацитета ТРЗ кроз повећање броја (првенствено заменика тужиоца) и унапређење стручности запослених у складу са Акционим планом за Поглавље 23.</w:t>
      </w:r>
    </w:p>
    <w:p w14:paraId="5E0BF02A" w14:textId="77777777" w:rsidR="00620442" w:rsidRPr="00FD6B73" w:rsidRDefault="00AF1189" w:rsidP="00F10AC7">
      <w:pPr>
        <w:spacing w:after="120" w:line="240" w:lineRule="auto"/>
        <w:rPr>
          <w:rFonts w:cs="Times New Roman"/>
          <w:lang w:val="ru-RU"/>
        </w:rPr>
      </w:pPr>
      <w:r w:rsidRPr="00FD6B73">
        <w:rPr>
          <w:rFonts w:cs="Times New Roman"/>
          <w:lang w:val="ru-RU"/>
        </w:rPr>
        <w:lastRenderedPageBreak/>
        <w:t xml:space="preserve">Како је </w:t>
      </w:r>
      <w:r w:rsidRPr="00FD6B73">
        <w:rPr>
          <w:rFonts w:cs="Times New Roman"/>
          <w:szCs w:val="24"/>
          <w:lang w:val="ru-RU"/>
        </w:rPr>
        <w:t>јед</w:t>
      </w:r>
      <w:r w:rsidR="0070172A" w:rsidRPr="00FD6B73">
        <w:rPr>
          <w:rFonts w:cs="Times New Roman"/>
          <w:szCs w:val="24"/>
          <w:lang w:val="ru-RU"/>
        </w:rPr>
        <w:t>ним</w:t>
      </w:r>
      <w:r w:rsidRPr="00FD6B73">
        <w:rPr>
          <w:rFonts w:cs="Times New Roman"/>
          <w:lang w:val="ru-RU"/>
        </w:rPr>
        <w:t xml:space="preserve"> од механизама унапређења ефикасности предвиђена и </w:t>
      </w:r>
      <w:r w:rsidRPr="004C16F1">
        <w:rPr>
          <w:rFonts w:cs="Times New Roman"/>
          <w:bCs/>
          <w:lang w:val="ru-RU"/>
        </w:rPr>
        <w:t>шира примена споразума о признању кривичног дела</w:t>
      </w:r>
      <w:r w:rsidRPr="004C16F1">
        <w:rPr>
          <w:rFonts w:cs="Times New Roman"/>
          <w:lang w:val="ru-RU"/>
        </w:rPr>
        <w:t>, из п</w:t>
      </w:r>
      <w:r w:rsidRPr="00FD6B73">
        <w:rPr>
          <w:rFonts w:cs="Times New Roman"/>
          <w:lang w:val="ru-RU"/>
        </w:rPr>
        <w:t>одатака наведених на Графикону 1 могло би се, на основу апсолутних бројева, закључити да примена споразума у овој врсти кривичних поступака и даље није широко распрострањена. Ипак, уколико се узме у обзир укупан број првостепених пресуда у посматраном периоду, постаје јасно да је 17% њих донето по основу споразума о признању кривичног дела, што чини значајан удео.</w:t>
      </w:r>
      <w:r w:rsidRPr="00CD46D4">
        <w:rPr>
          <w:rStyle w:val="FootnoteReference"/>
          <w:rFonts w:cs="Times New Roman"/>
        </w:rPr>
        <w:footnoteReference w:id="39"/>
      </w:r>
    </w:p>
    <w:p w14:paraId="0B095553" w14:textId="77777777" w:rsidR="00AF1189" w:rsidRPr="00FD6B73" w:rsidRDefault="00AF1189" w:rsidP="00F10AC7">
      <w:pPr>
        <w:spacing w:after="120" w:line="240" w:lineRule="auto"/>
        <w:jc w:val="center"/>
        <w:rPr>
          <w:rFonts w:cs="Times New Roman"/>
          <w:sz w:val="20"/>
          <w:szCs w:val="20"/>
          <w:lang w:val="ru-RU"/>
        </w:rPr>
      </w:pPr>
      <w:r w:rsidRPr="00FD6B73">
        <w:rPr>
          <w:rFonts w:cs="Times New Roman"/>
          <w:sz w:val="20"/>
          <w:szCs w:val="20"/>
          <w:lang w:val="ru-RU"/>
        </w:rPr>
        <w:t>График 1: Број споразума о признању кривичног дела по годинама за период 2016-2020. године</w:t>
      </w:r>
    </w:p>
    <w:p w14:paraId="001B115F" w14:textId="77777777" w:rsidR="00AF1189" w:rsidRPr="00CD46D4" w:rsidRDefault="00AF1189" w:rsidP="00F10AC7">
      <w:pPr>
        <w:spacing w:after="120" w:line="240" w:lineRule="auto"/>
        <w:jc w:val="center"/>
        <w:rPr>
          <w:rFonts w:cs="Times New Roman"/>
        </w:rPr>
      </w:pPr>
      <w:r w:rsidRPr="00CD46D4">
        <w:rPr>
          <w:rFonts w:cs="Times New Roman"/>
          <w:noProof/>
        </w:rPr>
        <w:drawing>
          <wp:inline distT="0" distB="0" distL="0" distR="0" wp14:anchorId="497386B7" wp14:editId="7003F8F6">
            <wp:extent cx="4832290" cy="2570671"/>
            <wp:effectExtent l="0" t="0" r="6985" b="127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976102D" w14:textId="506C8048" w:rsidR="00AF1189" w:rsidRPr="00FD6B73" w:rsidRDefault="00AF1189" w:rsidP="00F10AC7">
      <w:pPr>
        <w:spacing w:after="120" w:line="240" w:lineRule="auto"/>
        <w:rPr>
          <w:rFonts w:cs="Times New Roman"/>
          <w:lang w:val="ru-RU"/>
        </w:rPr>
      </w:pPr>
      <w:r w:rsidRPr="00FD6B73">
        <w:rPr>
          <w:rFonts w:cs="Times New Roman"/>
          <w:lang w:val="ru-RU"/>
        </w:rPr>
        <w:t xml:space="preserve">Са циљем </w:t>
      </w:r>
      <w:r w:rsidRPr="004C16F1">
        <w:rPr>
          <w:rFonts w:cs="Times New Roman"/>
          <w:bCs/>
          <w:lang w:val="ru-RU"/>
        </w:rPr>
        <w:t>унапређења поверљивости истраге</w:t>
      </w:r>
      <w:r w:rsidRPr="00FD6B73">
        <w:rPr>
          <w:rFonts w:cs="Times New Roman"/>
          <w:lang w:val="ru-RU"/>
        </w:rPr>
        <w:t xml:space="preserve">, у складу са обавезом из </w:t>
      </w:r>
      <w:r w:rsidR="004C16F1" w:rsidRPr="00FD6B73">
        <w:rPr>
          <w:rFonts w:eastAsiaTheme="majorEastAsia" w:cs="Times New Roman"/>
          <w:lang w:val="ru-RU"/>
        </w:rPr>
        <w:t>НСПРЗ</w:t>
      </w:r>
      <w:r w:rsidRPr="00FD6B73">
        <w:rPr>
          <w:rFonts w:cs="Times New Roman"/>
          <w:lang w:val="ru-RU"/>
        </w:rPr>
        <w:t>, ТРЗ је предузело мере за заштиту података од неовлашћеног приступа, објављивања и сваке друге злоупотребе, у складу са Законом о заштити података о личности. Сви запослени у ТРЗ-у су потписали изјаву о чувању тајних и поверљивих података у смислу Закона о тајности података и у складу са другим законским и подзаконским актима. Саставни део ове изјаве је упутство о обавези заштите и чувања тајних и поверљивих података које је уручено свим запосленима. У упутству је дат преглед важећих материјалних прописа у погледу тајних и поверљивих података, обавези њихове заштите и чувања, као и преглед одредаба кривичних прописа у случају поступања изабраних, постављених и запослених лица у супротности са утврђеним обавезама. Ради доследног поштовања обавеза о тајности и поверљивости података од стране свих запослених у ТРЗ-у, надзор над применом закона и подзаконских аката у овој области врши тужилац за ратне злочине.</w:t>
      </w:r>
    </w:p>
    <w:p w14:paraId="31575DB3" w14:textId="633AF5FE" w:rsidR="00AF1189" w:rsidRPr="00FD6B73" w:rsidRDefault="00AF1189" w:rsidP="00F10AC7">
      <w:pPr>
        <w:spacing w:after="120" w:line="240" w:lineRule="auto"/>
        <w:rPr>
          <w:rFonts w:cs="Times New Roman"/>
          <w:lang w:val="ru-RU"/>
        </w:rPr>
      </w:pPr>
      <w:r w:rsidRPr="00FD6B73">
        <w:rPr>
          <w:rFonts w:cs="Times New Roman"/>
          <w:lang w:val="ru-RU"/>
        </w:rPr>
        <w:lastRenderedPageBreak/>
        <w:t xml:space="preserve">Како је, као један од најчешће истицаних проблема у ефикасности рада ТРЗ, током израде претходне </w:t>
      </w:r>
      <w:r w:rsidR="004C16F1" w:rsidRPr="00FD6B73">
        <w:rPr>
          <w:rFonts w:eastAsiaTheme="majorEastAsia" w:cs="Times New Roman"/>
          <w:lang w:val="ru-RU"/>
        </w:rPr>
        <w:t>НСПРЗ</w:t>
      </w:r>
      <w:r w:rsidRPr="00FD6B73">
        <w:rPr>
          <w:rFonts w:cs="Times New Roman"/>
          <w:lang w:val="ru-RU"/>
        </w:rPr>
        <w:t>, истицан управо недостатак административних капацитета, од великог значаја је истаћи да је у посматраном периоду, ТРЗ добило значајна кадровска појачања (укупно 14 лица).</w:t>
      </w:r>
    </w:p>
    <w:p w14:paraId="7FB26B99" w14:textId="3CC856C3" w:rsidR="00AF1189" w:rsidRPr="00CD46D4" w:rsidRDefault="00AF1189" w:rsidP="0019304B">
      <w:pPr>
        <w:pStyle w:val="ListParagraph"/>
        <w:numPr>
          <w:ilvl w:val="0"/>
          <w:numId w:val="43"/>
        </w:numPr>
        <w:spacing w:after="120"/>
        <w:contextualSpacing w:val="0"/>
        <w:rPr>
          <w:rFonts w:cs="Times New Roman"/>
        </w:rPr>
      </w:pPr>
      <w:r w:rsidRPr="00FD6B73">
        <w:rPr>
          <w:rFonts w:cs="Times New Roman"/>
          <w:color w:val="000000"/>
          <w:lang w:val="ru-RU"/>
        </w:rPr>
        <w:t>Током 2017. године на функцију је ступио нови тужилац за ратне зл</w:t>
      </w:r>
      <w:r w:rsidR="004C16F1">
        <w:rPr>
          <w:rFonts w:cs="Times New Roman"/>
          <w:color w:val="000000"/>
          <w:lang w:val="ru-RU"/>
        </w:rPr>
        <w:t xml:space="preserve">очине (дана 31. маја </w:t>
      </w:r>
      <w:r w:rsidRPr="00FD6B73">
        <w:rPr>
          <w:rFonts w:cs="Times New Roman"/>
          <w:color w:val="000000"/>
          <w:lang w:val="ru-RU"/>
        </w:rPr>
        <w:t xml:space="preserve">2017. године). </w:t>
      </w:r>
      <w:r w:rsidR="00AF56D3">
        <w:rPr>
          <w:rFonts w:cs="Times New Roman"/>
          <w:color w:val="000000"/>
        </w:rPr>
        <w:t>Те године запослен је и један</w:t>
      </w:r>
      <w:r w:rsidRPr="00CD46D4">
        <w:rPr>
          <w:rFonts w:cs="Times New Roman"/>
          <w:color w:val="000000"/>
        </w:rPr>
        <w:t xml:space="preserve"> тужилачки помоћник.</w:t>
      </w:r>
    </w:p>
    <w:p w14:paraId="7AD6C909" w14:textId="27E2B687" w:rsidR="00AF1189" w:rsidRPr="00FD6B73" w:rsidRDefault="00AF1189" w:rsidP="0019304B">
      <w:pPr>
        <w:pStyle w:val="ListParagraph"/>
        <w:numPr>
          <w:ilvl w:val="0"/>
          <w:numId w:val="43"/>
        </w:numPr>
        <w:spacing w:after="120"/>
        <w:contextualSpacing w:val="0"/>
        <w:rPr>
          <w:rFonts w:cs="Times New Roman"/>
          <w:lang w:val="ru-RU"/>
        </w:rPr>
      </w:pPr>
      <w:r w:rsidRPr="00FD6B73">
        <w:rPr>
          <w:rFonts w:cs="Times New Roman"/>
          <w:color w:val="000000"/>
          <w:lang w:val="ru-RU"/>
        </w:rPr>
        <w:t xml:space="preserve">Током 2018. године на функцију је ступило </w:t>
      </w:r>
      <w:r w:rsidR="00AF56D3">
        <w:rPr>
          <w:rFonts w:cs="Times New Roman"/>
          <w:color w:val="000000"/>
          <w:lang w:val="ru-RU"/>
        </w:rPr>
        <w:t>шест</w:t>
      </w:r>
      <w:r w:rsidRPr="00FD6B73">
        <w:rPr>
          <w:rFonts w:cs="Times New Roman"/>
          <w:color w:val="000000"/>
          <w:lang w:val="ru-RU"/>
        </w:rPr>
        <w:t xml:space="preserve"> заменика тужиоца за ратне злочине, запослен је 1 тужилачки помоћник и секретар тужилаштва, а ангажован је војни аналитичар.</w:t>
      </w:r>
    </w:p>
    <w:p w14:paraId="1CEB533C" w14:textId="5AB3B09C" w:rsidR="00AF1189" w:rsidRPr="00FD6B73" w:rsidRDefault="00AF1189" w:rsidP="0019304B">
      <w:pPr>
        <w:pStyle w:val="ListParagraph"/>
        <w:numPr>
          <w:ilvl w:val="0"/>
          <w:numId w:val="43"/>
        </w:numPr>
        <w:spacing w:after="120"/>
        <w:contextualSpacing w:val="0"/>
        <w:rPr>
          <w:rFonts w:cs="Times New Roman"/>
          <w:lang w:val="ru-RU"/>
        </w:rPr>
      </w:pPr>
      <w:r w:rsidRPr="00FD6B73">
        <w:rPr>
          <w:rFonts w:cs="Times New Roman"/>
          <w:color w:val="000000"/>
          <w:lang w:val="ru-RU"/>
        </w:rPr>
        <w:t xml:space="preserve">Током 2019. године један заменик тужиоца је упућен у Тужилаштво за ратне злочине на период од </w:t>
      </w:r>
      <w:r w:rsidR="00AF56D3">
        <w:rPr>
          <w:rFonts w:cs="Times New Roman"/>
          <w:color w:val="000000"/>
          <w:lang w:val="ru-RU"/>
        </w:rPr>
        <w:t>четири</w:t>
      </w:r>
      <w:r w:rsidRPr="00FD6B73">
        <w:rPr>
          <w:rFonts w:cs="Times New Roman"/>
          <w:color w:val="000000"/>
          <w:lang w:val="ru-RU"/>
        </w:rPr>
        <w:t xml:space="preserve"> године, запослен је </w:t>
      </w:r>
      <w:r w:rsidR="00AF56D3">
        <w:rPr>
          <w:rFonts w:cs="Times New Roman"/>
          <w:color w:val="000000"/>
          <w:lang w:val="ru-RU"/>
        </w:rPr>
        <w:t>један</w:t>
      </w:r>
      <w:r w:rsidRPr="00FD6B73">
        <w:rPr>
          <w:rFonts w:cs="Times New Roman"/>
          <w:color w:val="000000"/>
          <w:lang w:val="ru-RU"/>
        </w:rPr>
        <w:t xml:space="preserve"> тужилачки помоћник и </w:t>
      </w:r>
      <w:r w:rsidR="00AF56D3">
        <w:rPr>
          <w:rFonts w:cs="Times New Roman"/>
          <w:color w:val="000000"/>
          <w:lang w:val="ru-RU"/>
        </w:rPr>
        <w:t>један</w:t>
      </w:r>
      <w:r w:rsidRPr="00FD6B73">
        <w:rPr>
          <w:rFonts w:cs="Times New Roman"/>
          <w:color w:val="000000"/>
          <w:lang w:val="ru-RU"/>
        </w:rPr>
        <w:t xml:space="preserve"> државни службеник.</w:t>
      </w:r>
      <w:r w:rsidRPr="00CD46D4">
        <w:rPr>
          <w:rFonts w:cs="Times New Roman"/>
          <w:color w:val="000000"/>
        </w:rPr>
        <w:t> </w:t>
      </w:r>
    </w:p>
    <w:p w14:paraId="0AE4ED1B" w14:textId="3EB85D05" w:rsidR="00AF1189" w:rsidRPr="00FD6B73" w:rsidRDefault="00AF1189" w:rsidP="0019304B">
      <w:pPr>
        <w:pStyle w:val="ListParagraph"/>
        <w:numPr>
          <w:ilvl w:val="0"/>
          <w:numId w:val="43"/>
        </w:numPr>
        <w:spacing w:after="120"/>
        <w:contextualSpacing w:val="0"/>
        <w:rPr>
          <w:rFonts w:cs="Times New Roman"/>
          <w:lang w:val="ru-RU"/>
        </w:rPr>
      </w:pPr>
      <w:r w:rsidRPr="00FD6B73">
        <w:rPr>
          <w:rFonts w:cs="Times New Roman"/>
          <w:color w:val="000000"/>
          <w:lang w:val="ru-RU"/>
        </w:rPr>
        <w:t xml:space="preserve">Током 2020. године радни однос су засновала </w:t>
      </w:r>
      <w:r w:rsidR="00AF56D3">
        <w:rPr>
          <w:rFonts w:cs="Times New Roman"/>
          <w:color w:val="000000"/>
          <w:lang w:val="ru-RU"/>
        </w:rPr>
        <w:t>два</w:t>
      </w:r>
      <w:r w:rsidRPr="00FD6B73">
        <w:rPr>
          <w:rFonts w:cs="Times New Roman"/>
          <w:color w:val="000000"/>
          <w:lang w:val="ru-RU"/>
        </w:rPr>
        <w:t xml:space="preserve"> државна службеника.</w:t>
      </w:r>
      <w:r w:rsidRPr="00CD46D4">
        <w:rPr>
          <w:rFonts w:cs="Times New Roman"/>
          <w:color w:val="000000"/>
        </w:rPr>
        <w:t> </w:t>
      </w:r>
    </w:p>
    <w:p w14:paraId="0B68E327" w14:textId="77777777" w:rsidR="00AF1189" w:rsidRPr="00FD6B73" w:rsidRDefault="00AF1189" w:rsidP="00F10AC7">
      <w:pPr>
        <w:spacing w:after="120" w:line="240" w:lineRule="auto"/>
        <w:rPr>
          <w:rFonts w:cs="Times New Roman"/>
          <w:lang w:val="ru-RU"/>
        </w:rPr>
      </w:pPr>
      <w:r w:rsidRPr="00FD6B73">
        <w:rPr>
          <w:rFonts w:cs="Times New Roman"/>
          <w:color w:val="000000"/>
          <w:lang w:val="ru-RU"/>
        </w:rPr>
        <w:t>У Тужилаштву за ратне злочине формирани су тимови обрађивача предмета према територијалном принципу, односно повезаности предмета са местом извршења кривичног дела - Босна и Херцеговина, Република Хрватска, АП Косово и Метохија.</w:t>
      </w:r>
    </w:p>
    <w:p w14:paraId="51DF0770" w14:textId="6B541174" w:rsidR="00AF1189" w:rsidRPr="00AF56D3" w:rsidRDefault="00AF1189" w:rsidP="00F10AC7">
      <w:pPr>
        <w:spacing w:after="120" w:line="240" w:lineRule="auto"/>
        <w:rPr>
          <w:rFonts w:cs="Times New Roman"/>
          <w:lang w:val="sr-Cyrl-RS"/>
        </w:rPr>
      </w:pPr>
      <w:r w:rsidRPr="00FD6B73">
        <w:rPr>
          <w:rFonts w:cs="Times New Roman"/>
          <w:lang w:val="ru-RU"/>
        </w:rPr>
        <w:t xml:space="preserve">У посматраном периоду, за постојеће али и новозапослене/новоизабране службенике и заменике јавног тужиоца у </w:t>
      </w:r>
      <w:r w:rsidR="00AF56D3">
        <w:rPr>
          <w:rFonts w:cs="Times New Roman"/>
          <w:lang w:val="ru-RU"/>
        </w:rPr>
        <w:t>ТРЗ</w:t>
      </w:r>
      <w:r w:rsidRPr="00FD6B73">
        <w:rPr>
          <w:rFonts w:cs="Times New Roman"/>
          <w:lang w:val="ru-RU"/>
        </w:rPr>
        <w:t xml:space="preserve"> спроведен је читав низ </w:t>
      </w:r>
      <w:r w:rsidRPr="00AF56D3">
        <w:rPr>
          <w:rFonts w:cs="Times New Roman"/>
          <w:bCs/>
          <w:lang w:val="ru-RU"/>
        </w:rPr>
        <w:t>обука</w:t>
      </w:r>
      <w:r w:rsidRPr="00FD6B73">
        <w:rPr>
          <w:rFonts w:cs="Times New Roman"/>
          <w:b/>
          <w:bCs/>
          <w:lang w:val="ru-RU"/>
        </w:rPr>
        <w:t>.</w:t>
      </w:r>
      <w:r w:rsidR="00741390">
        <w:rPr>
          <w:rFonts w:cs="Times New Roman"/>
          <w:b/>
          <w:bCs/>
          <w:lang w:val="ru-RU"/>
        </w:rPr>
        <w:t xml:space="preserve"> </w:t>
      </w:r>
      <w:r w:rsidRPr="00FD6B73">
        <w:rPr>
          <w:rFonts w:cs="Times New Roman"/>
          <w:color w:val="000000"/>
          <w:lang w:val="ru-RU"/>
        </w:rPr>
        <w:t xml:space="preserve">Највећи број обука које су детаљно приказане у досадашњим извештајима о спровођењу </w:t>
      </w:r>
      <w:r w:rsidR="00AF56D3" w:rsidRPr="00FD6B73">
        <w:rPr>
          <w:rFonts w:eastAsiaTheme="majorEastAsia" w:cs="Times New Roman"/>
          <w:lang w:val="ru-RU"/>
        </w:rPr>
        <w:t>НСПРЗ</w:t>
      </w:r>
      <w:r w:rsidRPr="00FD6B73">
        <w:rPr>
          <w:rFonts w:cs="Times New Roman"/>
          <w:color w:val="000000"/>
          <w:lang w:val="ru-RU"/>
        </w:rPr>
        <w:t xml:space="preserve"> углавном је</w:t>
      </w:r>
      <w:r w:rsidRPr="00CD46D4">
        <w:rPr>
          <w:rFonts w:cs="Times New Roman"/>
          <w:color w:val="000000"/>
        </w:rPr>
        <w:t> </w:t>
      </w:r>
      <w:r w:rsidRPr="00FD6B73">
        <w:rPr>
          <w:rFonts w:cs="Times New Roman"/>
          <w:color w:val="000000"/>
          <w:lang w:val="ru-RU"/>
        </w:rPr>
        <w:t xml:space="preserve"> подразумевао стручна усавршавања у области подршке и заштите сведока и примену међународног кривичног и међународног хуманитарног права. С обзиром да ове теме имају највећу практичну</w:t>
      </w:r>
      <w:r w:rsidRPr="00CD46D4">
        <w:rPr>
          <w:rFonts w:cs="Times New Roman"/>
          <w:color w:val="000000"/>
        </w:rPr>
        <w:t> </w:t>
      </w:r>
      <w:r w:rsidRPr="00FD6B73">
        <w:rPr>
          <w:rFonts w:cs="Times New Roman"/>
          <w:color w:val="000000"/>
          <w:lang w:val="ru-RU"/>
        </w:rPr>
        <w:t xml:space="preserve"> примену када су поступци за ратне злочине у питању, као и да су предвиђене и ревидираним Акционим планом за </w:t>
      </w:r>
      <w:r w:rsidRPr="00FD6B73">
        <w:rPr>
          <w:rFonts w:cs="Times New Roman"/>
          <w:szCs w:val="24"/>
          <w:lang w:val="ru-RU"/>
        </w:rPr>
        <w:t>П</w:t>
      </w:r>
      <w:r w:rsidR="0026607C" w:rsidRPr="00FD6B73">
        <w:rPr>
          <w:rFonts w:cs="Times New Roman"/>
          <w:szCs w:val="24"/>
          <w:lang w:val="ru-RU"/>
        </w:rPr>
        <w:t>оглавље</w:t>
      </w:r>
      <w:r w:rsidRPr="00FD6B73">
        <w:rPr>
          <w:rFonts w:cs="Times New Roman"/>
          <w:color w:val="000000"/>
          <w:lang w:val="ru-RU"/>
        </w:rPr>
        <w:t xml:space="preserve"> 23, неопходно је да се са њима и даље настави. У области подршке оштећенима и сведоцима, биле су веома значајне обуке из програма </w:t>
      </w:r>
      <w:r w:rsidRPr="00CD46D4">
        <w:rPr>
          <w:rFonts w:cs="Times New Roman"/>
          <w:color w:val="000000"/>
        </w:rPr>
        <w:t>WINPRO</w:t>
      </w:r>
      <w:r w:rsidRPr="00FD6B73">
        <w:rPr>
          <w:rFonts w:cs="Times New Roman"/>
          <w:color w:val="000000"/>
          <w:lang w:val="ru-RU"/>
        </w:rPr>
        <w:t>.</w:t>
      </w:r>
      <w:r w:rsidRPr="00CD46D4">
        <w:rPr>
          <w:rFonts w:cs="Times New Roman"/>
          <w:color w:val="000000"/>
        </w:rPr>
        <w:t> </w:t>
      </w:r>
      <w:r w:rsidR="00AF56D3">
        <w:rPr>
          <w:rFonts w:cs="Times New Roman"/>
          <w:color w:val="000000"/>
          <w:lang w:val="sr-Cyrl-RS"/>
        </w:rPr>
        <w:t xml:space="preserve"> </w:t>
      </w:r>
    </w:p>
    <w:p w14:paraId="742D3D55" w14:textId="77777777" w:rsidR="00AF1189" w:rsidRPr="00FD6B73" w:rsidRDefault="00AF1189" w:rsidP="00F10AC7">
      <w:pPr>
        <w:spacing w:before="280" w:after="120" w:line="240" w:lineRule="auto"/>
        <w:rPr>
          <w:rFonts w:cs="Times New Roman"/>
          <w:lang w:val="ru-RU"/>
        </w:rPr>
      </w:pPr>
      <w:r w:rsidRPr="00FD6B73">
        <w:rPr>
          <w:rFonts w:cs="Times New Roman"/>
          <w:color w:val="000000"/>
          <w:lang w:val="ru-RU"/>
        </w:rPr>
        <w:t xml:space="preserve">Модалитети обука су били различити, како у погледу учесника, тако и у погледу облика стручног усавршавања. Обуке су до сада углавном подразумевале предавања и краће дискусије међу учесницима. Најмање су биле заступљене радионице, упркос наводима професионалаца да овај вид обука сматрају најкориснијим. </w:t>
      </w:r>
    </w:p>
    <w:p w14:paraId="0696EA6E" w14:textId="5363D482" w:rsidR="00AF1189" w:rsidRPr="00FD6B73" w:rsidRDefault="00AF1189" w:rsidP="00F10AC7">
      <w:pPr>
        <w:spacing w:before="280" w:after="120" w:line="240" w:lineRule="auto"/>
        <w:rPr>
          <w:rFonts w:cs="Times New Roman"/>
          <w:lang w:val="ru-RU"/>
        </w:rPr>
      </w:pPr>
      <w:r w:rsidRPr="00FD6B73">
        <w:rPr>
          <w:rFonts w:cs="Times New Roman"/>
          <w:color w:val="000000"/>
          <w:lang w:val="ru-RU"/>
        </w:rPr>
        <w:t xml:space="preserve">Као најбољи </w:t>
      </w:r>
      <w:r w:rsidRPr="00FD6B73">
        <w:rPr>
          <w:rFonts w:cs="Times New Roman"/>
          <w:lang w:val="ru-RU"/>
        </w:rPr>
        <w:t xml:space="preserve">пример </w:t>
      </w:r>
      <w:r w:rsidRPr="00FD6B73">
        <w:rPr>
          <w:rFonts w:cs="Times New Roman"/>
          <w:color w:val="000000"/>
          <w:lang w:val="ru-RU"/>
        </w:rPr>
        <w:t xml:space="preserve">квалитетног стручног усавршавања треба поменути „Практичну обуку о истраживању и кривичном гоњењу сексуалног насиља везаног за сукобе као </w:t>
      </w:r>
      <w:r w:rsidRPr="00FD6B73">
        <w:rPr>
          <w:rFonts w:cs="Times New Roman"/>
          <w:lang w:val="ru-RU"/>
        </w:rPr>
        <w:t>„ме</w:t>
      </w:r>
      <w:r w:rsidRPr="00FD6B73">
        <w:rPr>
          <w:rFonts w:cs="Times New Roman"/>
          <w:color w:val="000000"/>
          <w:lang w:val="ru-RU"/>
        </w:rPr>
        <w:t>ђународног злочина</w:t>
      </w:r>
      <w:r w:rsidR="00AF56D3">
        <w:rPr>
          <w:rFonts w:cs="Times New Roman"/>
          <w:color w:val="000000"/>
          <w:lang w:val="ru-RU"/>
        </w:rPr>
        <w:t>ˮ</w:t>
      </w:r>
      <w:r w:rsidRPr="00FD6B73">
        <w:rPr>
          <w:rFonts w:cs="Times New Roman"/>
          <w:color w:val="000000"/>
          <w:lang w:val="ru-RU"/>
        </w:rPr>
        <w:t xml:space="preserve"> у организацији МРМКС и Правосудне академије, коју су запосленима у ТРЗ држали стручњаци МРМКС. Ова обука трајала је </w:t>
      </w:r>
      <w:r w:rsidR="00AF56D3">
        <w:rPr>
          <w:rFonts w:cs="Times New Roman"/>
          <w:color w:val="000000"/>
          <w:lang w:val="ru-RU"/>
        </w:rPr>
        <w:t>пет</w:t>
      </w:r>
      <w:r w:rsidRPr="00FD6B73">
        <w:rPr>
          <w:rFonts w:cs="Times New Roman"/>
          <w:color w:val="000000"/>
          <w:lang w:val="ru-RU"/>
        </w:rPr>
        <w:t xml:space="preserve"> дана и била је конципирана као радионица. Подразумевала је обимне материјале и активну интеракцију међу полазницима (симулација суђења и слично), детаљно су разматрани и а</w:t>
      </w:r>
      <w:r w:rsidR="00E32577">
        <w:rPr>
          <w:rFonts w:cs="Times New Roman"/>
          <w:color w:val="000000"/>
          <w:lang w:val="ru-RU"/>
        </w:rPr>
        <w:t>нализирани примери из праксе МКТ</w:t>
      </w:r>
      <w:r w:rsidRPr="00FD6B73">
        <w:rPr>
          <w:rFonts w:cs="Times New Roman"/>
          <w:color w:val="000000"/>
          <w:lang w:val="ru-RU"/>
        </w:rPr>
        <w:t>Ј/МРМКС.</w:t>
      </w:r>
      <w:r w:rsidRPr="00CD46D4">
        <w:rPr>
          <w:rFonts w:cs="Times New Roman"/>
          <w:color w:val="000000"/>
        </w:rPr>
        <w:t>  </w:t>
      </w:r>
    </w:p>
    <w:p w14:paraId="66AC3DDF" w14:textId="337A6CC2" w:rsidR="00AF1189" w:rsidRPr="00FD6B73" w:rsidRDefault="00AF1189" w:rsidP="00F10AC7">
      <w:pPr>
        <w:spacing w:before="280" w:after="120" w:line="240" w:lineRule="auto"/>
        <w:rPr>
          <w:rFonts w:cs="Times New Roman"/>
          <w:lang w:val="ru-RU"/>
        </w:rPr>
      </w:pPr>
      <w:r w:rsidRPr="00FD6B73">
        <w:rPr>
          <w:rFonts w:cs="Times New Roman"/>
          <w:color w:val="000000"/>
          <w:lang w:val="ru-RU"/>
        </w:rPr>
        <w:t>Национална стратегија прописује да се у планирању стручног усавршавања посебна пажња посвећује и организовању обука у области стратешког планирања, информационих технологија и пројектног менаџмента ради омогућавања рационализације интерних процеса и употребе ресурса и унапређења процеса планирања и обезбеђивања пројектне подршке.</w:t>
      </w:r>
      <w:r w:rsidR="00741390">
        <w:rPr>
          <w:rFonts w:cs="Times New Roman"/>
          <w:color w:val="000000"/>
          <w:lang w:val="ru-RU"/>
        </w:rPr>
        <w:t xml:space="preserve"> </w:t>
      </w:r>
      <w:r w:rsidRPr="00FD6B73">
        <w:rPr>
          <w:rFonts w:cs="Times New Roman"/>
          <w:color w:val="000000"/>
          <w:lang w:val="ru-RU"/>
        </w:rPr>
        <w:t xml:space="preserve">Овакве обуке представници ТРЗ нису похађали у периоду од 2016. до 2020. </w:t>
      </w:r>
      <w:r w:rsidRPr="00FD6B73">
        <w:rPr>
          <w:rFonts w:cs="Times New Roman"/>
          <w:color w:val="000000"/>
          <w:lang w:val="ru-RU"/>
        </w:rPr>
        <w:lastRenderedPageBreak/>
        <w:t xml:space="preserve">године, па би било корисно да се и у тој области организују стручна усавршавања. Такође, било би пожељно да се </w:t>
      </w:r>
      <w:r w:rsidR="00895065" w:rsidRPr="00FD6B73">
        <w:rPr>
          <w:rFonts w:cs="Times New Roman"/>
          <w:color w:val="000000"/>
          <w:lang w:val="ru-RU"/>
        </w:rPr>
        <w:t>настави</w:t>
      </w:r>
      <w:r w:rsidR="00741390">
        <w:rPr>
          <w:rFonts w:cs="Times New Roman"/>
          <w:color w:val="000000"/>
          <w:lang w:val="ru-RU"/>
        </w:rPr>
        <w:t xml:space="preserve"> </w:t>
      </w:r>
      <w:r w:rsidR="0070172A" w:rsidRPr="00FD6B73">
        <w:rPr>
          <w:rFonts w:cs="Times New Roman"/>
          <w:color w:val="000000"/>
          <w:lang w:val="ru-RU"/>
        </w:rPr>
        <w:t xml:space="preserve">са </w:t>
      </w:r>
      <w:r w:rsidRPr="00FD6B73">
        <w:rPr>
          <w:rFonts w:cs="Times New Roman"/>
          <w:color w:val="000000"/>
          <w:lang w:val="ru-RU"/>
        </w:rPr>
        <w:t>обук</w:t>
      </w:r>
      <w:r w:rsidR="00895065" w:rsidRPr="00FD6B73">
        <w:rPr>
          <w:rFonts w:cs="Times New Roman"/>
          <w:color w:val="000000"/>
          <w:lang w:val="ru-RU"/>
        </w:rPr>
        <w:t>ом</w:t>
      </w:r>
      <w:r w:rsidRPr="00FD6B73">
        <w:rPr>
          <w:rFonts w:cs="Times New Roman"/>
          <w:color w:val="000000"/>
          <w:lang w:val="ru-RU"/>
        </w:rPr>
        <w:t xml:space="preserve"> на тему имовинско-правног захтева и споразума о признању кривичног дела, јер ТРЗ има обавезу да афирмише примену ових института.</w:t>
      </w:r>
      <w:r w:rsidRPr="00CD46D4">
        <w:rPr>
          <w:rFonts w:cs="Times New Roman"/>
          <w:color w:val="000000"/>
        </w:rPr>
        <w:t> </w:t>
      </w:r>
    </w:p>
    <w:p w14:paraId="78CE91E3" w14:textId="6395FEC7" w:rsidR="00AF1189" w:rsidRPr="00FD6B73" w:rsidRDefault="00AF1189" w:rsidP="00F10AC7">
      <w:pPr>
        <w:spacing w:after="120" w:line="240" w:lineRule="auto"/>
        <w:rPr>
          <w:rFonts w:cs="Times New Roman"/>
          <w:lang w:val="ru-RU"/>
        </w:rPr>
      </w:pPr>
      <w:r w:rsidRPr="00FD6B73">
        <w:rPr>
          <w:rFonts w:cs="Times New Roman"/>
          <w:lang w:val="ru-RU"/>
        </w:rPr>
        <w:t xml:space="preserve">Осим мера усмерених на унапређење рада ТРЗ, </w:t>
      </w:r>
      <w:r w:rsidR="00AF56D3">
        <w:rPr>
          <w:rFonts w:cs="Times New Roman"/>
          <w:lang w:val="ru-RU"/>
        </w:rPr>
        <w:t xml:space="preserve">у </w:t>
      </w:r>
      <w:r w:rsidR="00AF56D3" w:rsidRPr="00FD6B73">
        <w:rPr>
          <w:rFonts w:eastAsiaTheme="majorEastAsia" w:cs="Times New Roman"/>
          <w:lang w:val="ru-RU"/>
        </w:rPr>
        <w:t>НСПРЗ</w:t>
      </w:r>
      <w:r w:rsidRPr="00FD6B73">
        <w:rPr>
          <w:rFonts w:cs="Times New Roman"/>
          <w:lang w:val="ru-RU"/>
        </w:rPr>
        <w:t xml:space="preserve"> је, као начин да се унапред</w:t>
      </w:r>
      <w:r w:rsidR="00AF56D3">
        <w:rPr>
          <w:rFonts w:cs="Times New Roman"/>
          <w:lang w:val="ru-RU"/>
        </w:rPr>
        <w:t>и ефикасност истрага, препозната је и потреба</w:t>
      </w:r>
      <w:r w:rsidRPr="00FD6B73">
        <w:rPr>
          <w:rFonts w:cs="Times New Roman"/>
          <w:lang w:val="ru-RU"/>
        </w:rPr>
        <w:t xml:space="preserve"> да се </w:t>
      </w:r>
      <w:r w:rsidRPr="00AF56D3">
        <w:rPr>
          <w:rFonts w:cs="Times New Roman"/>
          <w:bCs/>
          <w:lang w:val="ru-RU"/>
        </w:rPr>
        <w:t>унапреди рад Службе за откривање ратних злочина (у даљем текст: СОРЗ)</w:t>
      </w:r>
      <w:r w:rsidRPr="00AF56D3">
        <w:rPr>
          <w:rFonts w:cs="Times New Roman"/>
          <w:lang w:val="ru-RU"/>
        </w:rPr>
        <w:t xml:space="preserve">. </w:t>
      </w:r>
      <w:r w:rsidRPr="00FD6B73">
        <w:rPr>
          <w:rFonts w:cs="Times New Roman"/>
          <w:lang w:val="ru-RU"/>
        </w:rPr>
        <w:t>У т</w:t>
      </w:r>
      <w:r w:rsidR="00080411" w:rsidRPr="00FD6B73">
        <w:rPr>
          <w:rFonts w:cs="Times New Roman"/>
          <w:lang w:val="ru-RU"/>
        </w:rPr>
        <w:t xml:space="preserve">ом смислу, </w:t>
      </w:r>
      <w:r w:rsidR="00AF56D3">
        <w:rPr>
          <w:rFonts w:cs="Times New Roman"/>
          <w:lang w:val="ru-RU"/>
        </w:rPr>
        <w:t xml:space="preserve">у </w:t>
      </w:r>
      <w:r w:rsidR="00AF56D3" w:rsidRPr="00FD6B73">
        <w:rPr>
          <w:rFonts w:eastAsiaTheme="majorEastAsia" w:cs="Times New Roman"/>
          <w:lang w:val="ru-RU"/>
        </w:rPr>
        <w:t>НСПРЗ</w:t>
      </w:r>
      <w:r w:rsidRPr="00FD6B73">
        <w:rPr>
          <w:rFonts w:cs="Times New Roman"/>
          <w:lang w:val="ru-RU"/>
        </w:rPr>
        <w:t xml:space="preserve"> је предви</w:t>
      </w:r>
      <w:r w:rsidR="00080411" w:rsidRPr="00FD6B73">
        <w:rPr>
          <w:rFonts w:cs="Times New Roman"/>
          <w:lang w:val="ru-RU"/>
        </w:rPr>
        <w:t xml:space="preserve">ђено </w:t>
      </w:r>
      <w:r w:rsidR="00AF56D3">
        <w:rPr>
          <w:rFonts w:cs="Times New Roman"/>
          <w:lang w:val="ru-RU"/>
        </w:rPr>
        <w:t xml:space="preserve"> да </w:t>
      </w:r>
      <w:r w:rsidR="00080411" w:rsidRPr="00FD6B73">
        <w:rPr>
          <w:rFonts w:cs="Times New Roman"/>
          <w:lang w:val="ru-RU"/>
        </w:rPr>
        <w:t>предузимањ</w:t>
      </w:r>
      <w:r w:rsidR="00AF56D3">
        <w:rPr>
          <w:rFonts w:cs="Times New Roman"/>
          <w:lang w:val="ru-RU"/>
        </w:rPr>
        <w:t>у</w:t>
      </w:r>
      <w:r w:rsidRPr="00FD6B73">
        <w:rPr>
          <w:rFonts w:cs="Times New Roman"/>
          <w:lang w:val="ru-RU"/>
        </w:rPr>
        <w:t xml:space="preserve"> конкретних мера за унапређење рада СОРЗ претходи анализа (извештај) правног и фактичког стања и потреба </w:t>
      </w:r>
      <w:r w:rsidR="00AF56D3" w:rsidRPr="00FD6B73">
        <w:rPr>
          <w:rFonts w:cs="Times New Roman"/>
          <w:lang w:val="ru-RU"/>
        </w:rPr>
        <w:t xml:space="preserve">СОРЗ </w:t>
      </w:r>
      <w:r w:rsidRPr="00FD6B73">
        <w:rPr>
          <w:rFonts w:cs="Times New Roman"/>
          <w:lang w:val="ru-RU"/>
        </w:rPr>
        <w:t xml:space="preserve">у оквиру МУП-а, а у циљу одређивања потреба за реформом те </w:t>
      </w:r>
      <w:r w:rsidR="00AF56D3">
        <w:rPr>
          <w:rFonts w:cs="Times New Roman"/>
          <w:lang w:val="ru-RU"/>
        </w:rPr>
        <w:t>с</w:t>
      </w:r>
      <w:r w:rsidRPr="00FD6B73">
        <w:rPr>
          <w:rFonts w:cs="Times New Roman"/>
          <w:lang w:val="ru-RU"/>
        </w:rPr>
        <w:t>лужбе и то већ током првог квартала 2016. године.</w:t>
      </w:r>
      <w:r w:rsidRPr="00CD46D4">
        <w:rPr>
          <w:rStyle w:val="FootnoteReference"/>
          <w:rFonts w:cs="Times New Roman"/>
        </w:rPr>
        <w:footnoteReference w:id="40"/>
      </w:r>
      <w:r w:rsidR="00AF56D3">
        <w:rPr>
          <w:rFonts w:cs="Times New Roman"/>
          <w:lang w:val="ru-RU"/>
        </w:rPr>
        <w:t xml:space="preserve"> </w:t>
      </w:r>
    </w:p>
    <w:p w14:paraId="27BFB7AA" w14:textId="7CDD5EB5" w:rsidR="00AF1189" w:rsidRPr="00FD6B73" w:rsidRDefault="00AF1189" w:rsidP="00F10AC7">
      <w:pPr>
        <w:autoSpaceDE w:val="0"/>
        <w:autoSpaceDN w:val="0"/>
        <w:adjustRightInd w:val="0"/>
        <w:spacing w:after="120" w:line="240" w:lineRule="auto"/>
        <w:rPr>
          <w:rFonts w:cs="Times New Roman"/>
          <w:lang w:val="ru-RU"/>
        </w:rPr>
      </w:pPr>
      <w:r w:rsidRPr="00FD6B73">
        <w:rPr>
          <w:rFonts w:cs="Times New Roman"/>
          <w:lang w:val="ru-RU"/>
        </w:rPr>
        <w:t xml:space="preserve">Анализа правног и фактичког стања и потреба </w:t>
      </w:r>
      <w:r w:rsidR="00AF56D3" w:rsidRPr="00FD6B73">
        <w:rPr>
          <w:rFonts w:cs="Times New Roman"/>
          <w:lang w:val="ru-RU"/>
        </w:rPr>
        <w:t>СОРЗ</w:t>
      </w:r>
      <w:r w:rsidRPr="00FD6B73">
        <w:rPr>
          <w:rFonts w:cs="Times New Roman"/>
          <w:lang w:val="ru-RU"/>
        </w:rPr>
        <w:t>, ради њеног реформисања је спроведена 2017. године. У оквиру анализе обрађена су питања од значаја за њен рад и поступање и дефинисани приоритети који су адресирани у годинама које су уследиле.</w:t>
      </w:r>
      <w:r w:rsidR="00AF56D3">
        <w:rPr>
          <w:rFonts w:cs="Times New Roman"/>
          <w:lang w:val="ru-RU"/>
        </w:rPr>
        <w:t xml:space="preserve"> </w:t>
      </w:r>
    </w:p>
    <w:p w14:paraId="00F5B487" w14:textId="3B25FEDF" w:rsidR="00AF1189" w:rsidRPr="00FD6B73" w:rsidRDefault="00AF1189" w:rsidP="00F10AC7">
      <w:pPr>
        <w:spacing w:after="120" w:line="240" w:lineRule="auto"/>
        <w:rPr>
          <w:rFonts w:cs="Times New Roman"/>
          <w:lang w:val="ru-RU"/>
        </w:rPr>
      </w:pPr>
      <w:r w:rsidRPr="00FD6B73">
        <w:rPr>
          <w:rFonts w:cs="Times New Roman"/>
          <w:lang w:val="ru-RU"/>
        </w:rPr>
        <w:t xml:space="preserve">Ради проширења својих смештајних капацитета и добијања адекватног простора за   похрањивање предмета у физичком облику, </w:t>
      </w:r>
      <w:r w:rsidR="00AF56D3" w:rsidRPr="00FD6B73">
        <w:rPr>
          <w:rFonts w:cs="Times New Roman"/>
          <w:lang w:val="ru-RU"/>
        </w:rPr>
        <w:t xml:space="preserve">СОРЗ </w:t>
      </w:r>
      <w:r w:rsidR="00AF56D3">
        <w:rPr>
          <w:rFonts w:cs="Times New Roman"/>
          <w:lang w:val="ru-RU"/>
        </w:rPr>
        <w:t xml:space="preserve">је измештена у зграду ТАНЈУГ-а </w:t>
      </w:r>
      <w:r w:rsidRPr="00FD6B73">
        <w:rPr>
          <w:rFonts w:cs="Times New Roman"/>
          <w:lang w:val="ru-RU"/>
        </w:rPr>
        <w:t>(</w:t>
      </w:r>
      <w:r w:rsidRPr="00CD46D4">
        <w:rPr>
          <w:rFonts w:cs="Times New Roman"/>
        </w:rPr>
        <w:t>IV</w:t>
      </w:r>
      <w:r w:rsidRPr="00FD6B73">
        <w:rPr>
          <w:rFonts w:cs="Times New Roman"/>
          <w:lang w:val="ru-RU"/>
        </w:rPr>
        <w:t>,</w:t>
      </w:r>
      <w:r w:rsidRPr="00CD46D4">
        <w:rPr>
          <w:rFonts w:cs="Times New Roman"/>
        </w:rPr>
        <w:t>V</w:t>
      </w:r>
      <w:r w:rsidRPr="00FD6B73">
        <w:rPr>
          <w:rFonts w:cs="Times New Roman"/>
          <w:lang w:val="ru-RU"/>
        </w:rPr>
        <w:t xml:space="preserve"> и </w:t>
      </w:r>
      <w:r w:rsidRPr="00CD46D4">
        <w:rPr>
          <w:rFonts w:cs="Times New Roman"/>
        </w:rPr>
        <w:t>VI</w:t>
      </w:r>
      <w:r w:rsidRPr="00FD6B73">
        <w:rPr>
          <w:rFonts w:cs="Times New Roman"/>
          <w:lang w:val="ru-RU"/>
        </w:rPr>
        <w:t xml:space="preserve"> спрат)</w:t>
      </w:r>
      <w:r w:rsidR="00AF56D3">
        <w:rPr>
          <w:rFonts w:cs="Times New Roman"/>
          <w:lang w:val="ru-RU"/>
        </w:rPr>
        <w:t>,</w:t>
      </w:r>
      <w:r w:rsidRPr="00FD6B73">
        <w:rPr>
          <w:rFonts w:cs="Times New Roman"/>
          <w:lang w:val="ru-RU"/>
        </w:rPr>
        <w:t xml:space="preserve"> која се налази у улици Обилићев венац број 2, у Београду. </w:t>
      </w:r>
    </w:p>
    <w:p w14:paraId="6D1B4242" w14:textId="5DAAAA59" w:rsidR="00AF1189" w:rsidRPr="00FD6B73" w:rsidRDefault="00AF1189" w:rsidP="00F10AC7">
      <w:pPr>
        <w:spacing w:after="120" w:line="240" w:lineRule="auto"/>
        <w:rPr>
          <w:rFonts w:cs="Times New Roman"/>
          <w:lang w:val="ru-RU"/>
        </w:rPr>
      </w:pPr>
      <w:r w:rsidRPr="00FD6B73">
        <w:rPr>
          <w:rFonts w:cs="Times New Roman"/>
          <w:lang w:val="ru-RU"/>
        </w:rPr>
        <w:t xml:space="preserve">Кадровски капацитети </w:t>
      </w:r>
      <w:r w:rsidR="00AF56D3" w:rsidRPr="00FD6B73">
        <w:rPr>
          <w:rFonts w:cs="Times New Roman"/>
          <w:lang w:val="ru-RU"/>
        </w:rPr>
        <w:t xml:space="preserve">СОРЗ </w:t>
      </w:r>
      <w:r w:rsidRPr="00FD6B73">
        <w:rPr>
          <w:rFonts w:cs="Times New Roman"/>
          <w:lang w:val="ru-RU"/>
        </w:rPr>
        <w:t xml:space="preserve">су се попуњавали сразмерно обиму и комплексности посла. Приликом пријема нових полицијских службеника у </w:t>
      </w:r>
      <w:r w:rsidR="00AF56D3" w:rsidRPr="00FD6B73">
        <w:rPr>
          <w:rFonts w:cs="Times New Roman"/>
          <w:lang w:val="ru-RU"/>
        </w:rPr>
        <w:t>СОРЗ</w:t>
      </w:r>
      <w:r w:rsidRPr="00FD6B73">
        <w:rPr>
          <w:rFonts w:cs="Times New Roman"/>
          <w:lang w:val="ru-RU"/>
        </w:rPr>
        <w:t>, примењује се Правилник о спровођењу интерног конкурс</w:t>
      </w:r>
      <w:r w:rsidR="00AF56D3">
        <w:rPr>
          <w:rFonts w:cs="Times New Roman"/>
          <w:lang w:val="ru-RU"/>
        </w:rPr>
        <w:t>а међу запосленима у МУП-у („Службени</w:t>
      </w:r>
      <w:r w:rsidRPr="00FD6B73">
        <w:rPr>
          <w:rFonts w:cs="Times New Roman"/>
          <w:lang w:val="ru-RU"/>
        </w:rPr>
        <w:t xml:space="preserve"> гласник РС</w:t>
      </w:r>
      <w:r w:rsidR="00AF56D3">
        <w:rPr>
          <w:rFonts w:cs="Times New Roman"/>
          <w:lang w:val="ru-RU"/>
        </w:rPr>
        <w:t>ˮ, број  73/</w:t>
      </w:r>
      <w:r w:rsidRPr="00FD6B73">
        <w:rPr>
          <w:rFonts w:cs="Times New Roman"/>
          <w:lang w:val="ru-RU"/>
        </w:rPr>
        <w:t xml:space="preserve">16), као и Правилник о компетенцијама за запослене у </w:t>
      </w:r>
      <w:r w:rsidRPr="00CD46D4">
        <w:rPr>
          <w:rFonts w:cs="Times New Roman"/>
        </w:rPr>
        <w:t>M</w:t>
      </w:r>
      <w:r w:rsidRPr="00FD6B73">
        <w:rPr>
          <w:rFonts w:cs="Times New Roman"/>
          <w:lang w:val="ru-RU"/>
        </w:rPr>
        <w:t>УП-у (</w:t>
      </w:r>
      <w:r w:rsidR="0070172A" w:rsidRPr="00FD6B73">
        <w:rPr>
          <w:rFonts w:cs="Times New Roman"/>
          <w:lang w:val="ru-RU"/>
        </w:rPr>
        <w:t>„</w:t>
      </w:r>
      <w:r w:rsidR="00AF56D3">
        <w:rPr>
          <w:rFonts w:cs="Times New Roman"/>
          <w:lang w:val="ru-RU"/>
        </w:rPr>
        <w:t>Службени</w:t>
      </w:r>
      <w:r w:rsidRPr="00FD6B73">
        <w:rPr>
          <w:rFonts w:cs="Times New Roman"/>
          <w:lang w:val="ru-RU"/>
        </w:rPr>
        <w:t xml:space="preserve"> гласник РС</w:t>
      </w:r>
      <w:r w:rsidR="00AF56D3">
        <w:rPr>
          <w:rFonts w:cs="Times New Roman"/>
          <w:lang w:val="ru-RU"/>
        </w:rPr>
        <w:t>ˮ, број 52/</w:t>
      </w:r>
      <w:r w:rsidRPr="00FD6B73">
        <w:rPr>
          <w:rFonts w:cs="Times New Roman"/>
          <w:lang w:val="ru-RU"/>
        </w:rPr>
        <w:t>16), донетих на основу Закона о поли</w:t>
      </w:r>
      <w:r w:rsidR="00AF56D3">
        <w:rPr>
          <w:rFonts w:cs="Times New Roman"/>
          <w:lang w:val="ru-RU"/>
        </w:rPr>
        <w:t>цији („Службени</w:t>
      </w:r>
      <w:r w:rsidRPr="00FD6B73">
        <w:rPr>
          <w:rFonts w:cs="Times New Roman"/>
          <w:lang w:val="ru-RU"/>
        </w:rPr>
        <w:t xml:space="preserve"> гласник РС”, број 6/16). </w:t>
      </w:r>
      <w:r w:rsidR="00AF56D3">
        <w:rPr>
          <w:rFonts w:cs="Times New Roman"/>
          <w:lang w:val="ru-RU"/>
        </w:rPr>
        <w:t xml:space="preserve"> </w:t>
      </w:r>
    </w:p>
    <w:p w14:paraId="49C9C60E" w14:textId="2A1EFB46" w:rsidR="00AF1189" w:rsidRPr="00FD6B73" w:rsidRDefault="00AF1189" w:rsidP="00F10AC7">
      <w:pPr>
        <w:spacing w:after="120" w:line="240" w:lineRule="auto"/>
        <w:rPr>
          <w:rFonts w:cs="Times New Roman"/>
          <w:lang w:val="ru-RU"/>
        </w:rPr>
      </w:pPr>
      <w:r w:rsidRPr="00FD6B73">
        <w:rPr>
          <w:rFonts w:cs="Times New Roman"/>
          <w:lang w:val="ru-RU"/>
        </w:rPr>
        <w:t xml:space="preserve">У оквиру обнављања возног парка, током 2018. године, </w:t>
      </w:r>
      <w:r w:rsidR="00586C7D" w:rsidRPr="00FD6B73">
        <w:rPr>
          <w:rFonts w:cs="Times New Roman"/>
          <w:lang w:val="ru-RU"/>
        </w:rPr>
        <w:t xml:space="preserve">СОРЗ </w:t>
      </w:r>
      <w:r w:rsidRPr="00FD6B73">
        <w:rPr>
          <w:rFonts w:cs="Times New Roman"/>
          <w:lang w:val="ru-RU"/>
        </w:rPr>
        <w:t xml:space="preserve">је на задужење добила </w:t>
      </w:r>
      <w:r w:rsidR="00586C7D">
        <w:rPr>
          <w:rFonts w:cs="Times New Roman"/>
          <w:lang w:val="ru-RU"/>
        </w:rPr>
        <w:t>осам</w:t>
      </w:r>
      <w:r w:rsidRPr="00FD6B73">
        <w:rPr>
          <w:rFonts w:cs="Times New Roman"/>
          <w:lang w:val="ru-RU"/>
        </w:rPr>
        <w:t xml:space="preserve"> нових службених аутомобила, од којих је два дала на коришћење другој служби у оквиру Управе криминалистичке полиције.  </w:t>
      </w:r>
    </w:p>
    <w:p w14:paraId="5CBFD1A3" w14:textId="396E57B4" w:rsidR="00AF1189" w:rsidRPr="00FD6B73" w:rsidRDefault="00586C7D" w:rsidP="00F10AC7">
      <w:pPr>
        <w:spacing w:after="120" w:line="240" w:lineRule="auto"/>
        <w:rPr>
          <w:rFonts w:cs="Times New Roman"/>
          <w:lang w:val="ru-RU"/>
        </w:rPr>
      </w:pPr>
      <w:r w:rsidRPr="00FD6B73">
        <w:rPr>
          <w:rFonts w:cs="Times New Roman"/>
          <w:lang w:val="ru-RU"/>
        </w:rPr>
        <w:t xml:space="preserve">СОРЗ </w:t>
      </w:r>
      <w:r w:rsidR="00AF1189" w:rsidRPr="00FD6B73">
        <w:rPr>
          <w:rFonts w:cs="Times New Roman"/>
          <w:lang w:val="ru-RU"/>
        </w:rPr>
        <w:t xml:space="preserve">је унапредила своје техничко-материјалне капацитете захваљујући донацији информатичке опреме коју је Министарству унутрашњих послова - Управи криминалистичке полиције - </w:t>
      </w:r>
      <w:r w:rsidRPr="00FD6B73">
        <w:rPr>
          <w:rFonts w:cs="Times New Roman"/>
          <w:lang w:val="ru-RU"/>
        </w:rPr>
        <w:t xml:space="preserve">СОРЗ </w:t>
      </w:r>
      <w:r w:rsidR="00AF1189" w:rsidRPr="00FD6B73">
        <w:rPr>
          <w:rFonts w:cs="Times New Roman"/>
          <w:lang w:val="ru-RU"/>
        </w:rPr>
        <w:t xml:space="preserve">доделило Министарство правде Владе САД посредством Међународног криминалистичког истражног програма помоћи у обуци </w:t>
      </w:r>
      <w:r w:rsidR="00AF1189" w:rsidRPr="00CD46D4">
        <w:rPr>
          <w:rFonts w:cs="Times New Roman"/>
        </w:rPr>
        <w:t>ICITAP</w:t>
      </w:r>
      <w:r w:rsidR="00AF1189" w:rsidRPr="00FD6B73">
        <w:rPr>
          <w:rFonts w:cs="Times New Roman"/>
          <w:lang w:val="ru-RU"/>
        </w:rPr>
        <w:t xml:space="preserve"> при Амбасади САД у Р</w:t>
      </w:r>
      <w:r w:rsidR="00ED1D42" w:rsidRPr="00FD6B73">
        <w:rPr>
          <w:rFonts w:cs="Times New Roman"/>
          <w:lang w:val="ru-RU"/>
        </w:rPr>
        <w:t>епублици</w:t>
      </w:r>
      <w:r w:rsidR="00AF1189" w:rsidRPr="00FD6B73">
        <w:rPr>
          <w:rFonts w:cs="Times New Roman"/>
          <w:lang w:val="ru-RU"/>
        </w:rPr>
        <w:t xml:space="preserve"> Србији. </w:t>
      </w:r>
      <w:r>
        <w:rPr>
          <w:rFonts w:cs="Times New Roman"/>
          <w:lang w:val="ru-RU"/>
        </w:rPr>
        <w:t>У 2017. години</w:t>
      </w:r>
      <w:r w:rsidR="00AF1189" w:rsidRPr="00FD6B73">
        <w:rPr>
          <w:rFonts w:cs="Times New Roman"/>
          <w:lang w:val="ru-RU"/>
        </w:rPr>
        <w:t>, у оквиру Пројекта „Подршка развојним капацитетима стратешког управљања и европских интеграција у Министарству унутрашњих послова</w:t>
      </w:r>
      <w:r>
        <w:rPr>
          <w:rFonts w:cs="Times New Roman"/>
          <w:lang w:val="ru-RU"/>
        </w:rPr>
        <w:t>ˮ</w:t>
      </w:r>
      <w:r w:rsidR="00AF1189" w:rsidRPr="00FD6B73">
        <w:rPr>
          <w:rFonts w:cs="Times New Roman"/>
          <w:lang w:val="ru-RU"/>
        </w:rPr>
        <w:t xml:space="preserve">, Шведска агенција за међународни развој и сарадњу (СИДА) донирала је </w:t>
      </w:r>
      <w:r w:rsidRPr="00FD6B73">
        <w:rPr>
          <w:rFonts w:cs="Times New Roman"/>
          <w:lang w:val="ru-RU"/>
        </w:rPr>
        <w:t xml:space="preserve">СОРЗ </w:t>
      </w:r>
      <w:r w:rsidR="00AF1189" w:rsidRPr="00FD6B73">
        <w:rPr>
          <w:rFonts w:cs="Times New Roman"/>
          <w:lang w:val="ru-RU"/>
        </w:rPr>
        <w:t>сервер за рад у апликацији „</w:t>
      </w:r>
      <w:r w:rsidR="00AF1189" w:rsidRPr="00CD46D4">
        <w:rPr>
          <w:rFonts w:cs="Times New Roman"/>
        </w:rPr>
        <w:t>ZyLab</w:t>
      </w:r>
      <w:r>
        <w:rPr>
          <w:rFonts w:cs="Times New Roman"/>
          <w:lang w:val="ru-RU"/>
        </w:rPr>
        <w:t>ˮ</w:t>
      </w:r>
      <w:r w:rsidR="00AF1189" w:rsidRPr="00FD6B73">
        <w:rPr>
          <w:rFonts w:cs="Times New Roman"/>
          <w:lang w:val="ru-RU"/>
        </w:rPr>
        <w:t xml:space="preserve">. С тим у вези, уз помоћ </w:t>
      </w:r>
      <w:r w:rsidRPr="00FD6B73">
        <w:rPr>
          <w:rFonts w:cs="Times New Roman"/>
          <w:lang w:val="ru-RU"/>
        </w:rPr>
        <w:t xml:space="preserve">Мисије </w:t>
      </w:r>
      <w:r>
        <w:rPr>
          <w:rFonts w:cs="Times New Roman"/>
          <w:lang w:val="ru-RU"/>
        </w:rPr>
        <w:t xml:space="preserve">ОЕБС </w:t>
      </w:r>
      <w:r w:rsidR="00AF1189" w:rsidRPr="00FD6B73">
        <w:rPr>
          <w:rFonts w:cs="Times New Roman"/>
          <w:lang w:val="ru-RU"/>
        </w:rPr>
        <w:t>у Р</w:t>
      </w:r>
      <w:r>
        <w:rPr>
          <w:rFonts w:cs="Times New Roman"/>
          <w:lang w:val="ru-RU"/>
        </w:rPr>
        <w:t>епублици</w:t>
      </w:r>
      <w:r w:rsidR="00AF1189" w:rsidRPr="00FD6B73">
        <w:rPr>
          <w:rFonts w:cs="Times New Roman"/>
          <w:lang w:val="ru-RU"/>
        </w:rPr>
        <w:t xml:space="preserve"> Србији и ИЦИТАП-а, припадницима Службе омогућена је обука за коришћење „</w:t>
      </w:r>
      <w:r w:rsidR="00AF1189" w:rsidRPr="00CD46D4">
        <w:rPr>
          <w:rFonts w:cs="Times New Roman"/>
        </w:rPr>
        <w:t>ZyLab</w:t>
      </w:r>
      <w:r w:rsidRPr="00586C7D">
        <w:rPr>
          <w:rFonts w:cs="Times New Roman"/>
          <w:lang w:val="ru-RU"/>
        </w:rPr>
        <w:t>ˮ</w:t>
      </w:r>
      <w:r w:rsidR="00AF1189" w:rsidRPr="00FD6B73">
        <w:rPr>
          <w:rFonts w:cs="Times New Roman"/>
          <w:lang w:val="ru-RU"/>
        </w:rPr>
        <w:t xml:space="preserve"> софтверског програма за обраду, архивирање и претраживање податак</w:t>
      </w:r>
      <w:r>
        <w:rPr>
          <w:rFonts w:cs="Times New Roman"/>
          <w:lang w:val="ru-RU"/>
        </w:rPr>
        <w:t>а, као и о</w:t>
      </w:r>
      <w:r w:rsidR="00AF1189" w:rsidRPr="00FD6B73">
        <w:rPr>
          <w:rFonts w:cs="Times New Roman"/>
          <w:lang w:val="ru-RU"/>
        </w:rPr>
        <w:t xml:space="preserve">нлајн обука за коришћење нове </w:t>
      </w:r>
      <w:r w:rsidR="00AF1189" w:rsidRPr="00CD46D4">
        <w:rPr>
          <w:rFonts w:cs="Times New Roman"/>
        </w:rPr>
        <w:t>E</w:t>
      </w:r>
      <w:r w:rsidR="00AF1189" w:rsidRPr="00FD6B73">
        <w:rPr>
          <w:rFonts w:cs="Times New Roman"/>
          <w:lang w:val="ru-RU"/>
        </w:rPr>
        <w:t>-</w:t>
      </w:r>
      <w:r w:rsidR="00AF1189" w:rsidRPr="00CD46D4">
        <w:rPr>
          <w:rFonts w:cs="Times New Roman"/>
        </w:rPr>
        <w:t>discovery</w:t>
      </w:r>
      <w:r w:rsidR="00AF1189" w:rsidRPr="00FD6B73">
        <w:rPr>
          <w:rFonts w:cs="Times New Roman"/>
          <w:lang w:val="ru-RU"/>
        </w:rPr>
        <w:t xml:space="preserve"> платформе.</w:t>
      </w:r>
      <w:r>
        <w:rPr>
          <w:rFonts w:cs="Times New Roman"/>
          <w:lang w:val="ru-RU"/>
        </w:rPr>
        <w:t xml:space="preserve">   </w:t>
      </w:r>
    </w:p>
    <w:p w14:paraId="45DA5027" w14:textId="5542C2C1" w:rsidR="00AF1189" w:rsidRPr="00FD6B73" w:rsidRDefault="00AF1189" w:rsidP="00F10AC7">
      <w:pPr>
        <w:spacing w:after="120" w:line="240" w:lineRule="auto"/>
        <w:rPr>
          <w:rFonts w:cs="Times New Roman"/>
          <w:lang w:val="ru-RU"/>
        </w:rPr>
      </w:pPr>
      <w:r w:rsidRPr="00FD6B73">
        <w:rPr>
          <w:rFonts w:cs="Times New Roman"/>
          <w:lang w:val="ru-RU"/>
        </w:rPr>
        <w:lastRenderedPageBreak/>
        <w:t xml:space="preserve">Министарство унутрашњих послова Републике Србије је за потребе </w:t>
      </w:r>
      <w:r w:rsidR="00586C7D" w:rsidRPr="00FD6B73">
        <w:rPr>
          <w:rFonts w:cs="Times New Roman"/>
          <w:lang w:val="ru-RU"/>
        </w:rPr>
        <w:t xml:space="preserve">СОРЗ </w:t>
      </w:r>
      <w:r w:rsidRPr="00FD6B73">
        <w:rPr>
          <w:rFonts w:cs="Times New Roman"/>
          <w:lang w:val="ru-RU"/>
        </w:rPr>
        <w:t>у 2019. години извршило обнављање лиценце и набавку проширеног софтверског пакета „</w:t>
      </w:r>
      <w:r w:rsidRPr="00CD46D4">
        <w:rPr>
          <w:rFonts w:cs="Times New Roman"/>
        </w:rPr>
        <w:t>ZyLab</w:t>
      </w:r>
      <w:r w:rsidR="00586C7D">
        <w:rPr>
          <w:rFonts w:cs="Times New Roman"/>
          <w:lang w:val="ru-RU"/>
        </w:rPr>
        <w:t>ˮ</w:t>
      </w:r>
      <w:r w:rsidRPr="00FD6B73">
        <w:rPr>
          <w:rFonts w:cs="Times New Roman"/>
          <w:lang w:val="ru-RU"/>
        </w:rPr>
        <w:t xml:space="preserve"> потребног </w:t>
      </w:r>
      <w:r w:rsidRPr="00FD6B73">
        <w:rPr>
          <w:rFonts w:cs="Times New Roman"/>
          <w:shd w:val="clear" w:color="auto" w:fill="FFFFFF"/>
          <w:lang w:val="ru-RU"/>
        </w:rPr>
        <w:t xml:space="preserve">за архивирање и аутоматизовану претрагу документације, а </w:t>
      </w:r>
      <w:r w:rsidRPr="00FD6B73">
        <w:rPr>
          <w:rFonts w:cs="Times New Roman"/>
          <w:lang w:val="ru-RU"/>
        </w:rPr>
        <w:t xml:space="preserve">2020. године набавку рачунара и пратеће рачунарске опреме, као и набавку и израду пројекта о постављању спољног и унутрашњег видео-надзора на објекту у којем су смештене радне просторије </w:t>
      </w:r>
      <w:r w:rsidR="00586C7D">
        <w:rPr>
          <w:rFonts w:cs="Times New Roman"/>
          <w:lang w:val="ru-RU"/>
        </w:rPr>
        <w:t>СОРЗ</w:t>
      </w:r>
      <w:r w:rsidRPr="00FD6B73">
        <w:rPr>
          <w:rFonts w:cs="Times New Roman"/>
          <w:lang w:val="ru-RU"/>
        </w:rPr>
        <w:t xml:space="preserve">. </w:t>
      </w:r>
    </w:p>
    <w:p w14:paraId="6341BE42" w14:textId="06E7FAD0" w:rsidR="005A747D" w:rsidRPr="00FD6B73" w:rsidRDefault="00586C7D" w:rsidP="000E0D0C">
      <w:pPr>
        <w:shd w:val="clear" w:color="auto" w:fill="FFFFFF"/>
        <w:spacing w:after="120" w:line="240" w:lineRule="auto"/>
        <w:rPr>
          <w:color w:val="000000"/>
          <w:lang w:val="ru-RU"/>
        </w:rPr>
      </w:pPr>
      <w:r>
        <w:rPr>
          <w:color w:val="000000" w:themeColor="text1"/>
          <w:lang w:val="ru-RU"/>
        </w:rPr>
        <w:t>НСПРЗ</w:t>
      </w:r>
      <w:r w:rsidR="005A747D" w:rsidRPr="00FD6B73">
        <w:rPr>
          <w:rFonts w:eastAsia="Times New Roman" w:cs="Times New Roman"/>
          <w:color w:val="000000" w:themeColor="text1"/>
          <w:szCs w:val="24"/>
          <w:lang w:val="ru-RU"/>
        </w:rPr>
        <w:t xml:space="preserve"> </w:t>
      </w:r>
      <w:r w:rsidR="005A747D" w:rsidRPr="00FD6B73">
        <w:rPr>
          <w:color w:val="000000" w:themeColor="text1"/>
          <w:lang w:val="ru-RU"/>
        </w:rPr>
        <w:t>је као механизам за унапређење ефикасности истрага предви</w:t>
      </w:r>
      <w:r w:rsidR="0066645D" w:rsidRPr="00FD6B73">
        <w:rPr>
          <w:color w:val="000000" w:themeColor="text1"/>
          <w:lang w:val="ru-RU"/>
        </w:rPr>
        <w:t>ђено</w:t>
      </w:r>
      <w:r w:rsidR="00741390">
        <w:rPr>
          <w:color w:val="000000" w:themeColor="text1"/>
          <w:lang w:val="ru-RU"/>
        </w:rPr>
        <w:t xml:space="preserve"> </w:t>
      </w:r>
      <w:r w:rsidR="005A747D" w:rsidRPr="00FD6B73">
        <w:rPr>
          <w:color w:val="000000"/>
          <w:lang w:val="ru-RU"/>
        </w:rPr>
        <w:t xml:space="preserve">и усвајање заједничких интерних правила о раду </w:t>
      </w:r>
      <w:r>
        <w:rPr>
          <w:color w:val="000000"/>
          <w:lang w:val="ru-RU"/>
        </w:rPr>
        <w:t>ТРЗ</w:t>
      </w:r>
      <w:r w:rsidR="005A747D" w:rsidRPr="00FD6B73">
        <w:rPr>
          <w:color w:val="000000"/>
          <w:lang w:val="ru-RU"/>
        </w:rPr>
        <w:t xml:space="preserve"> и </w:t>
      </w:r>
      <w:r>
        <w:rPr>
          <w:color w:val="000000"/>
          <w:lang w:val="ru-RU"/>
        </w:rPr>
        <w:t>СОРЗ</w:t>
      </w:r>
      <w:r w:rsidR="005A747D" w:rsidRPr="00FD6B73">
        <w:rPr>
          <w:color w:val="000000"/>
          <w:lang w:val="ru-RU"/>
        </w:rPr>
        <w:t xml:space="preserve">, </w:t>
      </w:r>
      <w:r w:rsidR="005A747D" w:rsidRPr="00FD6B73">
        <w:rPr>
          <w:rFonts w:eastAsia="Times New Roman" w:cs="Times New Roman"/>
          <w:color w:val="000000"/>
          <w:szCs w:val="24"/>
          <w:lang w:val="ru-RU"/>
        </w:rPr>
        <w:t>донетих</w:t>
      </w:r>
      <w:r w:rsidR="005A747D" w:rsidRPr="00FD6B73">
        <w:rPr>
          <w:color w:val="000000"/>
          <w:lang w:val="ru-RU"/>
        </w:rPr>
        <w:t xml:space="preserve"> током другог квартала 2016. </w:t>
      </w:r>
      <w:r w:rsidR="005A747D" w:rsidRPr="00FD6B73">
        <w:rPr>
          <w:rFonts w:eastAsia="Times New Roman" w:cs="Times New Roman"/>
          <w:color w:val="000000"/>
          <w:szCs w:val="24"/>
          <w:lang w:val="ru-RU"/>
        </w:rPr>
        <w:t xml:space="preserve">године, на иницијативу </w:t>
      </w:r>
      <w:r>
        <w:rPr>
          <w:rFonts w:eastAsia="Times New Roman" w:cs="Times New Roman"/>
          <w:color w:val="000000"/>
          <w:szCs w:val="24"/>
          <w:lang w:val="ru-RU"/>
        </w:rPr>
        <w:t>ТРЗ</w:t>
      </w:r>
      <w:r w:rsidR="005A747D" w:rsidRPr="00FD6B73">
        <w:rPr>
          <w:rFonts w:eastAsia="Times New Roman" w:cs="Times New Roman"/>
          <w:color w:val="000000"/>
          <w:szCs w:val="24"/>
          <w:lang w:val="ru-RU"/>
        </w:rPr>
        <w:t>, а у циљу унапређења</w:t>
      </w:r>
      <w:r w:rsidR="005A747D" w:rsidRPr="00FD6B73">
        <w:rPr>
          <w:color w:val="000000"/>
          <w:lang w:val="ru-RU"/>
        </w:rPr>
        <w:t xml:space="preserve"> сарадње </w:t>
      </w:r>
      <w:r>
        <w:rPr>
          <w:color w:val="000000"/>
          <w:lang w:val="ru-RU"/>
        </w:rPr>
        <w:t>ТРЗ</w:t>
      </w:r>
      <w:r w:rsidRPr="00FD6B73">
        <w:rPr>
          <w:color w:val="000000"/>
          <w:lang w:val="ru-RU"/>
        </w:rPr>
        <w:t xml:space="preserve"> и </w:t>
      </w:r>
      <w:r>
        <w:rPr>
          <w:color w:val="000000"/>
          <w:lang w:val="ru-RU"/>
        </w:rPr>
        <w:t>СОРЗ</w:t>
      </w:r>
      <w:r w:rsidRPr="00FD6B73">
        <w:rPr>
          <w:color w:val="000000"/>
          <w:lang w:val="ru-RU"/>
        </w:rPr>
        <w:t xml:space="preserve"> </w:t>
      </w:r>
      <w:r w:rsidR="005A747D" w:rsidRPr="00FD6B73">
        <w:rPr>
          <w:color w:val="000000"/>
          <w:lang w:val="ru-RU"/>
        </w:rPr>
        <w:t>кроз:</w:t>
      </w:r>
      <w:r>
        <w:rPr>
          <w:color w:val="000000"/>
          <w:lang w:val="ru-RU"/>
        </w:rPr>
        <w:t xml:space="preserve"> </w:t>
      </w:r>
    </w:p>
    <w:p w14:paraId="6C2CDEDD" w14:textId="77777777" w:rsidR="00AF1189" w:rsidRPr="00FD6B73" w:rsidRDefault="00AF1189" w:rsidP="00180A8A">
      <w:pPr>
        <w:spacing w:after="120" w:line="240" w:lineRule="auto"/>
        <w:ind w:left="540"/>
        <w:rPr>
          <w:rFonts w:cs="Times New Roman"/>
          <w:lang w:val="ru-RU"/>
        </w:rPr>
      </w:pPr>
      <w:r w:rsidRPr="00FD6B73">
        <w:rPr>
          <w:rFonts w:cs="Times New Roman"/>
          <w:lang w:val="ru-RU"/>
        </w:rPr>
        <w:t>–  организовање заједничких обука;</w:t>
      </w:r>
    </w:p>
    <w:p w14:paraId="106EABEA" w14:textId="77777777" w:rsidR="00AF1189" w:rsidRPr="00FD6B73" w:rsidRDefault="00AF1189" w:rsidP="00180A8A">
      <w:pPr>
        <w:spacing w:after="120" w:line="240" w:lineRule="auto"/>
        <w:ind w:left="540"/>
        <w:rPr>
          <w:rFonts w:cs="Times New Roman"/>
          <w:lang w:val="ru-RU"/>
        </w:rPr>
      </w:pPr>
      <w:r w:rsidRPr="00FD6B73">
        <w:rPr>
          <w:rFonts w:cs="Times New Roman"/>
          <w:lang w:val="ru-RU"/>
        </w:rPr>
        <w:t>– формирање заједничког стратешког тима ради дефинисања смерница и праваца поступања у питањима од заједничког значаја;</w:t>
      </w:r>
    </w:p>
    <w:p w14:paraId="00C5EB94" w14:textId="77777777" w:rsidR="00AF1189" w:rsidRPr="00FD6B73" w:rsidRDefault="00AF1189" w:rsidP="00180A8A">
      <w:pPr>
        <w:spacing w:after="120" w:line="240" w:lineRule="auto"/>
        <w:ind w:left="540"/>
        <w:rPr>
          <w:rFonts w:cs="Times New Roman"/>
          <w:lang w:val="ru-RU"/>
        </w:rPr>
      </w:pPr>
      <w:r w:rsidRPr="00FD6B73">
        <w:rPr>
          <w:rFonts w:cs="Times New Roman"/>
          <w:lang w:val="ru-RU"/>
        </w:rPr>
        <w:t>– формирање заједничких оперативних тимова;</w:t>
      </w:r>
    </w:p>
    <w:p w14:paraId="43EB4FC0" w14:textId="77777777" w:rsidR="00AF1189" w:rsidRPr="00FD6B73" w:rsidRDefault="00AF1189" w:rsidP="00180A8A">
      <w:pPr>
        <w:spacing w:after="120" w:line="240" w:lineRule="auto"/>
        <w:ind w:left="540"/>
        <w:rPr>
          <w:rFonts w:cs="Times New Roman"/>
          <w:lang w:val="ru-RU"/>
        </w:rPr>
      </w:pPr>
      <w:r w:rsidRPr="00FD6B73">
        <w:rPr>
          <w:rFonts w:cs="Times New Roman"/>
          <w:lang w:val="ru-RU"/>
        </w:rPr>
        <w:t>– периодично заједничко организовање округлих столова ради размене искустава и унапређења заједничког деловања.</w:t>
      </w:r>
    </w:p>
    <w:p w14:paraId="355F616D" w14:textId="0FBB4F44" w:rsidR="00AF1189" w:rsidRPr="00FD6B73" w:rsidRDefault="00AF1189" w:rsidP="00F10AC7">
      <w:pPr>
        <w:spacing w:after="120" w:line="240" w:lineRule="auto"/>
        <w:rPr>
          <w:rFonts w:cs="Times New Roman"/>
          <w:lang w:val="ru-RU"/>
        </w:rPr>
      </w:pPr>
      <w:r w:rsidRPr="00FD6B73">
        <w:rPr>
          <w:rFonts w:cs="Times New Roman"/>
          <w:lang w:val="ru-RU"/>
        </w:rPr>
        <w:t xml:space="preserve">У контексту реализације </w:t>
      </w:r>
      <w:r w:rsidR="00586C7D">
        <w:rPr>
          <w:rFonts w:cs="Times New Roman"/>
          <w:lang w:val="ru-RU"/>
        </w:rPr>
        <w:t>ових</w:t>
      </w:r>
      <w:r w:rsidRPr="00FD6B73">
        <w:rPr>
          <w:rFonts w:cs="Times New Roman"/>
          <w:lang w:val="ru-RU"/>
        </w:rPr>
        <w:t xml:space="preserve"> активности, 2018. године, на иницијативу </w:t>
      </w:r>
      <w:r w:rsidR="00586C7D">
        <w:rPr>
          <w:rFonts w:cs="Times New Roman"/>
          <w:lang w:val="ru-RU"/>
        </w:rPr>
        <w:t>т</w:t>
      </w:r>
      <w:r w:rsidRPr="00FD6B73">
        <w:rPr>
          <w:rFonts w:cs="Times New Roman"/>
          <w:lang w:val="ru-RU"/>
        </w:rPr>
        <w:t xml:space="preserve">ужиоца за ратне злочине, начелник </w:t>
      </w:r>
      <w:r w:rsidR="00586C7D">
        <w:rPr>
          <w:rFonts w:cs="Times New Roman"/>
          <w:lang w:val="ru-RU"/>
        </w:rPr>
        <w:t>СОРЗ</w:t>
      </w:r>
      <w:r w:rsidRPr="00FD6B73">
        <w:rPr>
          <w:rFonts w:cs="Times New Roman"/>
          <w:lang w:val="ru-RU"/>
        </w:rPr>
        <w:t xml:space="preserve"> и тужилац за ратне злочине усвојили су заједничка интерна правила о раду. За рад на сваком појединачном предмету формирани су заједнички тимови који редовно одржавају састанке (на недељном нивоу) у циљу координације активнос</w:t>
      </w:r>
      <w:r w:rsidR="00586C7D">
        <w:rPr>
          <w:rFonts w:cs="Times New Roman"/>
          <w:lang w:val="ru-RU"/>
        </w:rPr>
        <w:t>ти. Поред тога, на иницијативу т</w:t>
      </w:r>
      <w:r w:rsidRPr="00FD6B73">
        <w:rPr>
          <w:rFonts w:cs="Times New Roman"/>
          <w:lang w:val="ru-RU"/>
        </w:rPr>
        <w:t xml:space="preserve">ужиоца за ратне злочине формиран је стратешки тим у сврху одређивања циљева и одлучивања у питањима од заједничког значаја, а чине га тужилац за ратне злочине и његови заменици, као и чланови </w:t>
      </w:r>
      <w:r w:rsidR="00586C7D">
        <w:rPr>
          <w:rFonts w:cs="Times New Roman"/>
          <w:lang w:val="ru-RU"/>
        </w:rPr>
        <w:t>СОРЗ</w:t>
      </w:r>
      <w:r w:rsidR="00586C7D" w:rsidRPr="00FD6B73">
        <w:rPr>
          <w:rFonts w:cs="Times New Roman"/>
          <w:lang w:val="ru-RU"/>
        </w:rPr>
        <w:t xml:space="preserve"> </w:t>
      </w:r>
      <w:r w:rsidRPr="00FD6B73">
        <w:rPr>
          <w:rFonts w:cs="Times New Roman"/>
          <w:lang w:val="ru-RU"/>
        </w:rPr>
        <w:t xml:space="preserve">– начелник и руководећи састав у Одељењу за откривање кривичних дела против човечности и међународног права и трагање за несталим лицима. </w:t>
      </w:r>
      <w:r w:rsidR="00586C7D">
        <w:rPr>
          <w:rFonts w:cs="Times New Roman"/>
          <w:lang w:val="ru-RU"/>
        </w:rPr>
        <w:t xml:space="preserve">  </w:t>
      </w:r>
    </w:p>
    <w:p w14:paraId="27296E63" w14:textId="6A459BDD" w:rsidR="00AF1189" w:rsidRPr="00FD6B73" w:rsidRDefault="00AF1189" w:rsidP="00F10AC7">
      <w:pPr>
        <w:pStyle w:val="NoSpacing"/>
        <w:spacing w:after="120"/>
        <w:jc w:val="both"/>
        <w:rPr>
          <w:rFonts w:ascii="Times New Roman" w:hAnsi="Times New Roman"/>
          <w:sz w:val="24"/>
          <w:szCs w:val="24"/>
          <w:lang w:val="ru-RU"/>
        </w:rPr>
      </w:pPr>
      <w:r w:rsidRPr="00FD6B73">
        <w:rPr>
          <w:rFonts w:ascii="Times New Roman" w:hAnsi="Times New Roman"/>
          <w:sz w:val="24"/>
          <w:szCs w:val="24"/>
          <w:lang w:val="ru-RU"/>
        </w:rPr>
        <w:t xml:space="preserve">Припадници </w:t>
      </w:r>
      <w:r w:rsidR="00586C7D" w:rsidRPr="00586C7D">
        <w:rPr>
          <w:rFonts w:ascii="Times New Roman" w:hAnsi="Times New Roman"/>
          <w:sz w:val="24"/>
          <w:szCs w:val="24"/>
          <w:lang w:val="ru-RU"/>
        </w:rPr>
        <w:t>СОРЗ</w:t>
      </w:r>
      <w:r w:rsidRPr="00FD6B73">
        <w:rPr>
          <w:rFonts w:ascii="Times New Roman" w:hAnsi="Times New Roman"/>
          <w:sz w:val="24"/>
          <w:szCs w:val="24"/>
          <w:lang w:val="ru-RU"/>
        </w:rPr>
        <w:t>, што самостално, што у сарадњи са ТРЗ, учествовали су на многим обукама, семинарима и радионицама организованим како у земљи тако и у иностранству.</w:t>
      </w:r>
    </w:p>
    <w:p w14:paraId="7B7C92FE" w14:textId="677D8E5C" w:rsidR="00FA02C9" w:rsidRPr="00FD6B73" w:rsidRDefault="00AF1189" w:rsidP="00FD6B73">
      <w:pPr>
        <w:spacing w:line="240" w:lineRule="auto"/>
        <w:rPr>
          <w:rFonts w:cs="Times New Roman"/>
          <w:lang w:val="ru-RU"/>
        </w:rPr>
      </w:pPr>
      <w:r w:rsidRPr="00FD6B73">
        <w:rPr>
          <w:rFonts w:cs="Times New Roman"/>
          <w:lang w:val="ru-RU"/>
        </w:rPr>
        <w:t xml:space="preserve">У организацији Тима пројекта </w:t>
      </w:r>
      <w:r w:rsidRPr="00CD46D4">
        <w:rPr>
          <w:rFonts w:cs="Times New Roman"/>
        </w:rPr>
        <w:t>WINPRO</w:t>
      </w:r>
      <w:r w:rsidRPr="00FD6B73">
        <w:rPr>
          <w:rFonts w:cs="Times New Roman"/>
          <w:lang w:val="ru-RU"/>
        </w:rPr>
        <w:t xml:space="preserve"> </w:t>
      </w:r>
      <w:r w:rsidRPr="00CD46D4">
        <w:rPr>
          <w:rFonts w:cs="Times New Roman"/>
        </w:rPr>
        <w:t>III</w:t>
      </w:r>
      <w:r w:rsidRPr="00FD6B73">
        <w:rPr>
          <w:rFonts w:cs="Times New Roman"/>
          <w:lang w:val="ru-RU"/>
        </w:rPr>
        <w:t xml:space="preserve"> и представника </w:t>
      </w:r>
      <w:r w:rsidRPr="00CD46D4">
        <w:rPr>
          <w:rFonts w:cs="Times New Roman"/>
        </w:rPr>
        <w:t>NI</w:t>
      </w:r>
      <w:r w:rsidRPr="00FD6B73">
        <w:rPr>
          <w:rFonts w:cs="Times New Roman"/>
          <w:lang w:val="ru-RU"/>
        </w:rPr>
        <w:t>-</w:t>
      </w:r>
      <w:r w:rsidRPr="00CD46D4">
        <w:rPr>
          <w:rFonts w:cs="Times New Roman"/>
        </w:rPr>
        <w:t>CO</w:t>
      </w:r>
      <w:r w:rsidRPr="00FD6B73">
        <w:rPr>
          <w:rFonts w:cs="Times New Roman"/>
          <w:lang w:val="ru-RU"/>
        </w:rPr>
        <w:t xml:space="preserve"> </w:t>
      </w:r>
      <w:r w:rsidRPr="00FD6B73">
        <w:rPr>
          <w:rFonts w:cs="Times New Roman"/>
          <w:color w:val="2D2D2D"/>
          <w:lang w:val="ru-RU"/>
        </w:rPr>
        <w:t>(</w:t>
      </w:r>
      <w:r w:rsidRPr="00CD46D4">
        <w:rPr>
          <w:rFonts w:cs="Times New Roman"/>
          <w:i/>
          <w:iCs/>
          <w:color w:val="2D2D2D"/>
        </w:rPr>
        <w:t>Northern</w:t>
      </w:r>
      <w:r w:rsidRPr="00FD6B73">
        <w:rPr>
          <w:rFonts w:cs="Times New Roman"/>
          <w:i/>
          <w:iCs/>
          <w:color w:val="2D2D2D"/>
          <w:lang w:val="ru-RU"/>
        </w:rPr>
        <w:t xml:space="preserve"> </w:t>
      </w:r>
      <w:r w:rsidRPr="00CD46D4">
        <w:rPr>
          <w:rFonts w:cs="Times New Roman"/>
          <w:i/>
          <w:iCs/>
          <w:color w:val="2D2D2D"/>
        </w:rPr>
        <w:t>Ireland</w:t>
      </w:r>
      <w:r w:rsidRPr="00FD6B73">
        <w:rPr>
          <w:rFonts w:cs="Times New Roman"/>
          <w:i/>
          <w:iCs/>
          <w:color w:val="2D2D2D"/>
          <w:lang w:val="ru-RU"/>
        </w:rPr>
        <w:t xml:space="preserve"> </w:t>
      </w:r>
      <w:r w:rsidRPr="00CD46D4">
        <w:rPr>
          <w:rFonts w:cs="Times New Roman"/>
          <w:i/>
          <w:iCs/>
          <w:color w:val="2D2D2D"/>
        </w:rPr>
        <w:t>Co</w:t>
      </w:r>
      <w:r w:rsidRPr="00FD6B73">
        <w:rPr>
          <w:rFonts w:cs="Times New Roman"/>
          <w:i/>
          <w:iCs/>
          <w:color w:val="2D2D2D"/>
          <w:lang w:val="ru-RU"/>
        </w:rPr>
        <w:t>-</w:t>
      </w:r>
      <w:r w:rsidRPr="00CD46D4">
        <w:rPr>
          <w:rFonts w:cs="Times New Roman"/>
          <w:i/>
          <w:iCs/>
          <w:color w:val="2D2D2D"/>
        </w:rPr>
        <w:t>operation</w:t>
      </w:r>
      <w:r w:rsidRPr="00FD6B73">
        <w:rPr>
          <w:rFonts w:cs="Times New Roman"/>
          <w:i/>
          <w:iCs/>
          <w:color w:val="2D2D2D"/>
          <w:lang w:val="ru-RU"/>
        </w:rPr>
        <w:t xml:space="preserve"> </w:t>
      </w:r>
      <w:r w:rsidRPr="00CD46D4">
        <w:rPr>
          <w:rFonts w:cs="Times New Roman"/>
          <w:i/>
          <w:iCs/>
          <w:color w:val="2D2D2D"/>
        </w:rPr>
        <w:t>Overseas</w:t>
      </w:r>
      <w:r w:rsidRPr="00FD6B73">
        <w:rPr>
          <w:rFonts w:cs="Times New Roman"/>
          <w:color w:val="2D2D2D"/>
          <w:lang w:val="ru-RU"/>
        </w:rPr>
        <w:t xml:space="preserve">), </w:t>
      </w:r>
      <w:r w:rsidRPr="00FD6B73">
        <w:rPr>
          <w:rFonts w:cs="Times New Roman"/>
          <w:color w:val="000000"/>
          <w:lang w:val="ru-RU"/>
        </w:rPr>
        <w:t>одржана је обука „</w:t>
      </w:r>
      <w:r w:rsidRPr="00FD6B73">
        <w:rPr>
          <w:rFonts w:cs="Times New Roman"/>
          <w:lang w:val="ru-RU"/>
        </w:rPr>
        <w:t>Подизање свести актера у Програму заштите</w:t>
      </w:r>
      <w:r w:rsidR="00586C7D">
        <w:rPr>
          <w:rFonts w:cs="Times New Roman"/>
          <w:lang w:val="ru-RU"/>
        </w:rPr>
        <w:t>ˮ</w:t>
      </w:r>
      <w:r w:rsidRPr="00FD6B73">
        <w:rPr>
          <w:rFonts w:cs="Times New Roman"/>
          <w:lang w:val="ru-RU"/>
        </w:rPr>
        <w:t xml:space="preserve"> – Сарадња у правосуђу у кривичним поступцима: </w:t>
      </w:r>
      <w:r w:rsidR="00AF0EC8" w:rsidRPr="00FD6B73">
        <w:rPr>
          <w:rFonts w:cs="Times New Roman"/>
          <w:szCs w:val="24"/>
          <w:lang w:val="ru-RU"/>
        </w:rPr>
        <w:t>„</w:t>
      </w:r>
      <w:r w:rsidRPr="00FD6B73">
        <w:rPr>
          <w:rFonts w:cs="Times New Roman"/>
          <w:szCs w:val="24"/>
          <w:lang w:val="ru-RU"/>
        </w:rPr>
        <w:t>Јачање заштите сведока у борби против организованог криминала, тероризма и корупције</w:t>
      </w:r>
      <w:r w:rsidR="00586C7D">
        <w:rPr>
          <w:rFonts w:cs="Times New Roman"/>
          <w:szCs w:val="24"/>
          <w:lang w:val="ru-RU"/>
        </w:rPr>
        <w:t>ˮ</w:t>
      </w:r>
      <w:r w:rsidRPr="00FD6B73">
        <w:rPr>
          <w:rFonts w:cs="Times New Roman"/>
          <w:szCs w:val="24"/>
          <w:lang w:val="ru-RU"/>
        </w:rPr>
        <w:t>.</w:t>
      </w:r>
      <w:r w:rsidR="00586C7D">
        <w:rPr>
          <w:rFonts w:cs="Times New Roman"/>
          <w:szCs w:val="24"/>
          <w:lang w:val="ru-RU"/>
        </w:rPr>
        <w:t xml:space="preserve"> </w:t>
      </w:r>
      <w:r w:rsidRPr="00FD6B73">
        <w:rPr>
          <w:rFonts w:cs="Times New Roman"/>
          <w:lang w:val="ru-RU"/>
        </w:rPr>
        <w:t xml:space="preserve">Такође, у организацији Тима пројекта </w:t>
      </w:r>
      <w:r w:rsidRPr="00CD46D4">
        <w:rPr>
          <w:rFonts w:cs="Times New Roman"/>
        </w:rPr>
        <w:t>WINPRO</w:t>
      </w:r>
      <w:r w:rsidRPr="00FD6B73">
        <w:rPr>
          <w:rFonts w:cs="Times New Roman"/>
          <w:lang w:val="ru-RU"/>
        </w:rPr>
        <w:t>, спроведена је и обука „Основи комуникације са медијима</w:t>
      </w:r>
      <w:r w:rsidR="00586C7D">
        <w:rPr>
          <w:rFonts w:cs="Times New Roman"/>
          <w:lang w:val="ru-RU"/>
        </w:rPr>
        <w:t xml:space="preserve">ˮ </w:t>
      </w:r>
      <w:r w:rsidRPr="00FD6B73">
        <w:rPr>
          <w:rFonts w:cs="Times New Roman"/>
          <w:lang w:val="ru-RU"/>
        </w:rPr>
        <w:t xml:space="preserve">- интерактивно предавање. У оквиру пројекта </w:t>
      </w:r>
      <w:r w:rsidR="00586C7D" w:rsidRPr="00FD6B73">
        <w:rPr>
          <w:rFonts w:cs="Times New Roman"/>
          <w:lang w:val="ru-RU"/>
        </w:rPr>
        <w:t xml:space="preserve">Мисије </w:t>
      </w:r>
      <w:r w:rsidR="00586C7D">
        <w:rPr>
          <w:rFonts w:cs="Times New Roman"/>
          <w:lang w:val="ru-RU"/>
        </w:rPr>
        <w:t>ОЕБС</w:t>
      </w:r>
      <w:r w:rsidRPr="00FD6B73">
        <w:rPr>
          <w:rFonts w:cs="Times New Roman"/>
          <w:lang w:val="ru-RU"/>
        </w:rPr>
        <w:t xml:space="preserve"> у Републици Србији </w:t>
      </w:r>
      <w:r w:rsidR="0070172A" w:rsidRPr="00FD6B73">
        <w:rPr>
          <w:rFonts w:cs="Times New Roman"/>
          <w:color w:val="000000"/>
          <w:lang w:val="ru-RU"/>
        </w:rPr>
        <w:t>„</w:t>
      </w:r>
      <w:r w:rsidRPr="00FD6B73">
        <w:rPr>
          <w:rFonts w:cs="Times New Roman"/>
          <w:lang w:val="ru-RU"/>
        </w:rPr>
        <w:t xml:space="preserve">Подршка праћењу домаћих суђења за ратне злочине (фаза </w:t>
      </w:r>
      <w:r w:rsidRPr="00CD46D4">
        <w:rPr>
          <w:rFonts w:cs="Times New Roman"/>
        </w:rPr>
        <w:t>II</w:t>
      </w:r>
      <w:r w:rsidRPr="00FD6B73">
        <w:rPr>
          <w:rFonts w:cs="Times New Roman"/>
          <w:lang w:val="ru-RU"/>
        </w:rPr>
        <w:t>)”, одржано је више обука, и то: „Међународно хуманитарно право и његова примена у суђењима за ратне злочине у Србији</w:t>
      </w:r>
      <w:r w:rsidR="00586C7D">
        <w:rPr>
          <w:rFonts w:cs="Times New Roman"/>
          <w:lang w:val="ru-RU"/>
        </w:rPr>
        <w:t xml:space="preserve">ˮ, </w:t>
      </w:r>
      <w:r w:rsidR="0070172A" w:rsidRPr="00FD6B73">
        <w:rPr>
          <w:rFonts w:cs="Times New Roman"/>
          <w:color w:val="000000"/>
          <w:lang w:val="ru-RU"/>
        </w:rPr>
        <w:t>„</w:t>
      </w:r>
      <w:r w:rsidRPr="00FD6B73">
        <w:rPr>
          <w:rFonts w:cs="Times New Roman"/>
          <w:lang w:val="ru-RU"/>
        </w:rPr>
        <w:t>Истраге у предметима ратних злочина”, „Поступање са сведоцима и оштећенима у предметима ратних злочина</w:t>
      </w:r>
      <w:r w:rsidR="00586C7D">
        <w:rPr>
          <w:rFonts w:cs="Times New Roman"/>
          <w:lang w:val="ru-RU"/>
        </w:rPr>
        <w:t>ˮ</w:t>
      </w:r>
      <w:r w:rsidRPr="00FD6B73">
        <w:rPr>
          <w:rFonts w:cs="Times New Roman"/>
          <w:lang w:val="ru-RU"/>
        </w:rPr>
        <w:t xml:space="preserve">, Студијска посета Хашком огранку </w:t>
      </w:r>
      <w:r w:rsidR="00586C7D" w:rsidRPr="00FD6B73">
        <w:rPr>
          <w:rFonts w:cs="Times New Roman"/>
          <w:lang w:val="ru-RU"/>
        </w:rPr>
        <w:t xml:space="preserve">МРМКС </w:t>
      </w:r>
      <w:r w:rsidRPr="00FD6B73">
        <w:rPr>
          <w:rFonts w:cs="Times New Roman"/>
          <w:lang w:val="ru-RU"/>
        </w:rPr>
        <w:t>и Међународном кривичном суду у Хагу, „Ванпроцесна заштита сведока</w:t>
      </w:r>
      <w:r w:rsidR="00586C7D">
        <w:rPr>
          <w:rFonts w:cs="Times New Roman"/>
          <w:lang w:val="ru-RU"/>
        </w:rPr>
        <w:t>ˮ</w:t>
      </w:r>
      <w:r w:rsidRPr="00FD6B73">
        <w:rPr>
          <w:rFonts w:cs="Times New Roman"/>
          <w:lang w:val="ru-RU"/>
        </w:rPr>
        <w:t>, „Ефикасна комуникација и односи са јавношћу у правосуђу</w:t>
      </w:r>
      <w:r w:rsidR="00586C7D">
        <w:rPr>
          <w:rFonts w:cs="Times New Roman"/>
          <w:lang w:val="ru-RU"/>
        </w:rPr>
        <w:t>ˮ</w:t>
      </w:r>
      <w:r w:rsidRPr="00FD6B73">
        <w:rPr>
          <w:rFonts w:cs="Times New Roman"/>
          <w:lang w:val="ru-RU"/>
        </w:rPr>
        <w:t>, као и „</w:t>
      </w:r>
      <w:r w:rsidRPr="00CD46D4">
        <w:rPr>
          <w:rFonts w:cs="Times New Roman"/>
        </w:rPr>
        <w:t>IV</w:t>
      </w:r>
      <w:r w:rsidRPr="00FD6B73">
        <w:rPr>
          <w:rFonts w:cs="Times New Roman"/>
          <w:lang w:val="ru-RU"/>
        </w:rPr>
        <w:t xml:space="preserve"> обука</w:t>
      </w:r>
      <w:r w:rsidR="00586C7D">
        <w:rPr>
          <w:rFonts w:cs="Times New Roman"/>
          <w:lang w:val="ru-RU"/>
        </w:rPr>
        <w:t>ˮ</w:t>
      </w:r>
      <w:r w:rsidRPr="00FD6B73">
        <w:rPr>
          <w:rFonts w:cs="Times New Roman"/>
          <w:lang w:val="ru-RU"/>
        </w:rPr>
        <w:t xml:space="preserve"> у оквиру другог ОЕБС-овог пројекта </w:t>
      </w:r>
      <w:r w:rsidRPr="00FD6B73">
        <w:rPr>
          <w:rFonts w:cs="Times New Roman"/>
          <w:color w:val="000000"/>
          <w:lang w:val="ru-RU"/>
        </w:rPr>
        <w:t>„Унапређење капацитета српске полиције у борби против корупције</w:t>
      </w:r>
      <w:r w:rsidR="00586C7D">
        <w:rPr>
          <w:rFonts w:cs="Times New Roman"/>
          <w:color w:val="000000"/>
          <w:lang w:val="ru-RU"/>
        </w:rPr>
        <w:t>ˮ</w:t>
      </w:r>
      <w:r w:rsidRPr="00FD6B73">
        <w:rPr>
          <w:rFonts w:cs="Times New Roman"/>
          <w:color w:val="000000"/>
          <w:lang w:val="ru-RU"/>
        </w:rPr>
        <w:t>.</w:t>
      </w:r>
      <w:r w:rsidR="00586C7D">
        <w:rPr>
          <w:rFonts w:cs="Times New Roman"/>
          <w:color w:val="000000"/>
          <w:lang w:val="ru-RU"/>
        </w:rPr>
        <w:t xml:space="preserve"> </w:t>
      </w:r>
    </w:p>
    <w:p w14:paraId="752021F7" w14:textId="0BBF8EB0" w:rsidR="00AF1189" w:rsidRPr="00FD6B73" w:rsidRDefault="007A71C8" w:rsidP="00F10AC7">
      <w:pPr>
        <w:pStyle w:val="Heading4"/>
        <w:spacing w:after="240" w:line="240" w:lineRule="auto"/>
        <w:rPr>
          <w:rFonts w:cs="Times New Roman"/>
          <w:lang w:val="ru-RU"/>
        </w:rPr>
      </w:pPr>
      <w:bookmarkStart w:id="18" w:name="_Toc69325781"/>
      <w:r>
        <w:rPr>
          <w:rFonts w:cs="Times New Roman"/>
          <w:lang w:val="ru-RU"/>
        </w:rPr>
        <w:lastRenderedPageBreak/>
        <w:t>Б</w:t>
      </w:r>
      <w:r w:rsidR="00AF1189" w:rsidRPr="00FD6B73">
        <w:rPr>
          <w:rFonts w:cs="Times New Roman"/>
          <w:lang w:val="ru-RU"/>
        </w:rPr>
        <w:t>) Статистички параметри ефикасности у контексту истраге и оптужења у поступцима за ратне злочине</w:t>
      </w:r>
      <w:bookmarkEnd w:id="18"/>
    </w:p>
    <w:p w14:paraId="6CC3FF22" w14:textId="279DBEB3" w:rsidR="00AF1189" w:rsidRPr="00FD6B73" w:rsidRDefault="00AF1189" w:rsidP="00F10AC7">
      <w:pPr>
        <w:spacing w:after="120" w:line="240" w:lineRule="auto"/>
        <w:rPr>
          <w:rFonts w:cs="Times New Roman"/>
          <w:color w:val="000000"/>
          <w:lang w:val="ru-RU"/>
        </w:rPr>
      </w:pPr>
      <w:r w:rsidRPr="00FD6B73">
        <w:rPr>
          <w:rFonts w:cs="Times New Roman"/>
          <w:lang w:val="ru-RU"/>
        </w:rPr>
        <w:t>Када је реч о статистичким параметрима везаним за фазу предистражног поступка и истраге у процесурирањ</w:t>
      </w:r>
      <w:r w:rsidR="00EC58CB">
        <w:rPr>
          <w:rFonts w:cs="Times New Roman"/>
          <w:lang w:val="ru-RU"/>
        </w:rPr>
        <w:t xml:space="preserve">у ратних злочина у периоду 2016. до </w:t>
      </w:r>
      <w:r w:rsidRPr="00FD6B73">
        <w:rPr>
          <w:rFonts w:cs="Times New Roman"/>
          <w:lang w:val="ru-RU"/>
        </w:rPr>
        <w:t>2020</w:t>
      </w:r>
      <w:r w:rsidR="00EC58CB">
        <w:rPr>
          <w:rFonts w:cs="Times New Roman"/>
          <w:lang w:val="ru-RU"/>
        </w:rPr>
        <w:t>. године</w:t>
      </w:r>
      <w:r w:rsidRPr="00FD6B73">
        <w:rPr>
          <w:rFonts w:cs="Times New Roman"/>
          <w:lang w:val="ru-RU"/>
        </w:rPr>
        <w:t>, важно је напоменути да је у</w:t>
      </w:r>
      <w:r w:rsidRPr="00FD6B73">
        <w:rPr>
          <w:rFonts w:cs="Times New Roman"/>
          <w:color w:val="000000"/>
          <w:lang w:val="ru-RU"/>
        </w:rPr>
        <w:t xml:space="preserve"> извештајном периоду </w:t>
      </w:r>
      <w:r w:rsidR="00895065" w:rsidRPr="00FD6B73">
        <w:rPr>
          <w:rFonts w:cs="Times New Roman"/>
          <w:color w:val="000000"/>
          <w:lang w:val="ru-RU"/>
        </w:rPr>
        <w:t>донето</w:t>
      </w:r>
      <w:r w:rsidRPr="00FD6B73">
        <w:rPr>
          <w:rFonts w:cs="Times New Roman"/>
          <w:color w:val="000000"/>
          <w:lang w:val="ru-RU"/>
        </w:rPr>
        <w:t xml:space="preserve"> 35 наредби о спровођењу истраге против 45 лица, при чему је у истом </w:t>
      </w:r>
      <w:r w:rsidRPr="00FD6B73">
        <w:rPr>
          <w:rFonts w:cs="Times New Roman"/>
          <w:lang w:val="ru-RU"/>
        </w:rPr>
        <w:t xml:space="preserve">периоду обустављена истрага у </w:t>
      </w:r>
      <w:r w:rsidR="00EC58CB">
        <w:rPr>
          <w:rFonts w:cs="Times New Roman"/>
          <w:color w:val="000000"/>
          <w:lang w:val="ru-RU"/>
        </w:rPr>
        <w:t>десет</w:t>
      </w:r>
      <w:r w:rsidRPr="00FD6B73">
        <w:rPr>
          <w:rFonts w:cs="Times New Roman"/>
          <w:color w:val="000000"/>
          <w:lang w:val="ru-RU"/>
        </w:rPr>
        <w:t xml:space="preserve"> предмета у односу на 22 лица.</w:t>
      </w:r>
    </w:p>
    <w:p w14:paraId="361FA5AD" w14:textId="77777777" w:rsidR="00C127D9" w:rsidRPr="00FD6B73" w:rsidRDefault="00C127D9" w:rsidP="00F10AC7">
      <w:pPr>
        <w:spacing w:after="120" w:line="240" w:lineRule="auto"/>
        <w:rPr>
          <w:rFonts w:cs="Times New Roman"/>
          <w:color w:val="000000"/>
          <w:lang w:val="ru-RU"/>
        </w:rPr>
      </w:pPr>
    </w:p>
    <w:p w14:paraId="7723AE18" w14:textId="4B4A4A69" w:rsidR="00AF1189" w:rsidRPr="00FD6B73" w:rsidRDefault="00AF1189" w:rsidP="00F10AC7">
      <w:pPr>
        <w:spacing w:after="120" w:line="240" w:lineRule="auto"/>
        <w:jc w:val="center"/>
        <w:rPr>
          <w:rFonts w:cs="Times New Roman"/>
          <w:sz w:val="20"/>
          <w:szCs w:val="20"/>
          <w:lang w:val="ru-RU"/>
        </w:rPr>
      </w:pPr>
      <w:r w:rsidRPr="00FD6B73">
        <w:rPr>
          <w:rFonts w:cs="Times New Roman"/>
          <w:color w:val="000000"/>
          <w:sz w:val="20"/>
          <w:szCs w:val="20"/>
          <w:lang w:val="ru-RU"/>
        </w:rPr>
        <w:t>Табела 1: Број нерешених предмета у ТРЗ по го</w:t>
      </w:r>
      <w:r w:rsidR="00741390">
        <w:rPr>
          <w:rFonts w:cs="Times New Roman"/>
          <w:color w:val="000000"/>
          <w:sz w:val="20"/>
          <w:szCs w:val="20"/>
          <w:lang w:val="ru-RU"/>
        </w:rPr>
        <w:t>динама у периоду од 01.01.2016. године</w:t>
      </w:r>
      <w:r w:rsidRPr="00FD6B73">
        <w:rPr>
          <w:rFonts w:cs="Times New Roman"/>
          <w:color w:val="000000"/>
          <w:sz w:val="20"/>
          <w:szCs w:val="20"/>
          <w:lang w:val="ru-RU"/>
        </w:rPr>
        <w:t xml:space="preserve"> до 31.12.2020. године</w:t>
      </w:r>
    </w:p>
    <w:tbl>
      <w:tblPr>
        <w:tblW w:w="9355" w:type="dxa"/>
        <w:tblCellMar>
          <w:top w:w="15" w:type="dxa"/>
          <w:left w:w="15" w:type="dxa"/>
          <w:bottom w:w="15" w:type="dxa"/>
          <w:right w:w="15" w:type="dxa"/>
        </w:tblCellMar>
        <w:tblLook w:val="04A0" w:firstRow="1" w:lastRow="0" w:firstColumn="1" w:lastColumn="0" w:noHBand="0" w:noVBand="1"/>
      </w:tblPr>
      <w:tblGrid>
        <w:gridCol w:w="2605"/>
        <w:gridCol w:w="3960"/>
        <w:gridCol w:w="2790"/>
      </w:tblGrid>
      <w:tr w:rsidR="00AF1189" w:rsidRPr="00CD46D4" w14:paraId="04E09368" w14:textId="77777777" w:rsidTr="00AF1189">
        <w:trPr>
          <w:trHeight w:val="289"/>
        </w:trPr>
        <w:tc>
          <w:tcPr>
            <w:tcW w:w="2605"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Mar>
              <w:top w:w="0" w:type="dxa"/>
              <w:left w:w="108" w:type="dxa"/>
              <w:bottom w:w="0" w:type="dxa"/>
              <w:right w:w="108" w:type="dxa"/>
            </w:tcMar>
            <w:hideMark/>
          </w:tcPr>
          <w:p w14:paraId="2EDABD2A"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Година</w:t>
            </w:r>
          </w:p>
        </w:tc>
        <w:tc>
          <w:tcPr>
            <w:tcW w:w="39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Mar>
              <w:top w:w="0" w:type="dxa"/>
              <w:left w:w="108" w:type="dxa"/>
              <w:bottom w:w="0" w:type="dxa"/>
              <w:right w:w="108" w:type="dxa"/>
            </w:tcMar>
            <w:hideMark/>
          </w:tcPr>
          <w:p w14:paraId="1897C436"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КТ</w:t>
            </w:r>
          </w:p>
          <w:p w14:paraId="114EF7D4"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(предмет и лица)</w:t>
            </w:r>
          </w:p>
        </w:tc>
        <w:tc>
          <w:tcPr>
            <w:tcW w:w="279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Mar>
              <w:top w:w="0" w:type="dxa"/>
              <w:left w:w="108" w:type="dxa"/>
              <w:bottom w:w="0" w:type="dxa"/>
              <w:right w:w="108" w:type="dxa"/>
            </w:tcMar>
            <w:hideMark/>
          </w:tcPr>
          <w:p w14:paraId="1D8639F0"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КТИ</w:t>
            </w:r>
          </w:p>
          <w:p w14:paraId="41696F53"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(предмет и лица)</w:t>
            </w:r>
          </w:p>
        </w:tc>
      </w:tr>
      <w:tr w:rsidR="00AF1189" w:rsidRPr="00CD46D4" w14:paraId="1932FCD6" w14:textId="77777777" w:rsidTr="00AF1189">
        <w:trPr>
          <w:trHeight w:val="279"/>
        </w:trPr>
        <w:tc>
          <w:tcPr>
            <w:tcW w:w="2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839E80" w14:textId="693C7183" w:rsidR="00AF1189" w:rsidRPr="00CD46D4" w:rsidRDefault="00EC58CB" w:rsidP="00F10AC7">
            <w:pPr>
              <w:spacing w:after="120" w:line="240" w:lineRule="auto"/>
              <w:jc w:val="center"/>
              <w:rPr>
                <w:rFonts w:cs="Times New Roman"/>
                <w:szCs w:val="24"/>
              </w:rPr>
            </w:pPr>
            <w:r>
              <w:rPr>
                <w:rFonts w:cs="Times New Roman"/>
                <w:color w:val="000000"/>
                <w:szCs w:val="24"/>
              </w:rPr>
              <w:t>2016</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64644C"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3 предмета; 13 лица</w:t>
            </w:r>
          </w:p>
        </w:tc>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68A29C"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1 предмет; 1 лице</w:t>
            </w:r>
          </w:p>
        </w:tc>
      </w:tr>
      <w:tr w:rsidR="00AF1189" w:rsidRPr="00CD46D4" w14:paraId="2B9EEA0C" w14:textId="77777777" w:rsidTr="00AF1189">
        <w:trPr>
          <w:trHeight w:val="289"/>
        </w:trPr>
        <w:tc>
          <w:tcPr>
            <w:tcW w:w="2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1A6021" w14:textId="7C96D8F1" w:rsidR="00AF1189" w:rsidRPr="00CD46D4" w:rsidRDefault="00EC58CB" w:rsidP="00F10AC7">
            <w:pPr>
              <w:spacing w:after="120" w:line="240" w:lineRule="auto"/>
              <w:jc w:val="center"/>
              <w:rPr>
                <w:rFonts w:cs="Times New Roman"/>
                <w:szCs w:val="24"/>
              </w:rPr>
            </w:pPr>
            <w:r>
              <w:rPr>
                <w:rFonts w:cs="Times New Roman"/>
                <w:color w:val="000000"/>
                <w:szCs w:val="24"/>
              </w:rPr>
              <w:t>2017</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E6A948"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9 предмета; 31 лице</w:t>
            </w:r>
          </w:p>
        </w:tc>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F8FA16"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w:t>
            </w:r>
          </w:p>
        </w:tc>
      </w:tr>
      <w:tr w:rsidR="00AF1189" w:rsidRPr="00CD46D4" w14:paraId="4C588AB2" w14:textId="77777777" w:rsidTr="00AF1189">
        <w:trPr>
          <w:trHeight w:val="289"/>
        </w:trPr>
        <w:tc>
          <w:tcPr>
            <w:tcW w:w="2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58FDA" w14:textId="2A37F5CB" w:rsidR="00AF1189" w:rsidRPr="00CD46D4" w:rsidRDefault="00EC58CB" w:rsidP="00F10AC7">
            <w:pPr>
              <w:spacing w:after="120" w:line="240" w:lineRule="auto"/>
              <w:jc w:val="center"/>
              <w:rPr>
                <w:rFonts w:cs="Times New Roman"/>
                <w:szCs w:val="24"/>
              </w:rPr>
            </w:pPr>
            <w:r>
              <w:rPr>
                <w:rFonts w:cs="Times New Roman"/>
                <w:color w:val="000000"/>
                <w:szCs w:val="24"/>
              </w:rPr>
              <w:t>2018</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EC483B"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5 предмета; 15 лица</w:t>
            </w:r>
          </w:p>
        </w:tc>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9BD574"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w:t>
            </w:r>
          </w:p>
        </w:tc>
      </w:tr>
      <w:tr w:rsidR="00AF1189" w:rsidRPr="00CD46D4" w14:paraId="6F6B0E73" w14:textId="77777777" w:rsidTr="00AF1189">
        <w:trPr>
          <w:trHeight w:val="279"/>
        </w:trPr>
        <w:tc>
          <w:tcPr>
            <w:tcW w:w="2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CDBA68" w14:textId="753E8028" w:rsidR="00AF1189" w:rsidRPr="00CD46D4" w:rsidRDefault="00EC58CB" w:rsidP="00F10AC7">
            <w:pPr>
              <w:spacing w:after="120" w:line="240" w:lineRule="auto"/>
              <w:jc w:val="center"/>
              <w:rPr>
                <w:rFonts w:cs="Times New Roman"/>
                <w:szCs w:val="24"/>
              </w:rPr>
            </w:pPr>
            <w:r>
              <w:rPr>
                <w:rFonts w:cs="Times New Roman"/>
                <w:color w:val="000000"/>
                <w:szCs w:val="24"/>
              </w:rPr>
              <w:t>2019</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752FA1"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4 предмета; 12 лица</w:t>
            </w:r>
          </w:p>
        </w:tc>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B0F31B"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1 предмет; 1 лице</w:t>
            </w:r>
          </w:p>
        </w:tc>
      </w:tr>
      <w:tr w:rsidR="00AF1189" w:rsidRPr="00CD46D4" w14:paraId="2CA0CC47" w14:textId="77777777" w:rsidTr="00AF1189">
        <w:trPr>
          <w:trHeight w:val="289"/>
        </w:trPr>
        <w:tc>
          <w:tcPr>
            <w:tcW w:w="2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164217" w14:textId="035796E2" w:rsidR="00AF1189" w:rsidRPr="00CD46D4" w:rsidRDefault="00EC58CB" w:rsidP="00F10AC7">
            <w:pPr>
              <w:spacing w:after="120" w:line="240" w:lineRule="auto"/>
              <w:jc w:val="center"/>
              <w:rPr>
                <w:rFonts w:cs="Times New Roman"/>
                <w:szCs w:val="24"/>
              </w:rPr>
            </w:pPr>
            <w:r>
              <w:rPr>
                <w:rFonts w:cs="Times New Roman"/>
                <w:color w:val="000000"/>
                <w:szCs w:val="24"/>
              </w:rPr>
              <w:t>2020</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F27758"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w:t>
            </w:r>
          </w:p>
        </w:tc>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D96913"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2 предмета; 2 лица</w:t>
            </w:r>
          </w:p>
        </w:tc>
      </w:tr>
      <w:tr w:rsidR="00AF1189" w:rsidRPr="00CD46D4" w14:paraId="77112B5B" w14:textId="77777777" w:rsidTr="00AF1189">
        <w:trPr>
          <w:trHeight w:val="289"/>
        </w:trPr>
        <w:tc>
          <w:tcPr>
            <w:tcW w:w="26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C9997C"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Укупно:</w:t>
            </w:r>
          </w:p>
        </w:tc>
        <w:tc>
          <w:tcPr>
            <w:tcW w:w="39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11EDC8"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21 предмет; 71 лице</w:t>
            </w:r>
          </w:p>
        </w:tc>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DBF34A"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4 предмета; 4 лица</w:t>
            </w:r>
          </w:p>
        </w:tc>
      </w:tr>
    </w:tbl>
    <w:p w14:paraId="68B93B37" w14:textId="77777777" w:rsidR="00AF1189" w:rsidRPr="00FD6B73" w:rsidRDefault="00AF1189" w:rsidP="00620442">
      <w:pPr>
        <w:spacing w:before="240" w:after="0" w:line="240" w:lineRule="auto"/>
        <w:rPr>
          <w:rFonts w:cs="Times New Roman"/>
          <w:lang w:val="ru-RU"/>
        </w:rPr>
      </w:pPr>
      <w:r w:rsidRPr="00FD6B73">
        <w:rPr>
          <w:rFonts w:cs="Times New Roman"/>
          <w:lang w:val="ru-RU"/>
        </w:rPr>
        <w:t xml:space="preserve">На бази података представљених у Табели 1, на Графику 2, приказани су трендови броја нерешених предмета по годинама, као и број лица обухваћених тим предметима. </w:t>
      </w:r>
    </w:p>
    <w:p w14:paraId="2521A23F" w14:textId="77777777" w:rsidR="00620442" w:rsidRPr="00FD6B73" w:rsidRDefault="00620442" w:rsidP="00F10AC7">
      <w:pPr>
        <w:spacing w:before="240" w:after="120" w:line="240" w:lineRule="auto"/>
        <w:rPr>
          <w:rFonts w:cs="Times New Roman"/>
          <w:lang w:val="ru-RU"/>
        </w:rPr>
      </w:pPr>
    </w:p>
    <w:p w14:paraId="165A08A1" w14:textId="5E8371E6" w:rsidR="00AF1189" w:rsidRPr="00FD6B73" w:rsidRDefault="00AF1189" w:rsidP="00F10AC7">
      <w:pPr>
        <w:spacing w:after="120" w:line="240" w:lineRule="auto"/>
        <w:jc w:val="center"/>
        <w:rPr>
          <w:rFonts w:cs="Times New Roman"/>
          <w:sz w:val="20"/>
          <w:szCs w:val="20"/>
          <w:lang w:val="ru-RU"/>
        </w:rPr>
      </w:pPr>
      <w:r w:rsidRPr="00FD6B73">
        <w:rPr>
          <w:rFonts w:cs="Times New Roman"/>
          <w:sz w:val="20"/>
          <w:szCs w:val="20"/>
          <w:lang w:val="ru-RU"/>
        </w:rPr>
        <w:t xml:space="preserve">График 2: </w:t>
      </w:r>
      <w:r w:rsidRPr="00FD6B73">
        <w:rPr>
          <w:rFonts w:cs="Times New Roman"/>
          <w:color w:val="000000"/>
          <w:sz w:val="20"/>
          <w:szCs w:val="20"/>
          <w:lang w:val="ru-RU"/>
        </w:rPr>
        <w:t>Нерешени предмети у ТРЗ по годинама у периоду од 01.01.2016.</w:t>
      </w:r>
      <w:r w:rsidR="00741390">
        <w:rPr>
          <w:rFonts w:cs="Times New Roman"/>
          <w:color w:val="000000"/>
          <w:sz w:val="20"/>
          <w:szCs w:val="20"/>
          <w:lang w:val="ru-RU"/>
        </w:rPr>
        <w:t xml:space="preserve"> </w:t>
      </w:r>
      <w:r w:rsidRPr="00FD6B73">
        <w:rPr>
          <w:rFonts w:cs="Times New Roman"/>
          <w:color w:val="000000"/>
          <w:sz w:val="20"/>
          <w:szCs w:val="20"/>
          <w:lang w:val="ru-RU"/>
        </w:rPr>
        <w:t>г</w:t>
      </w:r>
      <w:r w:rsidR="00741390">
        <w:rPr>
          <w:rFonts w:cs="Times New Roman"/>
          <w:color w:val="000000"/>
          <w:sz w:val="20"/>
          <w:szCs w:val="20"/>
          <w:lang w:val="ru-RU"/>
        </w:rPr>
        <w:t>одине</w:t>
      </w:r>
      <w:r w:rsidRPr="00FD6B73">
        <w:rPr>
          <w:rFonts w:cs="Times New Roman"/>
          <w:color w:val="000000"/>
          <w:sz w:val="20"/>
          <w:szCs w:val="20"/>
          <w:lang w:val="ru-RU"/>
        </w:rPr>
        <w:t xml:space="preserve"> до 31.12.2020.године</w:t>
      </w:r>
    </w:p>
    <w:p w14:paraId="1709D5BE" w14:textId="77777777" w:rsidR="00AF1189" w:rsidRPr="00CD46D4" w:rsidRDefault="00AF1189" w:rsidP="00F10AC7">
      <w:pPr>
        <w:spacing w:after="120" w:line="240" w:lineRule="auto"/>
        <w:jc w:val="center"/>
        <w:rPr>
          <w:rFonts w:cs="Times New Roman"/>
        </w:rPr>
      </w:pPr>
      <w:r w:rsidRPr="00CD46D4">
        <w:rPr>
          <w:rFonts w:cs="Times New Roman"/>
          <w:noProof/>
        </w:rPr>
        <w:drawing>
          <wp:inline distT="0" distB="0" distL="0" distR="0" wp14:anchorId="6372F771" wp14:editId="4C8B907A">
            <wp:extent cx="5321079" cy="2806810"/>
            <wp:effectExtent l="0" t="0" r="13335" b="1270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F5997E9" w14:textId="77777777" w:rsidR="00C127D9" w:rsidRDefault="00C127D9" w:rsidP="000E0D0C">
      <w:pPr>
        <w:spacing w:after="120" w:line="240" w:lineRule="auto"/>
        <w:rPr>
          <w:rFonts w:cs="Times New Roman"/>
        </w:rPr>
      </w:pPr>
    </w:p>
    <w:p w14:paraId="5B25C732" w14:textId="75D74CE3" w:rsidR="00C127D9" w:rsidRDefault="00AF1189" w:rsidP="00F10AC7">
      <w:pPr>
        <w:spacing w:after="120" w:line="240" w:lineRule="auto"/>
        <w:rPr>
          <w:rFonts w:cs="Times New Roman"/>
          <w:color w:val="000000"/>
          <w:lang w:val="ru-RU"/>
        </w:rPr>
      </w:pPr>
      <w:bookmarkStart w:id="19" w:name="_Hlk70299253"/>
      <w:r w:rsidRPr="00FD6B73">
        <w:rPr>
          <w:rFonts w:cs="Times New Roman"/>
          <w:lang w:val="ru-RU"/>
        </w:rPr>
        <w:t xml:space="preserve">Када је реч о броју подигнутих оптужница у посматраном периоду </w:t>
      </w:r>
      <w:r w:rsidRPr="00FD6B73">
        <w:rPr>
          <w:rFonts w:cs="Times New Roman"/>
          <w:color w:val="000000"/>
          <w:lang w:val="ru-RU"/>
        </w:rPr>
        <w:t xml:space="preserve">у </w:t>
      </w:r>
      <w:r w:rsidR="00EC58CB">
        <w:rPr>
          <w:rFonts w:cs="Times New Roman"/>
          <w:color w:val="000000"/>
          <w:lang w:val="ru-RU"/>
        </w:rPr>
        <w:t xml:space="preserve">ТРЗ у периоду од 01. јануара 2016. до 31. децембра </w:t>
      </w:r>
      <w:r w:rsidRPr="00FD6B73">
        <w:rPr>
          <w:rFonts w:cs="Times New Roman"/>
          <w:color w:val="000000"/>
          <w:lang w:val="ru-RU"/>
        </w:rPr>
        <w:t>2020. године подигнуте су 34 оптужниц</w:t>
      </w:r>
      <w:r w:rsidRPr="00FD6B73">
        <w:rPr>
          <w:rFonts w:cs="Times New Roman"/>
          <w:lang w:val="ru-RU"/>
        </w:rPr>
        <w:t>е</w:t>
      </w:r>
      <w:r w:rsidR="00741390">
        <w:rPr>
          <w:rFonts w:cs="Times New Roman"/>
          <w:lang w:val="ru-RU"/>
        </w:rPr>
        <w:t xml:space="preserve"> </w:t>
      </w:r>
      <w:r w:rsidRPr="00FD6B73">
        <w:rPr>
          <w:rFonts w:cs="Times New Roman"/>
          <w:color w:val="000000"/>
          <w:lang w:val="ru-RU"/>
        </w:rPr>
        <w:t xml:space="preserve">против 45 лица. Од тога 22 оптужнице (65%) су преузете од стране </w:t>
      </w:r>
      <w:r w:rsidR="00EC58CB">
        <w:rPr>
          <w:rFonts w:cs="Times New Roman"/>
          <w:color w:val="000000"/>
          <w:lang w:val="ru-RU"/>
        </w:rPr>
        <w:t>Босне и Херцеговине</w:t>
      </w:r>
      <w:r w:rsidRPr="00FD6B73">
        <w:rPr>
          <w:rFonts w:cs="Times New Roman"/>
          <w:color w:val="000000"/>
          <w:lang w:val="ru-RU"/>
        </w:rPr>
        <w:t xml:space="preserve"> у односу на 23 лица</w:t>
      </w:r>
      <w:bookmarkEnd w:id="19"/>
      <w:r w:rsidRPr="00FD6B73">
        <w:rPr>
          <w:rFonts w:cs="Times New Roman"/>
          <w:color w:val="000000"/>
          <w:lang w:val="ru-RU"/>
        </w:rPr>
        <w:t>.</w:t>
      </w:r>
    </w:p>
    <w:p w14:paraId="5FAD9101" w14:textId="72302F04" w:rsidR="00EC58CB" w:rsidRDefault="00EC58CB" w:rsidP="00F10AC7">
      <w:pPr>
        <w:spacing w:after="120" w:line="240" w:lineRule="auto"/>
        <w:rPr>
          <w:rFonts w:cs="Times New Roman"/>
          <w:color w:val="000000"/>
          <w:lang w:val="ru-RU"/>
        </w:rPr>
      </w:pPr>
    </w:p>
    <w:p w14:paraId="3D88AB9B" w14:textId="35F6A37F" w:rsidR="00EC58CB" w:rsidRDefault="00EC58CB" w:rsidP="00F10AC7">
      <w:pPr>
        <w:spacing w:after="120" w:line="240" w:lineRule="auto"/>
        <w:rPr>
          <w:rFonts w:cs="Times New Roman"/>
          <w:color w:val="000000"/>
          <w:lang w:val="ru-RU"/>
        </w:rPr>
      </w:pPr>
    </w:p>
    <w:p w14:paraId="51EB1873" w14:textId="77777777" w:rsidR="00EC58CB" w:rsidRPr="00FD6B73" w:rsidRDefault="00EC58CB" w:rsidP="00F10AC7">
      <w:pPr>
        <w:spacing w:after="120" w:line="240" w:lineRule="auto"/>
        <w:rPr>
          <w:rFonts w:cs="Times New Roman"/>
          <w:color w:val="000000"/>
          <w:lang w:val="ru-RU"/>
        </w:rPr>
      </w:pPr>
    </w:p>
    <w:p w14:paraId="5357A540" w14:textId="77777777" w:rsidR="00AF1189" w:rsidRPr="00FD6B73" w:rsidRDefault="00AF1189" w:rsidP="00F10AC7">
      <w:pPr>
        <w:spacing w:after="120" w:line="240" w:lineRule="auto"/>
        <w:jc w:val="center"/>
        <w:rPr>
          <w:rFonts w:cs="Times New Roman"/>
          <w:color w:val="000000"/>
          <w:sz w:val="20"/>
          <w:szCs w:val="20"/>
          <w:lang w:val="ru-RU"/>
        </w:rPr>
      </w:pPr>
      <w:r w:rsidRPr="00FD6B73">
        <w:rPr>
          <w:rFonts w:cs="Times New Roman"/>
          <w:color w:val="000000"/>
          <w:sz w:val="20"/>
          <w:szCs w:val="20"/>
          <w:lang w:val="ru-RU"/>
        </w:rPr>
        <w:t>График 3: Однос броја оптужница ТРЗ и преузетих оптужница</w:t>
      </w:r>
    </w:p>
    <w:p w14:paraId="646B6B27" w14:textId="77777777" w:rsidR="00AF1189" w:rsidRPr="00CD46D4" w:rsidRDefault="00AF1189" w:rsidP="00F10AC7">
      <w:pPr>
        <w:spacing w:after="120" w:line="240" w:lineRule="auto"/>
        <w:jc w:val="center"/>
        <w:rPr>
          <w:rFonts w:cs="Times New Roman"/>
        </w:rPr>
      </w:pPr>
      <w:r w:rsidRPr="000E0D0C">
        <w:rPr>
          <w:noProof/>
        </w:rPr>
        <w:drawing>
          <wp:inline distT="0" distB="0" distL="0" distR="0" wp14:anchorId="21327DC7" wp14:editId="290FEC86">
            <wp:extent cx="4978013" cy="2568272"/>
            <wp:effectExtent l="0" t="0" r="13335" b="381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7FAAE62" w14:textId="74176AC4" w:rsidR="00AF1189" w:rsidRPr="00FD6B73" w:rsidRDefault="00AF1189" w:rsidP="00F10AC7">
      <w:pPr>
        <w:spacing w:after="120" w:line="240" w:lineRule="auto"/>
        <w:rPr>
          <w:rFonts w:cs="Times New Roman"/>
          <w:lang w:val="ru-RU"/>
        </w:rPr>
      </w:pPr>
      <w:r w:rsidRPr="00CD46D4">
        <w:rPr>
          <w:rFonts w:cs="Times New Roman"/>
        </w:rPr>
        <w:t xml:space="preserve">Број потврђених оптужница у посматраном периоду (Табела 2) значајно је варирао, при </w:t>
      </w:r>
      <w:bookmarkStart w:id="20" w:name="_Hlk70299348"/>
      <w:r w:rsidRPr="00CD46D4">
        <w:rPr>
          <w:rFonts w:cs="Times New Roman"/>
        </w:rPr>
        <w:t xml:space="preserve">чему је најлошија ситуација била 2016. године, када није било потврђених оптужница </w:t>
      </w:r>
      <w:r w:rsidR="00EC58CB">
        <w:rPr>
          <w:rFonts w:cs="Times New Roman"/>
          <w:lang w:val="sr-Cyrl-RS"/>
        </w:rPr>
        <w:t>ТРЗ</w:t>
      </w:r>
      <w:r w:rsidRPr="00CD46D4">
        <w:rPr>
          <w:rFonts w:cs="Times New Roman"/>
        </w:rPr>
        <w:t xml:space="preserve">, већ је свих </w:t>
      </w:r>
      <w:r w:rsidR="00EC58CB">
        <w:rPr>
          <w:rFonts w:cs="Times New Roman"/>
          <w:lang w:val="sr-Cyrl-RS"/>
        </w:rPr>
        <w:t>шест</w:t>
      </w:r>
      <w:r w:rsidRPr="00CD46D4">
        <w:rPr>
          <w:rFonts w:cs="Times New Roman"/>
        </w:rPr>
        <w:t xml:space="preserve"> преузетих оптужница преузето од Тужилаштва </w:t>
      </w:r>
      <w:r w:rsidR="00EC58CB">
        <w:rPr>
          <w:rFonts w:cs="Times New Roman"/>
          <w:lang w:val="sr-Cyrl-RS"/>
        </w:rPr>
        <w:t>Босне и Херцеговине</w:t>
      </w:r>
      <w:r w:rsidRPr="00CD46D4">
        <w:rPr>
          <w:rFonts w:cs="Times New Roman"/>
        </w:rPr>
        <w:t xml:space="preserve">. </w:t>
      </w:r>
      <w:r w:rsidRPr="00FD6B73">
        <w:rPr>
          <w:rFonts w:cs="Times New Roman"/>
          <w:lang w:val="ru-RU"/>
        </w:rPr>
        <w:t xml:space="preserve">Ово се у великој мери може објаснити продуженим трајањем процедуре избора </w:t>
      </w:r>
      <w:r w:rsidR="00EC58CB">
        <w:rPr>
          <w:rFonts w:cs="Times New Roman"/>
          <w:lang w:val="ru-RU"/>
        </w:rPr>
        <w:t>т</w:t>
      </w:r>
      <w:r w:rsidRPr="00FD6B73">
        <w:rPr>
          <w:rFonts w:cs="Times New Roman"/>
          <w:lang w:val="ru-RU"/>
        </w:rPr>
        <w:t xml:space="preserve">ужиоца за ратне злочине, те следствених проблема у кадровској и организационој структури, како је идентификовано у процесу припреме </w:t>
      </w:r>
      <w:r w:rsidR="00ED1D42" w:rsidRPr="00FD6B73">
        <w:rPr>
          <w:rFonts w:eastAsiaTheme="majorEastAsia" w:cs="Times New Roman"/>
          <w:lang w:val="ru-RU"/>
        </w:rPr>
        <w:t>НСПРЗ</w:t>
      </w:r>
      <w:r w:rsidRPr="00FD6B73">
        <w:rPr>
          <w:rFonts w:cs="Times New Roman"/>
          <w:lang w:val="ru-RU"/>
        </w:rPr>
        <w:t xml:space="preserve"> још 2015. године.</w:t>
      </w:r>
    </w:p>
    <w:p w14:paraId="370098B4" w14:textId="77777777" w:rsidR="00AF1189" w:rsidRPr="00FD6B73" w:rsidRDefault="00AF1189" w:rsidP="00F10AC7">
      <w:pPr>
        <w:pStyle w:val="ListParagraph"/>
        <w:shd w:val="clear" w:color="auto" w:fill="FFFFFF"/>
        <w:spacing w:after="120"/>
        <w:jc w:val="center"/>
        <w:rPr>
          <w:rFonts w:cs="Times New Roman"/>
          <w:color w:val="000000"/>
          <w:sz w:val="20"/>
          <w:szCs w:val="20"/>
          <w:lang w:val="ru-RU"/>
        </w:rPr>
      </w:pPr>
      <w:r w:rsidRPr="00FD6B73">
        <w:rPr>
          <w:rFonts w:cs="Times New Roman"/>
          <w:color w:val="000000"/>
          <w:sz w:val="20"/>
          <w:szCs w:val="20"/>
          <w:lang w:val="ru-RU"/>
        </w:rPr>
        <w:t>Табела 2: Број потврђених оптужница по годинама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516"/>
        <w:gridCol w:w="2564"/>
        <w:gridCol w:w="2520"/>
        <w:gridCol w:w="2575"/>
      </w:tblGrid>
      <w:tr w:rsidR="00AF1189" w:rsidRPr="00CD46D4" w14:paraId="6EED0E23" w14:textId="77777777" w:rsidTr="00AF1189">
        <w:trPr>
          <w:trHeight w:val="290"/>
          <w:jc w:val="center"/>
        </w:trPr>
        <w:tc>
          <w:tcPr>
            <w:tcW w:w="1516" w:type="dxa"/>
            <w:shd w:val="clear" w:color="auto" w:fill="DEEAF6" w:themeFill="accent1" w:themeFillTint="33"/>
          </w:tcPr>
          <w:p w14:paraId="2CEF0696"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Година</w:t>
            </w:r>
          </w:p>
        </w:tc>
        <w:tc>
          <w:tcPr>
            <w:tcW w:w="2564" w:type="dxa"/>
            <w:shd w:val="clear" w:color="auto" w:fill="DEEAF6" w:themeFill="accent1" w:themeFillTint="33"/>
          </w:tcPr>
          <w:p w14:paraId="68DC701F" w14:textId="77777777" w:rsidR="00AF1189" w:rsidRPr="00FD6B73" w:rsidRDefault="00AF1189" w:rsidP="00F10AC7">
            <w:pPr>
              <w:autoSpaceDE w:val="0"/>
              <w:autoSpaceDN w:val="0"/>
              <w:adjustRightInd w:val="0"/>
              <w:spacing w:after="120" w:line="240" w:lineRule="auto"/>
              <w:jc w:val="center"/>
              <w:rPr>
                <w:rFonts w:cs="Times New Roman"/>
                <w:color w:val="000000"/>
                <w:szCs w:val="24"/>
                <w:lang w:val="ru-RU"/>
              </w:rPr>
            </w:pPr>
            <w:r w:rsidRPr="00FD6B73">
              <w:rPr>
                <w:rFonts w:cs="Times New Roman"/>
                <w:color w:val="000000"/>
                <w:szCs w:val="24"/>
                <w:lang w:val="ru-RU"/>
              </w:rPr>
              <w:t xml:space="preserve">Број </w:t>
            </w:r>
            <w:r w:rsidR="00E365DB" w:rsidRPr="00FD6B73">
              <w:rPr>
                <w:rFonts w:cs="Times New Roman"/>
                <w:color w:val="000000"/>
                <w:szCs w:val="24"/>
                <w:lang w:val="ru-RU"/>
              </w:rPr>
              <w:t xml:space="preserve">сопствених </w:t>
            </w:r>
            <w:r w:rsidRPr="00FD6B73">
              <w:rPr>
                <w:rFonts w:cs="Times New Roman"/>
                <w:color w:val="000000"/>
                <w:szCs w:val="24"/>
                <w:lang w:val="ru-RU"/>
              </w:rPr>
              <w:t>потврђених оптужница ТРЗ</w:t>
            </w:r>
          </w:p>
        </w:tc>
        <w:tc>
          <w:tcPr>
            <w:tcW w:w="2520" w:type="dxa"/>
            <w:shd w:val="clear" w:color="auto" w:fill="DEEAF6" w:themeFill="accent1" w:themeFillTint="33"/>
          </w:tcPr>
          <w:p w14:paraId="6BC647F9"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Број преузетих оптужница</w:t>
            </w:r>
          </w:p>
        </w:tc>
        <w:tc>
          <w:tcPr>
            <w:tcW w:w="2575" w:type="dxa"/>
            <w:shd w:val="clear" w:color="auto" w:fill="DEEAF6" w:themeFill="accent1" w:themeFillTint="33"/>
          </w:tcPr>
          <w:p w14:paraId="30C41F2F"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Укупан број потврђених оптужница</w:t>
            </w:r>
          </w:p>
        </w:tc>
      </w:tr>
      <w:tr w:rsidR="00AF1189" w:rsidRPr="00CD46D4" w14:paraId="0074793B" w14:textId="77777777" w:rsidTr="00AF1189">
        <w:trPr>
          <w:trHeight w:val="290"/>
          <w:jc w:val="center"/>
        </w:trPr>
        <w:tc>
          <w:tcPr>
            <w:tcW w:w="1516" w:type="dxa"/>
          </w:tcPr>
          <w:p w14:paraId="17443A2C"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2016</w:t>
            </w:r>
          </w:p>
        </w:tc>
        <w:tc>
          <w:tcPr>
            <w:tcW w:w="2564" w:type="dxa"/>
          </w:tcPr>
          <w:p w14:paraId="2F785B5D"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c>
          <w:tcPr>
            <w:tcW w:w="2520" w:type="dxa"/>
          </w:tcPr>
          <w:p w14:paraId="3755CD29"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6</w:t>
            </w:r>
          </w:p>
        </w:tc>
        <w:tc>
          <w:tcPr>
            <w:tcW w:w="2575" w:type="dxa"/>
          </w:tcPr>
          <w:p w14:paraId="71AC7795"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6</w:t>
            </w:r>
          </w:p>
        </w:tc>
      </w:tr>
      <w:tr w:rsidR="00AF1189" w:rsidRPr="00CD46D4" w14:paraId="14AFE773" w14:textId="77777777" w:rsidTr="00AF1189">
        <w:trPr>
          <w:trHeight w:val="290"/>
          <w:jc w:val="center"/>
        </w:trPr>
        <w:tc>
          <w:tcPr>
            <w:tcW w:w="1516" w:type="dxa"/>
          </w:tcPr>
          <w:p w14:paraId="0F5B87B5"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2017</w:t>
            </w:r>
          </w:p>
        </w:tc>
        <w:tc>
          <w:tcPr>
            <w:tcW w:w="2564" w:type="dxa"/>
          </w:tcPr>
          <w:p w14:paraId="4571D1DE"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1</w:t>
            </w:r>
          </w:p>
        </w:tc>
        <w:tc>
          <w:tcPr>
            <w:tcW w:w="2520" w:type="dxa"/>
          </w:tcPr>
          <w:p w14:paraId="3A8D0FF2"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4</w:t>
            </w:r>
          </w:p>
        </w:tc>
        <w:tc>
          <w:tcPr>
            <w:tcW w:w="2575" w:type="dxa"/>
          </w:tcPr>
          <w:p w14:paraId="50A9946D"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5</w:t>
            </w:r>
          </w:p>
        </w:tc>
      </w:tr>
      <w:tr w:rsidR="00AF1189" w:rsidRPr="00CD46D4" w14:paraId="613CC2A9" w14:textId="77777777" w:rsidTr="00AF1189">
        <w:trPr>
          <w:trHeight w:val="290"/>
          <w:jc w:val="center"/>
        </w:trPr>
        <w:tc>
          <w:tcPr>
            <w:tcW w:w="1516" w:type="dxa"/>
          </w:tcPr>
          <w:p w14:paraId="3B4EF60D"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2018</w:t>
            </w:r>
          </w:p>
        </w:tc>
        <w:tc>
          <w:tcPr>
            <w:tcW w:w="2564" w:type="dxa"/>
          </w:tcPr>
          <w:p w14:paraId="5F42314E"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4</w:t>
            </w:r>
          </w:p>
        </w:tc>
        <w:tc>
          <w:tcPr>
            <w:tcW w:w="2520" w:type="dxa"/>
          </w:tcPr>
          <w:p w14:paraId="096A5C59"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5</w:t>
            </w:r>
          </w:p>
        </w:tc>
        <w:tc>
          <w:tcPr>
            <w:tcW w:w="2575" w:type="dxa"/>
          </w:tcPr>
          <w:p w14:paraId="50658218"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9</w:t>
            </w:r>
          </w:p>
        </w:tc>
      </w:tr>
      <w:tr w:rsidR="00AF1189" w:rsidRPr="00CD46D4" w14:paraId="7749D2CA" w14:textId="77777777" w:rsidTr="00AF1189">
        <w:trPr>
          <w:trHeight w:val="290"/>
          <w:jc w:val="center"/>
        </w:trPr>
        <w:tc>
          <w:tcPr>
            <w:tcW w:w="1516" w:type="dxa"/>
          </w:tcPr>
          <w:p w14:paraId="7304B578"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2019</w:t>
            </w:r>
          </w:p>
        </w:tc>
        <w:tc>
          <w:tcPr>
            <w:tcW w:w="2564" w:type="dxa"/>
          </w:tcPr>
          <w:p w14:paraId="16B2A1E6"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1</w:t>
            </w:r>
          </w:p>
        </w:tc>
        <w:tc>
          <w:tcPr>
            <w:tcW w:w="2520" w:type="dxa"/>
          </w:tcPr>
          <w:p w14:paraId="5DF9BE35"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3</w:t>
            </w:r>
          </w:p>
        </w:tc>
        <w:tc>
          <w:tcPr>
            <w:tcW w:w="2575" w:type="dxa"/>
          </w:tcPr>
          <w:p w14:paraId="5102E64C"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4</w:t>
            </w:r>
          </w:p>
        </w:tc>
      </w:tr>
      <w:tr w:rsidR="00AF1189" w:rsidRPr="00CD46D4" w14:paraId="30655F4D" w14:textId="77777777" w:rsidTr="00AF1189">
        <w:trPr>
          <w:trHeight w:val="290"/>
          <w:jc w:val="center"/>
        </w:trPr>
        <w:tc>
          <w:tcPr>
            <w:tcW w:w="1516" w:type="dxa"/>
          </w:tcPr>
          <w:p w14:paraId="66287FC6"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2020</w:t>
            </w:r>
          </w:p>
        </w:tc>
        <w:tc>
          <w:tcPr>
            <w:tcW w:w="2564" w:type="dxa"/>
          </w:tcPr>
          <w:p w14:paraId="3ABABA74"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w:t>
            </w:r>
          </w:p>
        </w:tc>
        <w:tc>
          <w:tcPr>
            <w:tcW w:w="2520" w:type="dxa"/>
          </w:tcPr>
          <w:p w14:paraId="288FC0B8"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5</w:t>
            </w:r>
          </w:p>
        </w:tc>
        <w:tc>
          <w:tcPr>
            <w:tcW w:w="2575" w:type="dxa"/>
          </w:tcPr>
          <w:p w14:paraId="2DE11EBF" w14:textId="77777777" w:rsidR="00AF1189" w:rsidRPr="00CD46D4" w:rsidRDefault="00AF1189" w:rsidP="00F10AC7">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7</w:t>
            </w:r>
          </w:p>
        </w:tc>
      </w:tr>
      <w:tr w:rsidR="00AF1189" w:rsidRPr="00CD46D4" w14:paraId="58F5F89B" w14:textId="77777777" w:rsidTr="00AF1189">
        <w:trPr>
          <w:trHeight w:val="290"/>
          <w:jc w:val="center"/>
        </w:trPr>
        <w:tc>
          <w:tcPr>
            <w:tcW w:w="1516" w:type="dxa"/>
          </w:tcPr>
          <w:p w14:paraId="3C05E59D" w14:textId="77777777" w:rsidR="00AF1189" w:rsidRPr="00CD46D4" w:rsidRDefault="00AF1189" w:rsidP="00F10AC7">
            <w:pPr>
              <w:autoSpaceDE w:val="0"/>
              <w:autoSpaceDN w:val="0"/>
              <w:adjustRightInd w:val="0"/>
              <w:spacing w:after="120" w:line="240" w:lineRule="auto"/>
              <w:jc w:val="center"/>
              <w:rPr>
                <w:rFonts w:cs="Times New Roman"/>
                <w:b/>
                <w:bCs/>
                <w:color w:val="000000"/>
                <w:szCs w:val="24"/>
              </w:rPr>
            </w:pPr>
            <w:r w:rsidRPr="00CD46D4">
              <w:rPr>
                <w:rFonts w:cs="Times New Roman"/>
                <w:b/>
                <w:bCs/>
                <w:color w:val="000000"/>
                <w:szCs w:val="24"/>
              </w:rPr>
              <w:t>Укупно</w:t>
            </w:r>
          </w:p>
        </w:tc>
        <w:tc>
          <w:tcPr>
            <w:tcW w:w="2564" w:type="dxa"/>
          </w:tcPr>
          <w:p w14:paraId="49468D4E" w14:textId="77777777" w:rsidR="00AF1189" w:rsidRPr="00CD46D4" w:rsidRDefault="00AF1189" w:rsidP="00F10AC7">
            <w:pPr>
              <w:autoSpaceDE w:val="0"/>
              <w:autoSpaceDN w:val="0"/>
              <w:adjustRightInd w:val="0"/>
              <w:spacing w:after="120" w:line="240" w:lineRule="auto"/>
              <w:jc w:val="center"/>
              <w:rPr>
                <w:rFonts w:cs="Times New Roman"/>
                <w:b/>
                <w:bCs/>
                <w:color w:val="000000"/>
                <w:szCs w:val="24"/>
              </w:rPr>
            </w:pPr>
            <w:r w:rsidRPr="00CD46D4">
              <w:rPr>
                <w:rFonts w:cs="Times New Roman"/>
                <w:b/>
                <w:bCs/>
                <w:color w:val="000000"/>
                <w:szCs w:val="24"/>
              </w:rPr>
              <w:t>8</w:t>
            </w:r>
          </w:p>
        </w:tc>
        <w:tc>
          <w:tcPr>
            <w:tcW w:w="2520" w:type="dxa"/>
          </w:tcPr>
          <w:p w14:paraId="32A7B7F0" w14:textId="77777777" w:rsidR="00AF1189" w:rsidRPr="00CD46D4" w:rsidRDefault="00AF1189" w:rsidP="00F10AC7">
            <w:pPr>
              <w:autoSpaceDE w:val="0"/>
              <w:autoSpaceDN w:val="0"/>
              <w:adjustRightInd w:val="0"/>
              <w:spacing w:after="120" w:line="240" w:lineRule="auto"/>
              <w:jc w:val="center"/>
              <w:rPr>
                <w:rFonts w:cs="Times New Roman"/>
                <w:b/>
                <w:bCs/>
                <w:color w:val="000000"/>
                <w:szCs w:val="24"/>
              </w:rPr>
            </w:pPr>
            <w:r w:rsidRPr="00CD46D4">
              <w:rPr>
                <w:rFonts w:cs="Times New Roman"/>
                <w:b/>
                <w:bCs/>
                <w:color w:val="000000"/>
                <w:szCs w:val="24"/>
              </w:rPr>
              <w:t>23</w:t>
            </w:r>
          </w:p>
        </w:tc>
        <w:tc>
          <w:tcPr>
            <w:tcW w:w="2575" w:type="dxa"/>
          </w:tcPr>
          <w:p w14:paraId="67483A6B" w14:textId="77777777" w:rsidR="00AF1189" w:rsidRPr="00CD46D4" w:rsidRDefault="00AF1189" w:rsidP="00F10AC7">
            <w:pPr>
              <w:autoSpaceDE w:val="0"/>
              <w:autoSpaceDN w:val="0"/>
              <w:adjustRightInd w:val="0"/>
              <w:spacing w:after="120" w:line="240" w:lineRule="auto"/>
              <w:jc w:val="center"/>
              <w:rPr>
                <w:rFonts w:cs="Times New Roman"/>
                <w:b/>
                <w:bCs/>
                <w:color w:val="000000"/>
                <w:szCs w:val="24"/>
              </w:rPr>
            </w:pPr>
            <w:r w:rsidRPr="00CD46D4">
              <w:rPr>
                <w:rFonts w:cs="Times New Roman"/>
                <w:b/>
                <w:bCs/>
                <w:color w:val="000000"/>
                <w:szCs w:val="24"/>
              </w:rPr>
              <w:t>31</w:t>
            </w:r>
          </w:p>
        </w:tc>
      </w:tr>
    </w:tbl>
    <w:p w14:paraId="6F4F3510" w14:textId="6629D083" w:rsidR="00620442" w:rsidRDefault="00AF1189" w:rsidP="00F10AC7">
      <w:pPr>
        <w:spacing w:before="240" w:after="120" w:line="240" w:lineRule="auto"/>
        <w:rPr>
          <w:rFonts w:cs="Times New Roman"/>
          <w:lang w:val="ru-RU"/>
        </w:rPr>
      </w:pPr>
      <w:r w:rsidRPr="00FD6B73">
        <w:rPr>
          <w:rFonts w:cs="Times New Roman"/>
          <w:lang w:val="ru-RU"/>
        </w:rPr>
        <w:lastRenderedPageBreak/>
        <w:t xml:space="preserve">Трендови по питању броја потврђених оптужница у посматраном периоду видљиви су на </w:t>
      </w:r>
      <w:r w:rsidR="00EC58CB">
        <w:rPr>
          <w:rFonts w:cs="Times New Roman"/>
          <w:lang w:val="ru-RU"/>
        </w:rPr>
        <w:t xml:space="preserve">Графику 4, и показују раст 2017. до </w:t>
      </w:r>
      <w:r w:rsidRPr="00FD6B73">
        <w:rPr>
          <w:rFonts w:cs="Times New Roman"/>
          <w:lang w:val="ru-RU"/>
        </w:rPr>
        <w:t>2018. године, достижући у 2018. години максималну вредност од девет потврђених оптужница, након чега је 2019. године забележен нешто лошији резултат (четири потврђене оптужнице), да би се током 2020. године ситуација значајно поправила (седам потврђених оптужница).</w:t>
      </w:r>
      <w:bookmarkEnd w:id="20"/>
    </w:p>
    <w:p w14:paraId="6D312FC4" w14:textId="564F7D5F" w:rsidR="00EC58CB" w:rsidRDefault="00EC58CB" w:rsidP="00F10AC7">
      <w:pPr>
        <w:spacing w:before="240" w:after="120" w:line="240" w:lineRule="auto"/>
        <w:rPr>
          <w:rFonts w:cs="Times New Roman"/>
          <w:lang w:val="ru-RU"/>
        </w:rPr>
      </w:pPr>
    </w:p>
    <w:p w14:paraId="428985A5" w14:textId="77777777" w:rsidR="00EC58CB" w:rsidRPr="00FD6B73" w:rsidRDefault="00EC58CB" w:rsidP="00F10AC7">
      <w:pPr>
        <w:spacing w:before="240" w:after="120" w:line="240" w:lineRule="auto"/>
        <w:rPr>
          <w:rFonts w:cs="Times New Roman"/>
          <w:lang w:val="ru-RU"/>
        </w:rPr>
      </w:pPr>
    </w:p>
    <w:p w14:paraId="4CB39016" w14:textId="77777777" w:rsidR="00AF1189" w:rsidRPr="00FD6B73" w:rsidRDefault="00AF1189" w:rsidP="00F10AC7">
      <w:pPr>
        <w:shd w:val="clear" w:color="auto" w:fill="FFFFFF"/>
        <w:spacing w:after="120" w:line="240" w:lineRule="auto"/>
        <w:jc w:val="center"/>
        <w:rPr>
          <w:rFonts w:cs="Times New Roman"/>
          <w:color w:val="000000"/>
          <w:sz w:val="20"/>
          <w:szCs w:val="20"/>
          <w:lang w:val="ru-RU"/>
        </w:rPr>
      </w:pPr>
      <w:r w:rsidRPr="00FD6B73">
        <w:rPr>
          <w:rFonts w:cs="Times New Roman"/>
          <w:color w:val="000000"/>
          <w:sz w:val="20"/>
          <w:szCs w:val="20"/>
          <w:lang w:val="ru-RU"/>
        </w:rPr>
        <w:t>График 4: Број потврђених оптужница по годинама</w:t>
      </w:r>
    </w:p>
    <w:p w14:paraId="1FAB7DC7" w14:textId="77777777" w:rsidR="00AF1189" w:rsidRPr="00CD46D4" w:rsidRDefault="00AF1189" w:rsidP="00F10AC7">
      <w:pPr>
        <w:shd w:val="clear" w:color="auto" w:fill="FFFFFF"/>
        <w:spacing w:after="120" w:line="240" w:lineRule="auto"/>
        <w:jc w:val="center"/>
        <w:rPr>
          <w:rFonts w:cs="Times New Roman"/>
          <w:color w:val="000000"/>
        </w:rPr>
      </w:pPr>
      <w:r w:rsidRPr="00CD46D4">
        <w:rPr>
          <w:rFonts w:cs="Times New Roman"/>
          <w:noProof/>
          <w:color w:val="000000"/>
        </w:rPr>
        <w:drawing>
          <wp:inline distT="0" distB="0" distL="0" distR="0" wp14:anchorId="62F1911E" wp14:editId="68590DD4">
            <wp:extent cx="5079199" cy="2536466"/>
            <wp:effectExtent l="0" t="0" r="7620" b="1651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104F058" w14:textId="2ABE77F1" w:rsidR="00AF1189" w:rsidRPr="00FD6B73" w:rsidRDefault="00AF1189" w:rsidP="00F10AC7">
      <w:pPr>
        <w:shd w:val="clear" w:color="auto" w:fill="FFFFFF"/>
        <w:spacing w:after="120" w:line="240" w:lineRule="auto"/>
        <w:rPr>
          <w:rFonts w:cs="Times New Roman"/>
          <w:color w:val="000000"/>
          <w:lang w:val="ru-RU"/>
        </w:rPr>
      </w:pPr>
      <w:r w:rsidRPr="00FD6B73">
        <w:rPr>
          <w:rFonts w:cs="Times New Roman"/>
          <w:color w:val="000000"/>
          <w:lang w:val="ru-RU"/>
        </w:rPr>
        <w:t xml:space="preserve">Ипак, за целовитију слику о ефикасности рада ТРЗ у посматраном периоду, потребно је сагледати и податке о уделу преузетих оптужница у броју потврђених оптужница по годинама. Наиме, са Графика 5 се уочава да се овај удео кретао од 100% </w:t>
      </w:r>
      <w:r w:rsidR="00EC58CB">
        <w:rPr>
          <w:rFonts w:cs="Times New Roman"/>
          <w:color w:val="000000"/>
          <w:lang w:val="ru-RU"/>
        </w:rPr>
        <w:t xml:space="preserve">у </w:t>
      </w:r>
      <w:r w:rsidRPr="00FD6B73">
        <w:rPr>
          <w:rFonts w:cs="Times New Roman"/>
          <w:color w:val="000000"/>
          <w:lang w:val="ru-RU"/>
        </w:rPr>
        <w:t>2016. годин</w:t>
      </w:r>
      <w:r w:rsidR="00EC58CB">
        <w:rPr>
          <w:rFonts w:cs="Times New Roman"/>
          <w:color w:val="000000"/>
          <w:lang w:val="ru-RU"/>
        </w:rPr>
        <w:t>и</w:t>
      </w:r>
      <w:r w:rsidRPr="00FD6B73">
        <w:rPr>
          <w:rFonts w:cs="Times New Roman"/>
          <w:color w:val="000000"/>
          <w:lang w:val="ru-RU"/>
        </w:rPr>
        <w:t>, након чега је уследио тренд пада до минималне вредности од 55% у 2018. години, након чега се усталио на вредностима 70-75%.</w:t>
      </w:r>
    </w:p>
    <w:p w14:paraId="05852A87" w14:textId="7385FD6D" w:rsidR="00AF1189" w:rsidRPr="00FD6B73" w:rsidRDefault="00AF1189" w:rsidP="00F10AC7">
      <w:pPr>
        <w:shd w:val="clear" w:color="auto" w:fill="FFFFFF"/>
        <w:spacing w:after="120" w:line="240" w:lineRule="auto"/>
        <w:jc w:val="center"/>
        <w:rPr>
          <w:rFonts w:cs="Times New Roman"/>
          <w:color w:val="000000"/>
          <w:sz w:val="20"/>
          <w:szCs w:val="20"/>
          <w:lang w:val="ru-RU"/>
        </w:rPr>
      </w:pPr>
      <w:r w:rsidRPr="00FD6B73">
        <w:rPr>
          <w:rFonts w:cs="Times New Roman"/>
          <w:color w:val="000000"/>
          <w:sz w:val="20"/>
          <w:szCs w:val="20"/>
          <w:lang w:val="ru-RU"/>
        </w:rPr>
        <w:t>График 5: Удео преузетих у укупном броју потврђених оптуж</w:t>
      </w:r>
      <w:r w:rsidR="00EC58CB">
        <w:rPr>
          <w:rFonts w:cs="Times New Roman"/>
          <w:color w:val="000000"/>
          <w:sz w:val="20"/>
          <w:szCs w:val="20"/>
          <w:lang w:val="ru-RU"/>
        </w:rPr>
        <w:t xml:space="preserve">ница по годинама за период 2016. до </w:t>
      </w:r>
      <w:r w:rsidRPr="00FD6B73">
        <w:rPr>
          <w:rFonts w:cs="Times New Roman"/>
          <w:color w:val="000000"/>
          <w:sz w:val="20"/>
          <w:szCs w:val="20"/>
          <w:lang w:val="ru-RU"/>
        </w:rPr>
        <w:t>2020.</w:t>
      </w:r>
      <w:r w:rsidR="00EC58CB">
        <w:rPr>
          <w:rFonts w:cs="Times New Roman"/>
          <w:color w:val="000000"/>
          <w:sz w:val="20"/>
          <w:szCs w:val="20"/>
          <w:lang w:val="ru-RU"/>
        </w:rPr>
        <w:t xml:space="preserve"> године</w:t>
      </w:r>
    </w:p>
    <w:p w14:paraId="60BD2640" w14:textId="77777777" w:rsidR="00AF1189" w:rsidRPr="00CD46D4" w:rsidRDefault="00AF1189" w:rsidP="00F10AC7">
      <w:pPr>
        <w:shd w:val="clear" w:color="auto" w:fill="FFFFFF"/>
        <w:spacing w:after="120" w:line="240" w:lineRule="auto"/>
        <w:jc w:val="center"/>
        <w:rPr>
          <w:rFonts w:cs="Times New Roman"/>
          <w:color w:val="000000"/>
          <w:sz w:val="20"/>
          <w:szCs w:val="20"/>
        </w:rPr>
      </w:pPr>
      <w:r w:rsidRPr="00CD46D4">
        <w:rPr>
          <w:rFonts w:cs="Times New Roman"/>
          <w:noProof/>
          <w:color w:val="000000"/>
          <w:sz w:val="20"/>
          <w:szCs w:val="20"/>
        </w:rPr>
        <w:drawing>
          <wp:inline distT="0" distB="0" distL="0" distR="0" wp14:anchorId="3B74675E" wp14:editId="7BAE4375">
            <wp:extent cx="4735250" cy="2122998"/>
            <wp:effectExtent l="0" t="0" r="8255" b="1079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37161B4" w14:textId="77777777" w:rsidR="00AF1189" w:rsidRPr="00FD6B73" w:rsidRDefault="00AF1189" w:rsidP="00F10AC7">
      <w:pPr>
        <w:shd w:val="clear" w:color="auto" w:fill="FFFFFF"/>
        <w:spacing w:after="120" w:line="240" w:lineRule="auto"/>
        <w:rPr>
          <w:rFonts w:cs="Times New Roman"/>
          <w:color w:val="000000"/>
          <w:lang w:val="ru-RU"/>
        </w:rPr>
      </w:pPr>
      <w:r w:rsidRPr="00FD6B73">
        <w:rPr>
          <w:rFonts w:cs="Times New Roman"/>
          <w:color w:val="000000"/>
          <w:lang w:val="ru-RU"/>
        </w:rPr>
        <w:lastRenderedPageBreak/>
        <w:t>Нема сумње да ови подаци говоре у прилог ефикасне регионалне сарадње у процесуирању ратних злочина али и да значајно јачање капацитета ТРЗ у посматраном периоду, у перспективи треба да резултира и новим оп</w:t>
      </w:r>
      <w:r w:rsidRPr="00FD6B73">
        <w:rPr>
          <w:rFonts w:cs="Times New Roman"/>
          <w:lang w:val="ru-RU"/>
        </w:rPr>
        <w:t>т</w:t>
      </w:r>
      <w:r w:rsidRPr="00FD6B73">
        <w:rPr>
          <w:rFonts w:cs="Times New Roman"/>
          <w:color w:val="000000"/>
          <w:lang w:val="ru-RU"/>
        </w:rPr>
        <w:t>ужењима.</w:t>
      </w:r>
    </w:p>
    <w:p w14:paraId="3FBE2B47" w14:textId="7294AA3D" w:rsidR="00AF1189" w:rsidRPr="00FD6B73" w:rsidRDefault="00AF1189" w:rsidP="00F10AC7">
      <w:pPr>
        <w:spacing w:after="120" w:line="240" w:lineRule="auto"/>
        <w:rPr>
          <w:rFonts w:cs="Times New Roman"/>
          <w:lang w:val="ru-RU"/>
        </w:rPr>
      </w:pPr>
      <w:r w:rsidRPr="00FD6B73">
        <w:rPr>
          <w:rFonts w:cs="Times New Roman"/>
          <w:lang w:val="ru-RU"/>
        </w:rPr>
        <w:t xml:space="preserve">Објашњење за већи број предмета са потврђеним оптужницама преузетим из Тужилаштва </w:t>
      </w:r>
      <w:r w:rsidR="00EC58CB">
        <w:rPr>
          <w:rFonts w:cs="Times New Roman"/>
          <w:lang w:val="ru-RU"/>
        </w:rPr>
        <w:t>Босне и Херцеговине</w:t>
      </w:r>
      <w:r w:rsidRPr="00FD6B73">
        <w:rPr>
          <w:rFonts w:cs="Times New Roman"/>
          <w:lang w:val="ru-RU"/>
        </w:rPr>
        <w:t xml:space="preserve">, а следствено томе мањи број поступака у којима је поступало </w:t>
      </w:r>
      <w:r w:rsidR="00EC58CB">
        <w:rPr>
          <w:rFonts w:cs="Times New Roman"/>
          <w:lang w:val="ru-RU"/>
        </w:rPr>
        <w:t>ТРЗ</w:t>
      </w:r>
      <w:r w:rsidRPr="00FD6B73">
        <w:rPr>
          <w:rFonts w:cs="Times New Roman"/>
          <w:lang w:val="ru-RU"/>
        </w:rPr>
        <w:t xml:space="preserve"> се проналази и у следећим чињеницама:</w:t>
      </w:r>
    </w:p>
    <w:p w14:paraId="7D8F2A6A" w14:textId="7E2741F3" w:rsidR="00AF1189" w:rsidRPr="00FD6B73" w:rsidRDefault="00EC58CB" w:rsidP="00F10AC7">
      <w:pPr>
        <w:spacing w:after="120" w:line="240" w:lineRule="auto"/>
        <w:rPr>
          <w:rFonts w:cs="Times New Roman"/>
          <w:lang w:val="ru-RU"/>
        </w:rPr>
      </w:pPr>
      <w:r>
        <w:rPr>
          <w:rFonts w:cs="Times New Roman"/>
          <w:lang w:val="ru-RU"/>
        </w:rPr>
        <w:t xml:space="preserve">ТРЗ </w:t>
      </w:r>
      <w:r w:rsidR="00AF1189" w:rsidRPr="00FD6B73">
        <w:rPr>
          <w:rFonts w:cs="Times New Roman"/>
          <w:lang w:val="ru-RU"/>
        </w:rPr>
        <w:t xml:space="preserve">је у релативно кратком времену преузело од Тужилаштва </w:t>
      </w:r>
      <w:r>
        <w:rPr>
          <w:rFonts w:cs="Times New Roman"/>
          <w:lang w:val="ru-RU"/>
        </w:rPr>
        <w:t>Босне и Херцеговине</w:t>
      </w:r>
      <w:r w:rsidRPr="00FD6B73">
        <w:rPr>
          <w:rFonts w:cs="Times New Roman"/>
          <w:lang w:val="ru-RU"/>
        </w:rPr>
        <w:t xml:space="preserve"> </w:t>
      </w:r>
      <w:r w:rsidR="00AF1189" w:rsidRPr="00FD6B73">
        <w:rPr>
          <w:rFonts w:cs="Times New Roman"/>
          <w:lang w:val="ru-RU"/>
        </w:rPr>
        <w:t xml:space="preserve">већи број предмета који су у доброј мери били обрађени и у њима је оптужница већ била потврђена. То је подразумевало да ти предмети могу у краћем времену бити обрађени, тачније уподобљени нашим процесним и материјалним законима и упућени према Одељењу за ратне злочине Вишег суда у Београду. </w:t>
      </w:r>
      <w:r>
        <w:rPr>
          <w:rFonts w:cs="Times New Roman"/>
          <w:lang w:val="ru-RU"/>
        </w:rPr>
        <w:t xml:space="preserve"> </w:t>
      </w:r>
    </w:p>
    <w:p w14:paraId="785B2CB9" w14:textId="60BC03B8" w:rsidR="00AF1189" w:rsidRPr="00FD6B73" w:rsidRDefault="00AF1189" w:rsidP="00F10AC7">
      <w:pPr>
        <w:spacing w:after="120" w:line="240" w:lineRule="auto"/>
        <w:rPr>
          <w:rFonts w:cs="Times New Roman"/>
          <w:lang w:val="ru-RU"/>
        </w:rPr>
      </w:pPr>
      <w:r w:rsidRPr="00FD6B73">
        <w:rPr>
          <w:rFonts w:cs="Times New Roman"/>
          <w:lang w:val="ru-RU"/>
        </w:rPr>
        <w:t>Таква врста приоритета у процесуирању</w:t>
      </w:r>
      <w:r w:rsidR="00027601" w:rsidRPr="00FD6B73">
        <w:rPr>
          <w:rFonts w:cs="Times New Roman"/>
          <w:lang w:val="ru-RU"/>
        </w:rPr>
        <w:t>,</w:t>
      </w:r>
      <w:r w:rsidRPr="00FD6B73">
        <w:rPr>
          <w:rFonts w:cs="Times New Roman"/>
          <w:lang w:val="ru-RU"/>
        </w:rPr>
        <w:t xml:space="preserve"> а у односу на домаће поступке у којима </w:t>
      </w:r>
      <w:r w:rsidR="00027601" w:rsidRPr="00FD6B73">
        <w:rPr>
          <w:rFonts w:cs="Times New Roman"/>
          <w:lang w:val="ru-RU"/>
        </w:rPr>
        <w:t>се</w:t>
      </w:r>
      <w:r w:rsidRPr="00FD6B73">
        <w:rPr>
          <w:rFonts w:cs="Times New Roman"/>
          <w:lang w:val="ru-RU"/>
        </w:rPr>
        <w:t xml:space="preserve"> у највећем броју случајева</w:t>
      </w:r>
      <w:r w:rsidR="00027601" w:rsidRPr="00FD6B73">
        <w:rPr>
          <w:rFonts w:cs="Times New Roman"/>
          <w:lang w:val="ru-RU"/>
        </w:rPr>
        <w:t>,</w:t>
      </w:r>
      <w:r w:rsidRPr="00FD6B73">
        <w:rPr>
          <w:rFonts w:cs="Times New Roman"/>
          <w:lang w:val="ru-RU"/>
        </w:rPr>
        <w:t xml:space="preserve"> предмет</w:t>
      </w:r>
      <w:r w:rsidR="00741390">
        <w:rPr>
          <w:rFonts w:cs="Times New Roman"/>
          <w:lang w:val="ru-RU"/>
        </w:rPr>
        <w:t xml:space="preserve"> </w:t>
      </w:r>
      <w:r w:rsidRPr="00FD6B73">
        <w:rPr>
          <w:rFonts w:cs="Times New Roman"/>
          <w:lang w:val="ru-RU"/>
        </w:rPr>
        <w:t>налазио</w:t>
      </w:r>
      <w:r w:rsidR="00741390">
        <w:rPr>
          <w:rFonts w:cs="Times New Roman"/>
          <w:lang w:val="ru-RU"/>
        </w:rPr>
        <w:t xml:space="preserve"> </w:t>
      </w:r>
      <w:r w:rsidR="00AF0EC8" w:rsidRPr="00FD6B73">
        <w:rPr>
          <w:rFonts w:cs="Times New Roman"/>
          <w:szCs w:val="24"/>
          <w:lang w:val="ru-RU"/>
        </w:rPr>
        <w:t>у току</w:t>
      </w:r>
      <w:r w:rsidR="00741390">
        <w:rPr>
          <w:rFonts w:cs="Times New Roman"/>
          <w:szCs w:val="24"/>
          <w:lang w:val="ru-RU"/>
        </w:rPr>
        <w:t xml:space="preserve"> </w:t>
      </w:r>
      <w:r w:rsidRPr="00FD6B73">
        <w:rPr>
          <w:rFonts w:cs="Times New Roman"/>
          <w:lang w:val="ru-RU"/>
        </w:rPr>
        <w:t>предистражног или истражног поступка, заснована је на разлозима бржег, ефикаснијег и економичнијег поступања и разумне процесне логике која налаже да се прво заврше поступци који су у доброј мери већ обрађени.</w:t>
      </w:r>
    </w:p>
    <w:p w14:paraId="5CCFBE19" w14:textId="2BD0B15E" w:rsidR="00AF1189" w:rsidRPr="00FD6B73" w:rsidRDefault="00AF1189" w:rsidP="00F10AC7">
      <w:pPr>
        <w:spacing w:after="120" w:line="240" w:lineRule="auto"/>
        <w:rPr>
          <w:rFonts w:cs="Times New Roman"/>
          <w:lang w:val="ru-RU"/>
        </w:rPr>
      </w:pPr>
      <w:r w:rsidRPr="00FD6B73">
        <w:rPr>
          <w:rFonts w:cs="Times New Roman"/>
          <w:lang w:val="ru-RU"/>
        </w:rPr>
        <w:t xml:space="preserve">Овакво поступање сматрамо и оправданим и целисходним, ово тим пре што је и у преузетим предметима као и у онима које од почетка води </w:t>
      </w:r>
      <w:r w:rsidR="00EC58CB">
        <w:rPr>
          <w:rFonts w:cs="Times New Roman"/>
          <w:lang w:val="ru-RU"/>
        </w:rPr>
        <w:t>ТРЗ</w:t>
      </w:r>
      <w:r w:rsidRPr="00FD6B73">
        <w:rPr>
          <w:rFonts w:cs="Times New Roman"/>
          <w:lang w:val="ru-RU"/>
        </w:rPr>
        <w:t xml:space="preserve"> реч о </w:t>
      </w:r>
      <w:r w:rsidR="00CD46D4" w:rsidRPr="00FD6B73">
        <w:rPr>
          <w:rFonts w:cs="Times New Roman"/>
          <w:lang w:val="ru-RU"/>
        </w:rPr>
        <w:t>поступцима</w:t>
      </w:r>
      <w:r w:rsidRPr="00FD6B73">
        <w:rPr>
          <w:rFonts w:cs="Times New Roman"/>
          <w:lang w:val="ru-RU"/>
        </w:rPr>
        <w:t xml:space="preserve"> који су по последицама и по рангу окривљених идентични.</w:t>
      </w:r>
    </w:p>
    <w:p w14:paraId="28BCBFE4" w14:textId="77777777" w:rsidR="00AF1189" w:rsidRPr="00FD6B73" w:rsidRDefault="00AF1189" w:rsidP="00F10AC7">
      <w:pPr>
        <w:spacing w:after="120" w:line="240" w:lineRule="auto"/>
        <w:rPr>
          <w:rFonts w:cs="Times New Roman"/>
          <w:lang w:val="ru-RU"/>
        </w:rPr>
      </w:pPr>
    </w:p>
    <w:p w14:paraId="6C1A5C80" w14:textId="77777777" w:rsidR="00AF1189" w:rsidRPr="00CD46D4" w:rsidRDefault="00AF1189" w:rsidP="00F10AC7">
      <w:pPr>
        <w:pStyle w:val="Heading3"/>
        <w:numPr>
          <w:ilvl w:val="2"/>
          <w:numId w:val="1"/>
        </w:numPr>
        <w:spacing w:line="240" w:lineRule="auto"/>
        <w:jc w:val="center"/>
        <w:rPr>
          <w:rFonts w:cs="Times New Roman"/>
        </w:rPr>
      </w:pPr>
      <w:bookmarkStart w:id="21" w:name="_Toc69325782"/>
      <w:bookmarkStart w:id="22" w:name="_Toc72932064"/>
      <w:bookmarkStart w:id="23" w:name="_Toc84580771"/>
      <w:r w:rsidRPr="00CD46D4">
        <w:rPr>
          <w:rFonts w:cs="Times New Roman"/>
        </w:rPr>
        <w:t>Ефикасност суђења за ратне злочине</w:t>
      </w:r>
      <w:bookmarkEnd w:id="21"/>
      <w:bookmarkEnd w:id="22"/>
      <w:bookmarkEnd w:id="23"/>
    </w:p>
    <w:p w14:paraId="4A5B9010" w14:textId="77777777" w:rsidR="00AF1189" w:rsidRPr="00CD46D4" w:rsidRDefault="00AF1189" w:rsidP="00F10AC7">
      <w:pPr>
        <w:spacing w:after="120" w:line="240" w:lineRule="auto"/>
        <w:rPr>
          <w:rFonts w:cs="Times New Roman"/>
        </w:rPr>
      </w:pPr>
    </w:p>
    <w:p w14:paraId="35B28F81" w14:textId="77777777" w:rsidR="00AF1189" w:rsidRPr="00FD6B73" w:rsidRDefault="00AF1189" w:rsidP="00F10AC7">
      <w:pPr>
        <w:pStyle w:val="Heading4"/>
        <w:spacing w:after="240" w:line="240" w:lineRule="auto"/>
        <w:rPr>
          <w:rFonts w:cs="Times New Roman"/>
          <w:lang w:val="ru-RU"/>
        </w:rPr>
      </w:pPr>
      <w:bookmarkStart w:id="24" w:name="_Toc69325783"/>
      <w:r w:rsidRPr="00FD6B73">
        <w:rPr>
          <w:rFonts w:cs="Times New Roman"/>
          <w:lang w:val="ru-RU"/>
        </w:rPr>
        <w:t xml:space="preserve">А) Преглед испуњености мера из </w:t>
      </w:r>
      <w:bookmarkEnd w:id="24"/>
      <w:r w:rsidR="00ED1D42" w:rsidRPr="00FD6B73">
        <w:rPr>
          <w:rFonts w:cs="Times New Roman"/>
          <w:lang w:val="ru-RU"/>
        </w:rPr>
        <w:t>НСПРЗ</w:t>
      </w:r>
    </w:p>
    <w:p w14:paraId="1E380B9A" w14:textId="01E5E801"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сегменту који се односи на ефикасност суђења, препозната је потреба да првостепена судска већа уложе додатне напоре у образложења својих одлука у делу који се односи на одређивање висине казне (отежавајуће, олакшавајуће и нарочито олакшавајуће околности), како би омогућила уједначеност судске праксе али и домаћој и међународној јавности боље разумевање праксе кажњавања и нашег система кривичног правосуђа. Поред тога, </w:t>
      </w:r>
      <w:r w:rsidR="00EC58CB">
        <w:rPr>
          <w:rFonts w:cs="Times New Roman"/>
          <w:lang w:val="ru-RU"/>
        </w:rPr>
        <w:t xml:space="preserve">у </w:t>
      </w:r>
      <w:r w:rsidR="00EC58CB" w:rsidRPr="00FD6B73">
        <w:rPr>
          <w:rFonts w:eastAsiaTheme="majorEastAsia" w:cs="Times New Roman"/>
          <w:lang w:val="ru-RU"/>
        </w:rPr>
        <w:t>НСПРЗ</w:t>
      </w:r>
      <w:r w:rsidR="00EC58CB" w:rsidRPr="00FD6B73">
        <w:rPr>
          <w:rFonts w:cs="Times New Roman"/>
          <w:lang w:val="ru-RU"/>
        </w:rPr>
        <w:t xml:space="preserve"> </w:t>
      </w:r>
      <w:r w:rsidRPr="00FD6B73">
        <w:rPr>
          <w:rFonts w:cs="Times New Roman"/>
          <w:lang w:val="ru-RU"/>
        </w:rPr>
        <w:t xml:space="preserve">је препозната неопходност да се осигура континуирано унапређење стручности носилаца правосудних функција и службеника ангажованих у предметима ратних злочина, као и адекватна инфраструктура ради унапређења ефикасности суђења. Поред наведеног, </w:t>
      </w:r>
      <w:r w:rsidR="00ED1D42" w:rsidRPr="00FD6B73">
        <w:rPr>
          <w:rFonts w:eastAsiaTheme="majorEastAsia" w:cs="Times New Roman"/>
          <w:lang w:val="ru-RU"/>
        </w:rPr>
        <w:t>НСПРЗ</w:t>
      </w:r>
      <w:r w:rsidRPr="00FD6B73">
        <w:rPr>
          <w:rFonts w:cs="Times New Roman"/>
          <w:lang w:val="ru-RU"/>
        </w:rPr>
        <w:t xml:space="preserve"> је препознала потребу да се обезбеди континуитет у саставу судских већа, чиме би се обезбедила непрекидност главног претреса у складу са начелом непосредности.</w:t>
      </w:r>
      <w:r w:rsidR="00EC58CB">
        <w:rPr>
          <w:rFonts w:cs="Times New Roman"/>
          <w:lang w:val="ru-RU"/>
        </w:rPr>
        <w:t xml:space="preserve"> </w:t>
      </w:r>
    </w:p>
    <w:p w14:paraId="6721CE36" w14:textId="7C7CEA22" w:rsidR="00AF1189" w:rsidRPr="00FD6B73" w:rsidRDefault="00AF1189" w:rsidP="00F10AC7">
      <w:pPr>
        <w:spacing w:after="120" w:line="240" w:lineRule="auto"/>
        <w:rPr>
          <w:rFonts w:cs="Times New Roman"/>
          <w:lang w:val="ru-RU"/>
        </w:rPr>
      </w:pPr>
      <w:r w:rsidRPr="00FD6B73">
        <w:rPr>
          <w:rFonts w:cs="Times New Roman"/>
          <w:lang w:val="ru-RU"/>
        </w:rPr>
        <w:t xml:space="preserve">У Одељењу за ратне злочине Апелационог суда је дошло до промене у </w:t>
      </w:r>
      <w:r w:rsidRPr="00EC58CB">
        <w:rPr>
          <w:rFonts w:cs="Times New Roman"/>
          <w:bCs/>
          <w:lang w:val="ru-RU"/>
        </w:rPr>
        <w:t>саставу већа</w:t>
      </w:r>
      <w:r w:rsidRPr="00EC58CB">
        <w:rPr>
          <w:rFonts w:cs="Times New Roman"/>
          <w:lang w:val="ru-RU"/>
        </w:rPr>
        <w:t>,</w:t>
      </w:r>
      <w:r w:rsidRPr="00FD6B73">
        <w:rPr>
          <w:rFonts w:cs="Times New Roman"/>
          <w:lang w:val="ru-RU"/>
        </w:rPr>
        <w:t xml:space="preserve">  услед одласка у пензију досадашњег председника Одељења за ратне злочине, из ког разлога је за новог председника већа именован до сада члан већа Одељења за ратне злочине, те како није било распоређивања новог су</w:t>
      </w:r>
      <w:r w:rsidR="00627E81">
        <w:rPr>
          <w:rFonts w:cs="Times New Roman"/>
          <w:lang w:val="ru-RU"/>
        </w:rPr>
        <w:t xml:space="preserve">дије у рад овог Одељења, то је </w:t>
      </w:r>
      <w:r w:rsidRPr="00FD6B73">
        <w:rPr>
          <w:rFonts w:cs="Times New Roman"/>
          <w:lang w:val="ru-RU"/>
        </w:rPr>
        <w:t>тренутно распоређено петоро судија у рад, чиме је и даље обезбеђено несметано поступање овог суда, као другостепеног, у предметима за ратне злочине.</w:t>
      </w:r>
    </w:p>
    <w:p w14:paraId="16F0E176" w14:textId="1F7C1443" w:rsidR="00AF1189" w:rsidRPr="00FD6B73" w:rsidRDefault="00AF1189" w:rsidP="00F10AC7">
      <w:pPr>
        <w:spacing w:after="120" w:line="240" w:lineRule="auto"/>
        <w:rPr>
          <w:rFonts w:cs="Times New Roman"/>
          <w:lang w:val="ru-RU"/>
        </w:rPr>
      </w:pPr>
      <w:r w:rsidRPr="00FD6B73">
        <w:rPr>
          <w:rFonts w:cs="Times New Roman"/>
          <w:color w:val="000000"/>
          <w:lang w:val="ru-RU"/>
        </w:rPr>
        <w:t xml:space="preserve">У периоду од 2016. до 2020. године нису одређиване </w:t>
      </w:r>
      <w:r w:rsidRPr="00EC58CB">
        <w:rPr>
          <w:rFonts w:cs="Times New Roman"/>
          <w:bCs/>
          <w:color w:val="000000"/>
          <w:lang w:val="ru-RU"/>
        </w:rPr>
        <w:t>допунске судије</w:t>
      </w:r>
      <w:r w:rsidRPr="00FD6B73">
        <w:rPr>
          <w:rFonts w:cs="Times New Roman"/>
          <w:color w:val="000000"/>
          <w:lang w:val="ru-RU"/>
        </w:rPr>
        <w:t xml:space="preserve"> у предметима у којима поступа Одељење за ратне злочине Вишег суда у Београду јер ни један председник </w:t>
      </w:r>
      <w:r w:rsidRPr="00FD6B73">
        <w:rPr>
          <w:rFonts w:cs="Times New Roman"/>
          <w:color w:val="000000"/>
          <w:lang w:val="ru-RU"/>
        </w:rPr>
        <w:lastRenderedPageBreak/>
        <w:t>већа то није затражио од председника суда у смислу одредбе члана 359</w:t>
      </w:r>
      <w:r w:rsidR="00EC58CB">
        <w:rPr>
          <w:rFonts w:cs="Times New Roman"/>
          <w:color w:val="000000"/>
          <w:lang w:val="ru-RU"/>
        </w:rPr>
        <w:t>.</w:t>
      </w:r>
      <w:r w:rsidRPr="00FD6B73">
        <w:rPr>
          <w:rFonts w:cs="Times New Roman"/>
          <w:color w:val="000000"/>
          <w:lang w:val="ru-RU"/>
        </w:rPr>
        <w:t xml:space="preserve"> Законика о кривичном поступку.</w:t>
      </w:r>
    </w:p>
    <w:p w14:paraId="3206184D" w14:textId="77777777" w:rsidR="00AF1189" w:rsidRPr="00FD6B73" w:rsidRDefault="00AF1189" w:rsidP="00F10AC7">
      <w:pPr>
        <w:spacing w:after="120" w:line="240" w:lineRule="auto"/>
        <w:rPr>
          <w:rFonts w:cs="Times New Roman"/>
          <w:lang w:val="ru-RU"/>
        </w:rPr>
      </w:pPr>
      <w:r w:rsidRPr="00FD6B73">
        <w:rPr>
          <w:rFonts w:cs="Times New Roman"/>
          <w:lang w:val="ru-RU"/>
        </w:rPr>
        <w:t xml:space="preserve">Ради </w:t>
      </w:r>
      <w:r w:rsidRPr="00EC58CB">
        <w:rPr>
          <w:rFonts w:cs="Times New Roman"/>
          <w:bCs/>
          <w:lang w:val="ru-RU"/>
        </w:rPr>
        <w:t>уједначавања праксе Већа за ратне злочине</w:t>
      </w:r>
      <w:r w:rsidRPr="00FD6B73">
        <w:rPr>
          <w:rFonts w:cs="Times New Roman"/>
          <w:lang w:val="ru-RU"/>
        </w:rPr>
        <w:t xml:space="preserve"> Одлуком о годишњем распореду председника Вишег суда у Београду број Су </w:t>
      </w:r>
      <w:r w:rsidRPr="00CD46D4">
        <w:rPr>
          <w:rFonts w:cs="Times New Roman"/>
        </w:rPr>
        <w:t>I</w:t>
      </w:r>
      <w:r w:rsidRPr="00FD6B73">
        <w:rPr>
          <w:rFonts w:cs="Times New Roman"/>
          <w:lang w:val="ru-RU"/>
        </w:rPr>
        <w:t>-2 193/17 формирано је Одељење судске праксе у Вишем суду у Београду које чине десет судија, а председник Одељења за ратне злочине је руководилац судске праксе Одељења за ратне злочине.</w:t>
      </w:r>
    </w:p>
    <w:p w14:paraId="2EDF10CC" w14:textId="4A539DE6"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уједначености судске праксе, </w:t>
      </w:r>
      <w:r w:rsidR="00EC58CB" w:rsidRPr="00FD6B73">
        <w:rPr>
          <w:rFonts w:eastAsiaTheme="majorEastAsia" w:cs="Times New Roman"/>
          <w:lang w:val="ru-RU"/>
        </w:rPr>
        <w:t>НСПРЗ</w:t>
      </w:r>
      <w:r w:rsidR="00EC58CB" w:rsidRPr="00FD6B73">
        <w:rPr>
          <w:rFonts w:cs="Times New Roman"/>
          <w:lang w:val="ru-RU"/>
        </w:rPr>
        <w:t xml:space="preserve"> </w:t>
      </w:r>
      <w:r w:rsidR="00627E81">
        <w:rPr>
          <w:rFonts w:cs="Times New Roman"/>
          <w:lang w:val="ru-RU"/>
        </w:rPr>
        <w:t xml:space="preserve">је предвидела иницијативу </w:t>
      </w:r>
      <w:r w:rsidR="00484974" w:rsidRPr="00FD6B73">
        <w:rPr>
          <w:rFonts w:cs="Times New Roman"/>
          <w:lang w:val="ru-RU"/>
        </w:rPr>
        <w:t xml:space="preserve">тужиоца </w:t>
      </w:r>
      <w:r w:rsidRPr="00FD6B73">
        <w:rPr>
          <w:rFonts w:cs="Times New Roman"/>
          <w:lang w:val="ru-RU"/>
        </w:rPr>
        <w:t xml:space="preserve">за ратне злочине који би требало да започне преговоре са својим партнерима у суседним државама о успостављању обједињене регионалне базе података о свим случајевима суђења за ратне злочине, која би била електронски доступна свим судовима и странама у поступку, као и најширој јавности, под условима заштите података о личности, чиме би се значајно допринело уједначавању судске праксе. </w:t>
      </w:r>
      <w:r w:rsidR="00EC58CB">
        <w:rPr>
          <w:rFonts w:cs="Times New Roman"/>
          <w:lang w:val="ru-RU"/>
        </w:rPr>
        <w:t xml:space="preserve"> </w:t>
      </w:r>
    </w:p>
    <w:p w14:paraId="3E943F3F" w14:textId="3E3A9E3E" w:rsidR="00AF1189" w:rsidRPr="00FD6B73" w:rsidRDefault="00AF1189" w:rsidP="00F10AC7">
      <w:pPr>
        <w:spacing w:before="280" w:after="120" w:line="240" w:lineRule="auto"/>
        <w:rPr>
          <w:rFonts w:cs="Times New Roman"/>
          <w:lang w:val="ru-RU"/>
        </w:rPr>
      </w:pPr>
      <w:r w:rsidRPr="00FD6B73">
        <w:rPr>
          <w:rFonts w:cs="Times New Roman"/>
          <w:color w:val="000000"/>
          <w:lang w:val="ru-RU"/>
        </w:rPr>
        <w:t>Тужилац за ратне злочине је иницирала успостављање заједничке евиденције случајева ратних злочина на регионалном нивоу у септембру 2018. године, током четвртих регионалних консултација у оквиру пројекта</w:t>
      </w:r>
      <w:r w:rsidR="00741390">
        <w:rPr>
          <w:rFonts w:cs="Times New Roman"/>
          <w:color w:val="000000"/>
          <w:lang w:val="ru-RU"/>
        </w:rPr>
        <w:t xml:space="preserve"> </w:t>
      </w:r>
      <w:r w:rsidR="000B73E4" w:rsidRPr="00FD6B73">
        <w:rPr>
          <w:rFonts w:cs="Times New Roman"/>
          <w:color w:val="000000"/>
          <w:lang w:val="ru-RU"/>
        </w:rPr>
        <w:t>УНДП</w:t>
      </w:r>
      <w:r w:rsidR="00741390">
        <w:rPr>
          <w:rFonts w:cs="Times New Roman"/>
          <w:color w:val="000000"/>
          <w:lang w:val="ru-RU"/>
        </w:rPr>
        <w:t xml:space="preserve"> </w:t>
      </w:r>
      <w:r w:rsidR="0070172A" w:rsidRPr="00FD6B73">
        <w:rPr>
          <w:rFonts w:cs="Times New Roman"/>
          <w:color w:val="000000"/>
          <w:lang w:val="ru-RU"/>
        </w:rPr>
        <w:t>„</w:t>
      </w:r>
      <w:r w:rsidRPr="00FD6B73">
        <w:rPr>
          <w:rFonts w:cs="Times New Roman"/>
          <w:color w:val="000000"/>
          <w:lang w:val="ru-RU"/>
        </w:rPr>
        <w:t>Јачање регионалне сарадње у процесуирању ратних злочина и потрагама за несталим особама (2017–2019)</w:t>
      </w:r>
      <w:r w:rsidR="00586C7D">
        <w:rPr>
          <w:rFonts w:cs="Times New Roman"/>
          <w:color w:val="000000"/>
          <w:lang w:val="ru-RU"/>
        </w:rPr>
        <w:t>ˮ</w:t>
      </w:r>
      <w:r w:rsidRPr="00FD6B73">
        <w:rPr>
          <w:rFonts w:cs="Times New Roman"/>
          <w:color w:val="000000"/>
          <w:lang w:val="ru-RU"/>
        </w:rPr>
        <w:t>. Статус спровођења ове активности након иницијативе остао је непромењен, евиденција догађаја још увек није формирана.</w:t>
      </w:r>
    </w:p>
    <w:p w14:paraId="584B2542" w14:textId="1B792901" w:rsidR="00AF1189" w:rsidRPr="00FD6B73" w:rsidRDefault="00AF1189" w:rsidP="00F10AC7">
      <w:pPr>
        <w:spacing w:after="120" w:line="240" w:lineRule="auto"/>
        <w:rPr>
          <w:rFonts w:cs="Times New Roman"/>
          <w:lang w:val="ru-RU" w:eastAsia="ar-SA"/>
        </w:rPr>
      </w:pPr>
      <w:r w:rsidRPr="00FD6B73">
        <w:rPr>
          <w:rFonts w:cs="Times New Roman"/>
          <w:lang w:val="ru-RU" w:eastAsia="ar-SA"/>
        </w:rPr>
        <w:t xml:space="preserve">Поред наведеног, на Регионалној конференцији тужилаца одржаној у Београду, </w:t>
      </w:r>
      <w:r w:rsidR="000B73E4" w:rsidRPr="00FD6B73">
        <w:rPr>
          <w:rFonts w:cs="Times New Roman"/>
          <w:lang w:val="ru-RU" w:eastAsia="ar-SA"/>
        </w:rPr>
        <w:t>у мају</w:t>
      </w:r>
      <w:r w:rsidR="00B80F64" w:rsidRPr="00FD6B73">
        <w:rPr>
          <w:rFonts w:cs="Times New Roman"/>
          <w:lang w:val="ru-RU" w:eastAsia="ar-SA"/>
        </w:rPr>
        <w:t xml:space="preserve"> 2019</w:t>
      </w:r>
      <w:r w:rsidR="000B73E4" w:rsidRPr="00FD6B73">
        <w:rPr>
          <w:rFonts w:cs="Times New Roman"/>
          <w:lang w:val="ru-RU" w:eastAsia="ar-SA"/>
        </w:rPr>
        <w:t>.</w:t>
      </w:r>
      <w:r w:rsidR="00EC58CB">
        <w:rPr>
          <w:rFonts w:cs="Times New Roman"/>
          <w:lang w:val="ru-RU" w:eastAsia="ar-SA"/>
        </w:rPr>
        <w:t xml:space="preserve"> године</w:t>
      </w:r>
      <w:r w:rsidR="00B80F64" w:rsidRPr="00FD6B73">
        <w:rPr>
          <w:rFonts w:cs="Times New Roman"/>
          <w:lang w:val="ru-RU" w:eastAsia="ar-SA"/>
        </w:rPr>
        <w:t>,</w:t>
      </w:r>
      <w:r w:rsidR="00741390">
        <w:rPr>
          <w:rFonts w:cs="Times New Roman"/>
          <w:lang w:val="ru-RU" w:eastAsia="ar-SA"/>
        </w:rPr>
        <w:t xml:space="preserve"> </w:t>
      </w:r>
      <w:r w:rsidRPr="00FD6B73">
        <w:rPr>
          <w:rFonts w:cs="Times New Roman"/>
          <w:lang w:val="ru-RU" w:eastAsia="ar-SA"/>
        </w:rPr>
        <w:t>учесници конференције – представници ТРЗ и тужилаштава из региона, као и тужилац МРМКС, разменили су мишљења, ставове и досадашња искуства у предметима ратних злочина, с освртом на јавнотужилачку и судску праксу и указали на одређене специфичности у тој пракси са којима су се сусретали кроз досадашњи рад.</w:t>
      </w:r>
    </w:p>
    <w:p w14:paraId="033234A6" w14:textId="7E000B82" w:rsidR="00EC58CB" w:rsidRDefault="00AF1189" w:rsidP="00F10AC7">
      <w:pPr>
        <w:spacing w:after="120" w:line="240" w:lineRule="auto"/>
        <w:rPr>
          <w:rFonts w:cs="Times New Roman"/>
          <w:lang w:val="ru-RU"/>
        </w:rPr>
      </w:pPr>
      <w:r w:rsidRPr="00FD6B73">
        <w:rPr>
          <w:rFonts w:cs="Times New Roman"/>
          <w:lang w:val="ru-RU"/>
        </w:rPr>
        <w:t xml:space="preserve">Како је </w:t>
      </w:r>
      <w:r w:rsidR="00EC58CB">
        <w:rPr>
          <w:rFonts w:cs="Times New Roman"/>
          <w:lang w:val="ru-RU"/>
        </w:rPr>
        <w:t xml:space="preserve">у </w:t>
      </w:r>
      <w:r w:rsidR="00EC58CB" w:rsidRPr="00FD6B73">
        <w:rPr>
          <w:rFonts w:eastAsiaTheme="majorEastAsia" w:cs="Times New Roman"/>
          <w:lang w:val="ru-RU"/>
        </w:rPr>
        <w:t>НСПРЗ</w:t>
      </w:r>
      <w:r w:rsidR="00EC58CB" w:rsidRPr="00FD6B73">
        <w:rPr>
          <w:rFonts w:cs="Times New Roman"/>
          <w:lang w:val="ru-RU"/>
        </w:rPr>
        <w:t xml:space="preserve"> </w:t>
      </w:r>
      <w:r w:rsidRPr="00FD6B73">
        <w:rPr>
          <w:rFonts w:cs="Times New Roman"/>
          <w:lang w:val="ru-RU"/>
        </w:rPr>
        <w:t>препозна</w:t>
      </w:r>
      <w:r w:rsidR="00EC58CB">
        <w:rPr>
          <w:rFonts w:cs="Times New Roman"/>
          <w:lang w:val="ru-RU"/>
        </w:rPr>
        <w:t>т</w:t>
      </w:r>
      <w:r w:rsidRPr="00FD6B73">
        <w:rPr>
          <w:rFonts w:cs="Times New Roman"/>
          <w:lang w:val="ru-RU"/>
        </w:rPr>
        <w:t xml:space="preserve"> и значај </w:t>
      </w:r>
      <w:r w:rsidRPr="00FD6B73">
        <w:rPr>
          <w:rFonts w:cs="Times New Roman"/>
          <w:b/>
          <w:bCs/>
          <w:lang w:val="ru-RU"/>
        </w:rPr>
        <w:t>инфраструктурних предуслова</w:t>
      </w:r>
      <w:r w:rsidRPr="00FD6B73">
        <w:rPr>
          <w:rFonts w:cs="Times New Roman"/>
          <w:lang w:val="ru-RU"/>
        </w:rPr>
        <w:t xml:space="preserve"> за ефикасност суђења, важно је напоменути да је за улагања у инфраструктуру посебних одељења надлежно Министарство правде, док је </w:t>
      </w:r>
      <w:r w:rsidR="00EC58CB">
        <w:rPr>
          <w:rFonts w:cs="Times New Roman"/>
          <w:lang w:val="ru-RU"/>
        </w:rPr>
        <w:t>ТРЗ</w:t>
      </w:r>
      <w:r w:rsidRPr="00FD6B73">
        <w:rPr>
          <w:rFonts w:cs="Times New Roman"/>
          <w:lang w:val="ru-RU"/>
        </w:rPr>
        <w:t xml:space="preserve"> директни буџетски корисник. Такође, битно је направити разлику између три врсте инфраструктурних улагања (зграде и објекти, опрема и текуће улагање, при чему је из Табеле 3 видљиво да је у посматраном периоду укупно инфраструктурно улагање за посебна одељења износило 9.621.000,00 динара (око 82.000 евра), при чему није било улагања у објекте, већ само у опрему и текуће одржавање.</w:t>
      </w:r>
      <w:r w:rsidR="00180A8A" w:rsidRPr="00CD46D4">
        <w:rPr>
          <w:rStyle w:val="FootnoteReference"/>
          <w:rFonts w:cs="Times New Roman"/>
        </w:rPr>
        <w:footnoteReference w:id="41"/>
      </w:r>
      <w:r w:rsidR="00EC58CB">
        <w:rPr>
          <w:rFonts w:cs="Times New Roman"/>
          <w:lang w:val="ru-RU"/>
        </w:rPr>
        <w:t xml:space="preserve">  </w:t>
      </w:r>
    </w:p>
    <w:p w14:paraId="62C67808" w14:textId="77777777" w:rsidR="00EC58CB" w:rsidRPr="00FD6B73" w:rsidRDefault="00EC58CB" w:rsidP="00F10AC7">
      <w:pPr>
        <w:spacing w:after="120" w:line="240" w:lineRule="auto"/>
        <w:rPr>
          <w:rFonts w:cs="Times New Roman"/>
          <w:lang w:val="ru-RU"/>
        </w:rPr>
      </w:pPr>
    </w:p>
    <w:p w14:paraId="3C4F0845" w14:textId="3D91D58A" w:rsidR="00AF1189" w:rsidRPr="00FD6B73" w:rsidRDefault="00AF1189" w:rsidP="00F10AC7">
      <w:pPr>
        <w:spacing w:after="120" w:line="240" w:lineRule="auto"/>
        <w:jc w:val="center"/>
        <w:rPr>
          <w:rFonts w:cs="Times New Roman"/>
          <w:sz w:val="20"/>
          <w:szCs w:val="20"/>
          <w:lang w:val="ru-RU"/>
        </w:rPr>
      </w:pPr>
      <w:r w:rsidRPr="00FD6B73">
        <w:rPr>
          <w:rFonts w:cs="Times New Roman"/>
          <w:sz w:val="20"/>
          <w:szCs w:val="20"/>
          <w:lang w:val="ru-RU"/>
        </w:rPr>
        <w:t>Табела 3: Инвестициона улагања и текуће одржавање</w:t>
      </w:r>
      <w:r w:rsidR="00741390">
        <w:rPr>
          <w:rFonts w:cs="Times New Roman"/>
          <w:sz w:val="20"/>
          <w:szCs w:val="20"/>
          <w:lang w:val="ru-RU"/>
        </w:rPr>
        <w:t xml:space="preserve"> </w:t>
      </w:r>
      <w:r w:rsidRPr="00FD6B73">
        <w:rPr>
          <w:rFonts w:cs="Times New Roman"/>
          <w:sz w:val="20"/>
          <w:szCs w:val="20"/>
          <w:lang w:val="ru-RU"/>
        </w:rPr>
        <w:t>- Посебно одељење Вишег суда у Београду (2016-2020)</w:t>
      </w:r>
    </w:p>
    <w:tbl>
      <w:tblPr>
        <w:tblStyle w:val="TableGrid"/>
        <w:tblW w:w="0" w:type="auto"/>
        <w:jc w:val="center"/>
        <w:tblLook w:val="04A0" w:firstRow="1" w:lastRow="0" w:firstColumn="1" w:lastColumn="0" w:noHBand="0" w:noVBand="1"/>
      </w:tblPr>
      <w:tblGrid>
        <w:gridCol w:w="2337"/>
        <w:gridCol w:w="2337"/>
        <w:gridCol w:w="2338"/>
        <w:gridCol w:w="2338"/>
      </w:tblGrid>
      <w:tr w:rsidR="00AF1189" w:rsidRPr="00A75929" w14:paraId="29D259C6" w14:textId="77777777" w:rsidTr="00AF1189">
        <w:trPr>
          <w:jc w:val="center"/>
        </w:trPr>
        <w:tc>
          <w:tcPr>
            <w:tcW w:w="2337" w:type="dxa"/>
            <w:shd w:val="clear" w:color="auto" w:fill="DEEAF6" w:themeFill="accent1" w:themeFillTint="33"/>
          </w:tcPr>
          <w:p w14:paraId="3EFD0952" w14:textId="77777777" w:rsidR="00AF1189" w:rsidRPr="00A75929" w:rsidRDefault="00AF1189" w:rsidP="00F10AC7">
            <w:pPr>
              <w:spacing w:after="120"/>
              <w:jc w:val="center"/>
              <w:rPr>
                <w:rFonts w:cs="Times New Roman"/>
                <w:b/>
                <w:bCs/>
                <w:szCs w:val="24"/>
              </w:rPr>
            </w:pPr>
            <w:r w:rsidRPr="00A75929">
              <w:rPr>
                <w:rFonts w:cs="Times New Roman"/>
                <w:b/>
                <w:bCs/>
                <w:szCs w:val="24"/>
              </w:rPr>
              <w:t>ГОДИНА</w:t>
            </w:r>
          </w:p>
        </w:tc>
        <w:tc>
          <w:tcPr>
            <w:tcW w:w="7013" w:type="dxa"/>
            <w:gridSpan w:val="3"/>
            <w:shd w:val="clear" w:color="auto" w:fill="DEEAF6" w:themeFill="accent1" w:themeFillTint="33"/>
          </w:tcPr>
          <w:p w14:paraId="0C5B68DB" w14:textId="77777777" w:rsidR="00AF1189" w:rsidRPr="00A75929" w:rsidRDefault="00AF1189" w:rsidP="00F10AC7">
            <w:pPr>
              <w:spacing w:after="120"/>
              <w:jc w:val="center"/>
              <w:rPr>
                <w:rFonts w:cs="Times New Roman"/>
                <w:b/>
                <w:bCs/>
                <w:szCs w:val="24"/>
              </w:rPr>
            </w:pPr>
            <w:r w:rsidRPr="00A75929">
              <w:rPr>
                <w:rFonts w:cs="Times New Roman"/>
                <w:b/>
                <w:bCs/>
                <w:szCs w:val="24"/>
              </w:rPr>
              <w:t>НАМЕНА</w:t>
            </w:r>
          </w:p>
        </w:tc>
      </w:tr>
      <w:tr w:rsidR="00AF1189" w:rsidRPr="00A75929" w14:paraId="3EA6506F" w14:textId="77777777" w:rsidTr="00AF1189">
        <w:trPr>
          <w:jc w:val="center"/>
        </w:trPr>
        <w:tc>
          <w:tcPr>
            <w:tcW w:w="2337" w:type="dxa"/>
            <w:shd w:val="clear" w:color="auto" w:fill="BDD6EE" w:themeFill="accent1" w:themeFillTint="66"/>
          </w:tcPr>
          <w:p w14:paraId="05CACDF6" w14:textId="77777777" w:rsidR="00AF1189" w:rsidRPr="00A75929" w:rsidRDefault="00AF1189" w:rsidP="00F10AC7">
            <w:pPr>
              <w:spacing w:after="120"/>
              <w:rPr>
                <w:rFonts w:cs="Times New Roman"/>
                <w:szCs w:val="24"/>
              </w:rPr>
            </w:pPr>
          </w:p>
        </w:tc>
        <w:tc>
          <w:tcPr>
            <w:tcW w:w="2337" w:type="dxa"/>
            <w:shd w:val="clear" w:color="auto" w:fill="BDD6EE" w:themeFill="accent1" w:themeFillTint="66"/>
          </w:tcPr>
          <w:p w14:paraId="504BFF5A" w14:textId="77777777" w:rsidR="00AF1189" w:rsidRPr="00A75929" w:rsidRDefault="00AF1189" w:rsidP="00F10AC7">
            <w:pPr>
              <w:spacing w:after="120"/>
              <w:rPr>
                <w:rFonts w:cs="Times New Roman"/>
                <w:b/>
                <w:bCs/>
                <w:szCs w:val="24"/>
              </w:rPr>
            </w:pPr>
            <w:r w:rsidRPr="00A75929">
              <w:rPr>
                <w:rFonts w:cs="Times New Roman"/>
                <w:b/>
                <w:bCs/>
                <w:szCs w:val="24"/>
              </w:rPr>
              <w:t xml:space="preserve">Зграде и објекти </w:t>
            </w:r>
          </w:p>
        </w:tc>
        <w:tc>
          <w:tcPr>
            <w:tcW w:w="2338" w:type="dxa"/>
            <w:shd w:val="clear" w:color="auto" w:fill="BDD6EE" w:themeFill="accent1" w:themeFillTint="66"/>
          </w:tcPr>
          <w:p w14:paraId="0E900740" w14:textId="77777777" w:rsidR="00AF1189" w:rsidRPr="00A75929" w:rsidRDefault="00AF1189" w:rsidP="00F10AC7">
            <w:pPr>
              <w:spacing w:after="120"/>
              <w:rPr>
                <w:rFonts w:cs="Times New Roman"/>
                <w:b/>
                <w:bCs/>
                <w:szCs w:val="24"/>
              </w:rPr>
            </w:pPr>
            <w:r w:rsidRPr="00A75929">
              <w:rPr>
                <w:rFonts w:cs="Times New Roman"/>
                <w:b/>
                <w:bCs/>
                <w:szCs w:val="24"/>
              </w:rPr>
              <w:t>Опрема</w:t>
            </w:r>
          </w:p>
        </w:tc>
        <w:tc>
          <w:tcPr>
            <w:tcW w:w="2338" w:type="dxa"/>
            <w:shd w:val="clear" w:color="auto" w:fill="BDD6EE" w:themeFill="accent1" w:themeFillTint="66"/>
          </w:tcPr>
          <w:p w14:paraId="4672D6C6" w14:textId="77777777" w:rsidR="00AF1189" w:rsidRPr="00A75929" w:rsidRDefault="00AF1189" w:rsidP="00F10AC7">
            <w:pPr>
              <w:spacing w:after="120"/>
              <w:rPr>
                <w:rFonts w:cs="Times New Roman"/>
                <w:b/>
                <w:bCs/>
                <w:szCs w:val="24"/>
              </w:rPr>
            </w:pPr>
            <w:r w:rsidRPr="00A75929">
              <w:rPr>
                <w:rFonts w:cs="Times New Roman"/>
                <w:b/>
                <w:bCs/>
                <w:szCs w:val="24"/>
              </w:rPr>
              <w:t>Текуће одржавање</w:t>
            </w:r>
          </w:p>
        </w:tc>
      </w:tr>
      <w:tr w:rsidR="00AF1189" w:rsidRPr="00A75929" w14:paraId="57786971" w14:textId="77777777" w:rsidTr="00AF1189">
        <w:trPr>
          <w:jc w:val="center"/>
        </w:trPr>
        <w:tc>
          <w:tcPr>
            <w:tcW w:w="2337" w:type="dxa"/>
          </w:tcPr>
          <w:p w14:paraId="0D687863" w14:textId="172854AD" w:rsidR="00AF1189" w:rsidRPr="00EC58CB" w:rsidRDefault="00EC58CB" w:rsidP="00F10AC7">
            <w:pPr>
              <w:spacing w:after="120"/>
              <w:rPr>
                <w:rFonts w:cs="Times New Roman"/>
                <w:bCs/>
                <w:szCs w:val="24"/>
              </w:rPr>
            </w:pPr>
            <w:r w:rsidRPr="00EC58CB">
              <w:rPr>
                <w:rFonts w:cs="Times New Roman"/>
                <w:bCs/>
                <w:szCs w:val="24"/>
              </w:rPr>
              <w:t>2016</w:t>
            </w:r>
          </w:p>
        </w:tc>
        <w:tc>
          <w:tcPr>
            <w:tcW w:w="2337" w:type="dxa"/>
            <w:vAlign w:val="center"/>
          </w:tcPr>
          <w:p w14:paraId="7BDF1B11" w14:textId="77777777" w:rsidR="00AF1189" w:rsidRPr="00A75929" w:rsidRDefault="00AF1189" w:rsidP="00F10AC7">
            <w:pPr>
              <w:spacing w:after="120"/>
              <w:rPr>
                <w:rFonts w:cs="Times New Roman"/>
                <w:szCs w:val="24"/>
              </w:rPr>
            </w:pPr>
            <w:r w:rsidRPr="00A75929">
              <w:rPr>
                <w:rFonts w:cs="Times New Roman"/>
                <w:color w:val="000000"/>
                <w:szCs w:val="24"/>
              </w:rPr>
              <w:t>0,00</w:t>
            </w:r>
          </w:p>
        </w:tc>
        <w:tc>
          <w:tcPr>
            <w:tcW w:w="2338" w:type="dxa"/>
            <w:vAlign w:val="center"/>
          </w:tcPr>
          <w:p w14:paraId="391E68B7" w14:textId="77777777" w:rsidR="00AF1189" w:rsidRPr="00A75929" w:rsidRDefault="00AF1189" w:rsidP="00F10AC7">
            <w:pPr>
              <w:spacing w:after="120"/>
              <w:rPr>
                <w:rFonts w:cs="Times New Roman"/>
                <w:szCs w:val="24"/>
              </w:rPr>
            </w:pPr>
            <w:r w:rsidRPr="00A75929">
              <w:rPr>
                <w:rFonts w:cs="Times New Roman"/>
                <w:szCs w:val="24"/>
              </w:rPr>
              <w:t>267.000,00</w:t>
            </w:r>
          </w:p>
        </w:tc>
        <w:tc>
          <w:tcPr>
            <w:tcW w:w="2338" w:type="dxa"/>
          </w:tcPr>
          <w:p w14:paraId="5EA412F7" w14:textId="77777777" w:rsidR="00AF1189" w:rsidRPr="00A75929" w:rsidRDefault="00AF1189" w:rsidP="00F10AC7">
            <w:pPr>
              <w:spacing w:after="120"/>
              <w:rPr>
                <w:rFonts w:cs="Times New Roman"/>
                <w:color w:val="000000"/>
                <w:szCs w:val="24"/>
              </w:rPr>
            </w:pPr>
            <w:r w:rsidRPr="00A75929">
              <w:rPr>
                <w:rFonts w:cs="Times New Roman"/>
                <w:color w:val="000000"/>
                <w:szCs w:val="24"/>
              </w:rPr>
              <w:t>145,000.00</w:t>
            </w:r>
          </w:p>
        </w:tc>
      </w:tr>
      <w:tr w:rsidR="00AF1189" w:rsidRPr="00A75929" w14:paraId="4D1B97D4" w14:textId="77777777" w:rsidTr="00AF1189">
        <w:trPr>
          <w:jc w:val="center"/>
        </w:trPr>
        <w:tc>
          <w:tcPr>
            <w:tcW w:w="2337" w:type="dxa"/>
          </w:tcPr>
          <w:p w14:paraId="4171FA7A" w14:textId="174E7C97" w:rsidR="00AF1189" w:rsidRPr="00EC58CB" w:rsidRDefault="00EC58CB" w:rsidP="00F10AC7">
            <w:pPr>
              <w:spacing w:after="120"/>
              <w:rPr>
                <w:rFonts w:cs="Times New Roman"/>
                <w:bCs/>
                <w:szCs w:val="24"/>
              </w:rPr>
            </w:pPr>
            <w:r w:rsidRPr="00EC58CB">
              <w:rPr>
                <w:rFonts w:cs="Times New Roman"/>
                <w:bCs/>
                <w:szCs w:val="24"/>
              </w:rPr>
              <w:t>2017</w:t>
            </w:r>
          </w:p>
        </w:tc>
        <w:tc>
          <w:tcPr>
            <w:tcW w:w="2337" w:type="dxa"/>
            <w:vAlign w:val="center"/>
          </w:tcPr>
          <w:p w14:paraId="4CA2FFC6" w14:textId="77777777" w:rsidR="00AF1189" w:rsidRPr="00A75929" w:rsidRDefault="00AF1189" w:rsidP="00F10AC7">
            <w:pPr>
              <w:spacing w:after="120"/>
              <w:rPr>
                <w:rFonts w:cs="Times New Roman"/>
                <w:szCs w:val="24"/>
              </w:rPr>
            </w:pPr>
            <w:r w:rsidRPr="00A75929">
              <w:rPr>
                <w:rFonts w:cs="Times New Roman"/>
                <w:color w:val="000000"/>
                <w:szCs w:val="24"/>
              </w:rPr>
              <w:t>0,00</w:t>
            </w:r>
          </w:p>
        </w:tc>
        <w:tc>
          <w:tcPr>
            <w:tcW w:w="2338" w:type="dxa"/>
            <w:vAlign w:val="center"/>
          </w:tcPr>
          <w:p w14:paraId="243B2686" w14:textId="77777777" w:rsidR="00AF1189" w:rsidRPr="00A75929" w:rsidRDefault="00AF1189" w:rsidP="00F10AC7">
            <w:pPr>
              <w:spacing w:after="120"/>
              <w:rPr>
                <w:rFonts w:cs="Times New Roman"/>
                <w:color w:val="000000"/>
                <w:szCs w:val="24"/>
              </w:rPr>
            </w:pPr>
            <w:r w:rsidRPr="00A75929">
              <w:rPr>
                <w:rFonts w:cs="Times New Roman"/>
                <w:color w:val="000000"/>
                <w:szCs w:val="24"/>
              </w:rPr>
              <w:t>3.500.000,00</w:t>
            </w:r>
          </w:p>
        </w:tc>
        <w:tc>
          <w:tcPr>
            <w:tcW w:w="2338" w:type="dxa"/>
          </w:tcPr>
          <w:p w14:paraId="0C41A31F" w14:textId="77777777" w:rsidR="00AF1189" w:rsidRPr="00A75929" w:rsidRDefault="00AF1189" w:rsidP="00F10AC7">
            <w:pPr>
              <w:spacing w:after="120"/>
              <w:rPr>
                <w:rFonts w:cs="Times New Roman"/>
                <w:szCs w:val="24"/>
              </w:rPr>
            </w:pPr>
            <w:r w:rsidRPr="00A75929">
              <w:rPr>
                <w:rFonts w:cs="Times New Roman"/>
                <w:color w:val="000000"/>
                <w:szCs w:val="24"/>
              </w:rPr>
              <w:t>0.00</w:t>
            </w:r>
          </w:p>
        </w:tc>
      </w:tr>
      <w:tr w:rsidR="00AF1189" w:rsidRPr="00A75929" w14:paraId="38090CE0" w14:textId="77777777" w:rsidTr="00AF1189">
        <w:trPr>
          <w:jc w:val="center"/>
        </w:trPr>
        <w:tc>
          <w:tcPr>
            <w:tcW w:w="2337" w:type="dxa"/>
          </w:tcPr>
          <w:p w14:paraId="369C895E" w14:textId="3553EA8C" w:rsidR="00AF1189" w:rsidRPr="00EC58CB" w:rsidRDefault="00EC58CB" w:rsidP="00F10AC7">
            <w:pPr>
              <w:spacing w:after="120"/>
              <w:rPr>
                <w:rFonts w:cs="Times New Roman"/>
                <w:bCs/>
                <w:szCs w:val="24"/>
              </w:rPr>
            </w:pPr>
            <w:r w:rsidRPr="00EC58CB">
              <w:rPr>
                <w:rFonts w:cs="Times New Roman"/>
                <w:bCs/>
                <w:szCs w:val="24"/>
              </w:rPr>
              <w:t>2018</w:t>
            </w:r>
          </w:p>
        </w:tc>
        <w:tc>
          <w:tcPr>
            <w:tcW w:w="2337" w:type="dxa"/>
            <w:vAlign w:val="center"/>
          </w:tcPr>
          <w:p w14:paraId="2E4E9D76" w14:textId="77777777" w:rsidR="00AF1189" w:rsidRPr="00A75929" w:rsidRDefault="00AF1189" w:rsidP="00F10AC7">
            <w:pPr>
              <w:spacing w:after="120"/>
              <w:rPr>
                <w:rFonts w:cs="Times New Roman"/>
                <w:szCs w:val="24"/>
              </w:rPr>
            </w:pPr>
            <w:r w:rsidRPr="00A75929">
              <w:rPr>
                <w:rFonts w:cs="Times New Roman"/>
                <w:color w:val="000000"/>
                <w:szCs w:val="24"/>
              </w:rPr>
              <w:t>0,00</w:t>
            </w:r>
          </w:p>
        </w:tc>
        <w:tc>
          <w:tcPr>
            <w:tcW w:w="2338" w:type="dxa"/>
            <w:vAlign w:val="center"/>
          </w:tcPr>
          <w:p w14:paraId="18FB8831" w14:textId="77777777" w:rsidR="00AF1189" w:rsidRPr="00A75929" w:rsidRDefault="00AF1189" w:rsidP="00F10AC7">
            <w:pPr>
              <w:spacing w:after="120"/>
              <w:rPr>
                <w:rFonts w:cs="Times New Roman"/>
                <w:szCs w:val="24"/>
              </w:rPr>
            </w:pPr>
            <w:r w:rsidRPr="00A75929">
              <w:rPr>
                <w:rFonts w:cs="Times New Roman"/>
                <w:color w:val="000000"/>
                <w:szCs w:val="24"/>
              </w:rPr>
              <w:t>0.00</w:t>
            </w:r>
          </w:p>
        </w:tc>
        <w:tc>
          <w:tcPr>
            <w:tcW w:w="2338" w:type="dxa"/>
          </w:tcPr>
          <w:p w14:paraId="04A48EDB" w14:textId="77777777" w:rsidR="00AF1189" w:rsidRPr="00A75929" w:rsidRDefault="00AF1189" w:rsidP="00F10AC7">
            <w:pPr>
              <w:spacing w:after="120"/>
              <w:rPr>
                <w:rFonts w:cs="Times New Roman"/>
                <w:szCs w:val="24"/>
              </w:rPr>
            </w:pPr>
            <w:r w:rsidRPr="00A75929">
              <w:rPr>
                <w:rFonts w:cs="Times New Roman"/>
                <w:color w:val="000000"/>
                <w:szCs w:val="24"/>
              </w:rPr>
              <w:t>0.00</w:t>
            </w:r>
          </w:p>
        </w:tc>
      </w:tr>
      <w:tr w:rsidR="00AF1189" w:rsidRPr="00A75929" w14:paraId="234612E4" w14:textId="77777777" w:rsidTr="00AF1189">
        <w:trPr>
          <w:jc w:val="center"/>
        </w:trPr>
        <w:tc>
          <w:tcPr>
            <w:tcW w:w="2337" w:type="dxa"/>
          </w:tcPr>
          <w:p w14:paraId="4E3FB262" w14:textId="6AF66146" w:rsidR="00AF1189" w:rsidRPr="00EC58CB" w:rsidRDefault="00EC58CB" w:rsidP="00F10AC7">
            <w:pPr>
              <w:spacing w:after="120"/>
              <w:rPr>
                <w:rFonts w:cs="Times New Roman"/>
                <w:bCs/>
                <w:szCs w:val="24"/>
              </w:rPr>
            </w:pPr>
            <w:r w:rsidRPr="00EC58CB">
              <w:rPr>
                <w:rFonts w:cs="Times New Roman"/>
                <w:bCs/>
                <w:szCs w:val="24"/>
              </w:rPr>
              <w:lastRenderedPageBreak/>
              <w:t>2019</w:t>
            </w:r>
          </w:p>
        </w:tc>
        <w:tc>
          <w:tcPr>
            <w:tcW w:w="2337" w:type="dxa"/>
            <w:vAlign w:val="center"/>
          </w:tcPr>
          <w:p w14:paraId="7CAB3E9A" w14:textId="77777777" w:rsidR="00AF1189" w:rsidRPr="00A75929" w:rsidRDefault="00AF1189" w:rsidP="00F10AC7">
            <w:pPr>
              <w:spacing w:after="120"/>
              <w:rPr>
                <w:rFonts w:cs="Times New Roman"/>
                <w:szCs w:val="24"/>
              </w:rPr>
            </w:pPr>
            <w:r w:rsidRPr="00A75929">
              <w:rPr>
                <w:rFonts w:cs="Times New Roman"/>
                <w:color w:val="000000"/>
                <w:szCs w:val="24"/>
              </w:rPr>
              <w:t>0,00</w:t>
            </w:r>
          </w:p>
        </w:tc>
        <w:tc>
          <w:tcPr>
            <w:tcW w:w="2338" w:type="dxa"/>
            <w:vAlign w:val="center"/>
          </w:tcPr>
          <w:p w14:paraId="508D9474" w14:textId="77777777" w:rsidR="00AF1189" w:rsidRPr="00A75929" w:rsidRDefault="00AF1189" w:rsidP="00F10AC7">
            <w:pPr>
              <w:spacing w:after="120"/>
              <w:rPr>
                <w:rFonts w:cs="Times New Roman"/>
                <w:szCs w:val="24"/>
              </w:rPr>
            </w:pPr>
            <w:r w:rsidRPr="00A75929">
              <w:rPr>
                <w:rFonts w:cs="Times New Roman"/>
                <w:szCs w:val="24"/>
              </w:rPr>
              <w:t>721.000,00</w:t>
            </w:r>
          </w:p>
        </w:tc>
        <w:tc>
          <w:tcPr>
            <w:tcW w:w="2338" w:type="dxa"/>
          </w:tcPr>
          <w:p w14:paraId="6284FF61" w14:textId="77777777" w:rsidR="00AF1189" w:rsidRPr="00A75929" w:rsidRDefault="00AF1189" w:rsidP="00F10AC7">
            <w:pPr>
              <w:spacing w:after="120"/>
              <w:rPr>
                <w:rFonts w:cs="Times New Roman"/>
                <w:szCs w:val="24"/>
              </w:rPr>
            </w:pPr>
            <w:r w:rsidRPr="00A75929">
              <w:rPr>
                <w:rFonts w:cs="Times New Roman"/>
                <w:szCs w:val="24"/>
              </w:rPr>
              <w:t>940.000,00</w:t>
            </w:r>
          </w:p>
        </w:tc>
      </w:tr>
      <w:tr w:rsidR="00AF1189" w:rsidRPr="00A75929" w14:paraId="038CF687" w14:textId="77777777" w:rsidTr="00AF1189">
        <w:trPr>
          <w:jc w:val="center"/>
        </w:trPr>
        <w:tc>
          <w:tcPr>
            <w:tcW w:w="2337" w:type="dxa"/>
          </w:tcPr>
          <w:p w14:paraId="524F88D2" w14:textId="0A77E758" w:rsidR="00AF1189" w:rsidRPr="00EC58CB" w:rsidRDefault="00AF1189" w:rsidP="00F10AC7">
            <w:pPr>
              <w:spacing w:after="120"/>
              <w:rPr>
                <w:rFonts w:cs="Times New Roman"/>
                <w:bCs/>
                <w:szCs w:val="24"/>
              </w:rPr>
            </w:pPr>
            <w:r w:rsidRPr="00EC58CB">
              <w:rPr>
                <w:rFonts w:cs="Times New Roman"/>
                <w:bCs/>
                <w:szCs w:val="24"/>
              </w:rPr>
              <w:t>2020</w:t>
            </w:r>
          </w:p>
        </w:tc>
        <w:tc>
          <w:tcPr>
            <w:tcW w:w="2337" w:type="dxa"/>
            <w:vAlign w:val="center"/>
          </w:tcPr>
          <w:p w14:paraId="5040D1E1" w14:textId="77777777" w:rsidR="00AF1189" w:rsidRPr="00A75929" w:rsidRDefault="00AF1189" w:rsidP="00F10AC7">
            <w:pPr>
              <w:spacing w:after="120"/>
              <w:rPr>
                <w:rFonts w:cs="Times New Roman"/>
                <w:szCs w:val="24"/>
              </w:rPr>
            </w:pPr>
            <w:r w:rsidRPr="00A75929">
              <w:rPr>
                <w:rFonts w:cs="Times New Roman"/>
                <w:color w:val="000000"/>
                <w:szCs w:val="24"/>
              </w:rPr>
              <w:t>0,00</w:t>
            </w:r>
          </w:p>
        </w:tc>
        <w:tc>
          <w:tcPr>
            <w:tcW w:w="2338" w:type="dxa"/>
            <w:vAlign w:val="center"/>
          </w:tcPr>
          <w:p w14:paraId="61C08CA9" w14:textId="77777777" w:rsidR="00AF1189" w:rsidRPr="00A75929" w:rsidRDefault="00AF1189" w:rsidP="00F10AC7">
            <w:pPr>
              <w:spacing w:after="120"/>
              <w:rPr>
                <w:rFonts w:cs="Times New Roman"/>
                <w:color w:val="000000"/>
                <w:szCs w:val="24"/>
              </w:rPr>
            </w:pPr>
            <w:r w:rsidRPr="00A75929">
              <w:rPr>
                <w:rFonts w:cs="Times New Roman"/>
                <w:color w:val="000000"/>
                <w:szCs w:val="24"/>
              </w:rPr>
              <w:t>986,000.00</w:t>
            </w:r>
          </w:p>
        </w:tc>
        <w:tc>
          <w:tcPr>
            <w:tcW w:w="2338" w:type="dxa"/>
          </w:tcPr>
          <w:p w14:paraId="32E12D20" w14:textId="77777777" w:rsidR="00AF1189" w:rsidRPr="00A75929" w:rsidRDefault="00AF1189" w:rsidP="00F10AC7">
            <w:pPr>
              <w:spacing w:after="120"/>
              <w:rPr>
                <w:rFonts w:cs="Times New Roman"/>
                <w:szCs w:val="24"/>
              </w:rPr>
            </w:pPr>
            <w:r w:rsidRPr="00A75929">
              <w:rPr>
                <w:rFonts w:cs="Times New Roman"/>
                <w:szCs w:val="24"/>
              </w:rPr>
              <w:t>3.062.000,00</w:t>
            </w:r>
          </w:p>
        </w:tc>
      </w:tr>
      <w:tr w:rsidR="00AF1189" w:rsidRPr="00A75929" w14:paraId="24940CFF" w14:textId="77777777" w:rsidTr="00AF1189">
        <w:trPr>
          <w:jc w:val="center"/>
        </w:trPr>
        <w:tc>
          <w:tcPr>
            <w:tcW w:w="2337" w:type="dxa"/>
          </w:tcPr>
          <w:p w14:paraId="51DA3A9C" w14:textId="77777777" w:rsidR="00AF1189" w:rsidRPr="00A75929" w:rsidRDefault="00AF1189" w:rsidP="00F10AC7">
            <w:pPr>
              <w:spacing w:after="120"/>
              <w:rPr>
                <w:rFonts w:cs="Times New Roman"/>
                <w:b/>
                <w:bCs/>
                <w:szCs w:val="24"/>
                <w:u w:val="single"/>
              </w:rPr>
            </w:pPr>
            <w:r w:rsidRPr="00A75929">
              <w:rPr>
                <w:rFonts w:cs="Times New Roman"/>
                <w:b/>
                <w:bCs/>
                <w:szCs w:val="24"/>
                <w:u w:val="single"/>
              </w:rPr>
              <w:t xml:space="preserve">Укупно </w:t>
            </w:r>
          </w:p>
          <w:p w14:paraId="3C075AE6" w14:textId="77777777" w:rsidR="00AF1189" w:rsidRPr="00A75929" w:rsidRDefault="00AF1189" w:rsidP="00F10AC7">
            <w:pPr>
              <w:spacing w:after="120"/>
              <w:rPr>
                <w:rFonts w:cs="Times New Roman"/>
                <w:b/>
                <w:bCs/>
                <w:szCs w:val="24"/>
              </w:rPr>
            </w:pPr>
            <w:r w:rsidRPr="00A75929">
              <w:rPr>
                <w:rFonts w:cs="Times New Roman"/>
                <w:b/>
                <w:bCs/>
                <w:szCs w:val="24"/>
              </w:rPr>
              <w:t>9.621.000,00</w:t>
            </w:r>
          </w:p>
        </w:tc>
        <w:tc>
          <w:tcPr>
            <w:tcW w:w="2337" w:type="dxa"/>
          </w:tcPr>
          <w:p w14:paraId="0136F66F" w14:textId="77777777" w:rsidR="00AF1189" w:rsidRPr="00EC58CB" w:rsidRDefault="00AF1189" w:rsidP="00F10AC7">
            <w:pPr>
              <w:spacing w:after="120"/>
              <w:rPr>
                <w:rFonts w:cs="Times New Roman"/>
                <w:b/>
                <w:szCs w:val="24"/>
              </w:rPr>
            </w:pPr>
            <w:r w:rsidRPr="00EC58CB">
              <w:rPr>
                <w:rFonts w:cs="Times New Roman"/>
                <w:b/>
                <w:szCs w:val="24"/>
              </w:rPr>
              <w:t>0,00</w:t>
            </w:r>
          </w:p>
        </w:tc>
        <w:tc>
          <w:tcPr>
            <w:tcW w:w="2338" w:type="dxa"/>
          </w:tcPr>
          <w:p w14:paraId="3498C1BD" w14:textId="77777777" w:rsidR="00AF1189" w:rsidRPr="00A75929" w:rsidRDefault="00AF1189" w:rsidP="00F10AC7">
            <w:pPr>
              <w:spacing w:after="120"/>
              <w:rPr>
                <w:rFonts w:cs="Times New Roman"/>
                <w:b/>
                <w:bCs/>
                <w:color w:val="000000"/>
                <w:szCs w:val="24"/>
              </w:rPr>
            </w:pPr>
            <w:r w:rsidRPr="00A75929">
              <w:rPr>
                <w:rFonts w:cs="Times New Roman"/>
                <w:b/>
                <w:bCs/>
                <w:color w:val="000000"/>
                <w:szCs w:val="24"/>
              </w:rPr>
              <w:t>5,474,000.00</w:t>
            </w:r>
          </w:p>
        </w:tc>
        <w:tc>
          <w:tcPr>
            <w:tcW w:w="2338" w:type="dxa"/>
          </w:tcPr>
          <w:p w14:paraId="634D3917" w14:textId="77777777" w:rsidR="00AF1189" w:rsidRPr="00A75929" w:rsidRDefault="00AF1189" w:rsidP="00F10AC7">
            <w:pPr>
              <w:spacing w:after="120"/>
              <w:rPr>
                <w:rFonts w:cs="Times New Roman"/>
                <w:b/>
                <w:bCs/>
                <w:color w:val="000000"/>
                <w:szCs w:val="24"/>
              </w:rPr>
            </w:pPr>
            <w:r w:rsidRPr="00A75929">
              <w:rPr>
                <w:rFonts w:cs="Times New Roman"/>
                <w:b/>
                <w:bCs/>
                <w:color w:val="000000"/>
                <w:szCs w:val="24"/>
              </w:rPr>
              <w:t>4,147,000.00</w:t>
            </w:r>
          </w:p>
        </w:tc>
      </w:tr>
    </w:tbl>
    <w:p w14:paraId="5EC36881" w14:textId="3EDF259D" w:rsidR="00AF1189" w:rsidRPr="00FD6B73" w:rsidRDefault="00AF1189" w:rsidP="00F10AC7">
      <w:pPr>
        <w:spacing w:before="240" w:after="120" w:line="240" w:lineRule="auto"/>
        <w:rPr>
          <w:rFonts w:cs="Times New Roman"/>
          <w:lang w:val="ru-RU"/>
        </w:rPr>
      </w:pPr>
      <w:r w:rsidRPr="00FD6B73">
        <w:rPr>
          <w:rFonts w:cs="Times New Roman"/>
          <w:lang w:val="ru-RU"/>
        </w:rPr>
        <w:t xml:space="preserve">Према подацима </w:t>
      </w:r>
      <w:r w:rsidR="00EC58CB">
        <w:rPr>
          <w:rFonts w:cs="Times New Roman"/>
          <w:lang w:val="ru-RU"/>
        </w:rPr>
        <w:t>ТРЗ</w:t>
      </w:r>
      <w:r w:rsidRPr="00FD6B73">
        <w:rPr>
          <w:rFonts w:cs="Times New Roman"/>
          <w:lang w:val="ru-RU"/>
        </w:rPr>
        <w:t xml:space="preserve">, у посматраном периоду у набавку опреме инвестирано је укупно </w:t>
      </w:r>
      <w:r w:rsidRPr="00FD6B73">
        <w:rPr>
          <w:rFonts w:cs="Times New Roman"/>
          <w:color w:val="000000"/>
          <w:lang w:val="ru-RU"/>
        </w:rPr>
        <w:t>2.441.108,00 динара, док је у текуће одржавање уложено</w:t>
      </w:r>
      <w:r w:rsidR="00741390">
        <w:rPr>
          <w:rFonts w:cs="Times New Roman"/>
          <w:color w:val="000000"/>
          <w:lang w:val="ru-RU"/>
        </w:rPr>
        <w:t xml:space="preserve"> </w:t>
      </w:r>
      <w:r w:rsidR="00F40A41" w:rsidRPr="00FD6B73">
        <w:rPr>
          <w:rFonts w:cs="Times New Roman"/>
          <w:color w:val="000000"/>
          <w:szCs w:val="24"/>
          <w:lang w:val="ru-RU"/>
        </w:rPr>
        <w:t>278.030,00</w:t>
      </w:r>
      <w:r w:rsidR="00741390">
        <w:rPr>
          <w:rFonts w:cs="Times New Roman"/>
          <w:color w:val="000000"/>
          <w:szCs w:val="24"/>
          <w:lang w:val="ru-RU"/>
        </w:rPr>
        <w:t xml:space="preserve"> </w:t>
      </w:r>
      <w:r w:rsidRPr="00FD6B73">
        <w:rPr>
          <w:rFonts w:cs="Times New Roman"/>
          <w:color w:val="000000"/>
          <w:lang w:val="ru-RU"/>
        </w:rPr>
        <w:t>динара.</w:t>
      </w:r>
    </w:p>
    <w:p w14:paraId="098CFCDA" w14:textId="62E7B8D5" w:rsidR="00AF1189" w:rsidRPr="00FD6B73" w:rsidRDefault="00AF1189" w:rsidP="00F10AC7">
      <w:pPr>
        <w:spacing w:after="120" w:line="240" w:lineRule="auto"/>
        <w:jc w:val="center"/>
        <w:rPr>
          <w:rFonts w:cs="Times New Roman"/>
          <w:sz w:val="20"/>
          <w:szCs w:val="20"/>
          <w:lang w:val="ru-RU"/>
        </w:rPr>
      </w:pPr>
      <w:r w:rsidRPr="00FD6B73">
        <w:rPr>
          <w:rFonts w:cs="Times New Roman"/>
          <w:sz w:val="20"/>
          <w:szCs w:val="20"/>
          <w:lang w:val="ru-RU"/>
        </w:rPr>
        <w:t>Табела 4: Инвестициона улагања и текуће одржавање</w:t>
      </w:r>
      <w:r w:rsidR="00741390">
        <w:rPr>
          <w:rFonts w:cs="Times New Roman"/>
          <w:sz w:val="20"/>
          <w:szCs w:val="20"/>
          <w:lang w:val="ru-RU"/>
        </w:rPr>
        <w:t xml:space="preserve"> </w:t>
      </w:r>
      <w:r w:rsidRPr="00FD6B73">
        <w:rPr>
          <w:rFonts w:cs="Times New Roman"/>
          <w:sz w:val="20"/>
          <w:szCs w:val="20"/>
          <w:lang w:val="ru-RU"/>
        </w:rPr>
        <w:t>-</w:t>
      </w:r>
      <w:r w:rsidR="00EC58CB">
        <w:rPr>
          <w:rFonts w:cs="Times New Roman"/>
          <w:sz w:val="20"/>
          <w:szCs w:val="20"/>
          <w:lang w:val="ru-RU"/>
        </w:rPr>
        <w:t>ТРЗ</w:t>
      </w:r>
      <w:r w:rsidRPr="00FD6B73">
        <w:rPr>
          <w:rFonts w:cs="Times New Roman"/>
          <w:sz w:val="20"/>
          <w:szCs w:val="20"/>
          <w:lang w:val="ru-RU"/>
        </w:rPr>
        <w:t xml:space="preserve"> (2016-2020)</w:t>
      </w:r>
    </w:p>
    <w:tbl>
      <w:tblPr>
        <w:tblStyle w:val="TableGrid"/>
        <w:tblW w:w="0" w:type="auto"/>
        <w:jc w:val="center"/>
        <w:tblLook w:val="04A0" w:firstRow="1" w:lastRow="0" w:firstColumn="1" w:lastColumn="0" w:noHBand="0" w:noVBand="1"/>
      </w:tblPr>
      <w:tblGrid>
        <w:gridCol w:w="2337"/>
        <w:gridCol w:w="2337"/>
        <w:gridCol w:w="2338"/>
        <w:gridCol w:w="2338"/>
      </w:tblGrid>
      <w:tr w:rsidR="00AF1189" w:rsidRPr="00CD46D4" w14:paraId="7B785DBE" w14:textId="77777777" w:rsidTr="00AF1189">
        <w:trPr>
          <w:jc w:val="center"/>
        </w:trPr>
        <w:tc>
          <w:tcPr>
            <w:tcW w:w="2337"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0CCDE76" w14:textId="77777777" w:rsidR="00AF1189" w:rsidRPr="00CD46D4" w:rsidRDefault="00AF1189" w:rsidP="00F10AC7">
            <w:pPr>
              <w:spacing w:after="120"/>
              <w:jc w:val="center"/>
              <w:rPr>
                <w:rFonts w:cs="Times New Roman"/>
                <w:b/>
                <w:bCs/>
                <w:sz w:val="20"/>
                <w:szCs w:val="20"/>
              </w:rPr>
            </w:pPr>
            <w:r w:rsidRPr="00CD46D4">
              <w:rPr>
                <w:rFonts w:cs="Times New Roman"/>
                <w:b/>
                <w:bCs/>
                <w:sz w:val="20"/>
                <w:szCs w:val="20"/>
              </w:rPr>
              <w:t>ГОДИНА</w:t>
            </w:r>
          </w:p>
        </w:tc>
        <w:tc>
          <w:tcPr>
            <w:tcW w:w="701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E7F0F3C" w14:textId="77777777" w:rsidR="00AF1189" w:rsidRPr="00CD46D4" w:rsidRDefault="00AF1189" w:rsidP="00F10AC7">
            <w:pPr>
              <w:spacing w:after="120"/>
              <w:jc w:val="center"/>
              <w:rPr>
                <w:rFonts w:cs="Times New Roman"/>
                <w:b/>
                <w:bCs/>
                <w:sz w:val="20"/>
                <w:szCs w:val="20"/>
              </w:rPr>
            </w:pPr>
            <w:r w:rsidRPr="00CD46D4">
              <w:rPr>
                <w:rFonts w:cs="Times New Roman"/>
                <w:b/>
                <w:bCs/>
                <w:sz w:val="20"/>
                <w:szCs w:val="20"/>
              </w:rPr>
              <w:t>НАМЕНА</w:t>
            </w:r>
          </w:p>
        </w:tc>
      </w:tr>
      <w:tr w:rsidR="00AF1189" w:rsidRPr="00CD46D4" w14:paraId="3AE8BEE9" w14:textId="77777777" w:rsidTr="00AF1189">
        <w:trPr>
          <w:jc w:val="center"/>
        </w:trPr>
        <w:tc>
          <w:tcPr>
            <w:tcW w:w="23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3B12B5F" w14:textId="77777777" w:rsidR="00AF1189" w:rsidRPr="00CD46D4" w:rsidRDefault="00AF1189" w:rsidP="00F10AC7">
            <w:pPr>
              <w:spacing w:after="120"/>
              <w:rPr>
                <w:rFonts w:cs="Times New Roman"/>
                <w:sz w:val="20"/>
                <w:szCs w:val="20"/>
              </w:rPr>
            </w:pPr>
          </w:p>
        </w:tc>
        <w:tc>
          <w:tcPr>
            <w:tcW w:w="233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ED9C456" w14:textId="77777777" w:rsidR="00AF1189" w:rsidRPr="00CD46D4" w:rsidRDefault="00AF1189" w:rsidP="00F10AC7">
            <w:pPr>
              <w:spacing w:after="120"/>
              <w:rPr>
                <w:rFonts w:cs="Times New Roman"/>
                <w:b/>
                <w:bCs/>
                <w:sz w:val="20"/>
                <w:szCs w:val="20"/>
              </w:rPr>
            </w:pPr>
            <w:r w:rsidRPr="00CD46D4">
              <w:rPr>
                <w:rFonts w:cs="Times New Roman"/>
                <w:b/>
                <w:bCs/>
                <w:sz w:val="20"/>
                <w:szCs w:val="20"/>
              </w:rPr>
              <w:t xml:space="preserve">Зграде и објекти </w:t>
            </w:r>
          </w:p>
        </w:tc>
        <w:tc>
          <w:tcPr>
            <w:tcW w:w="2338"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34DF581" w14:textId="77777777" w:rsidR="00AF1189" w:rsidRPr="00CD46D4" w:rsidRDefault="00AF1189" w:rsidP="00F10AC7">
            <w:pPr>
              <w:spacing w:after="120"/>
              <w:rPr>
                <w:rFonts w:cs="Times New Roman"/>
                <w:b/>
                <w:bCs/>
                <w:sz w:val="20"/>
                <w:szCs w:val="20"/>
              </w:rPr>
            </w:pPr>
            <w:r w:rsidRPr="00CD46D4">
              <w:rPr>
                <w:rFonts w:cs="Times New Roman"/>
                <w:b/>
                <w:bCs/>
                <w:sz w:val="20"/>
                <w:szCs w:val="20"/>
              </w:rPr>
              <w:t>Oпрема</w:t>
            </w:r>
          </w:p>
        </w:tc>
        <w:tc>
          <w:tcPr>
            <w:tcW w:w="2338"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0D01CAC" w14:textId="77777777" w:rsidR="00AF1189" w:rsidRPr="00CD46D4" w:rsidRDefault="00AF1189" w:rsidP="00F10AC7">
            <w:pPr>
              <w:spacing w:after="120"/>
              <w:rPr>
                <w:rFonts w:cs="Times New Roman"/>
                <w:b/>
                <w:bCs/>
                <w:sz w:val="20"/>
                <w:szCs w:val="20"/>
              </w:rPr>
            </w:pPr>
            <w:r w:rsidRPr="00CD46D4">
              <w:rPr>
                <w:rFonts w:cs="Times New Roman"/>
                <w:b/>
                <w:bCs/>
                <w:sz w:val="20"/>
                <w:szCs w:val="20"/>
              </w:rPr>
              <w:t>Текуће одржавање</w:t>
            </w:r>
          </w:p>
        </w:tc>
      </w:tr>
      <w:tr w:rsidR="00AF1189" w:rsidRPr="00CD46D4" w14:paraId="30DA2977" w14:textId="77777777" w:rsidTr="00AF1189">
        <w:trPr>
          <w:jc w:val="center"/>
        </w:trPr>
        <w:tc>
          <w:tcPr>
            <w:tcW w:w="2337" w:type="dxa"/>
            <w:tcBorders>
              <w:top w:val="single" w:sz="4" w:space="0" w:color="auto"/>
              <w:left w:val="single" w:sz="4" w:space="0" w:color="auto"/>
              <w:bottom w:val="single" w:sz="4" w:space="0" w:color="auto"/>
              <w:right w:val="single" w:sz="4" w:space="0" w:color="auto"/>
            </w:tcBorders>
            <w:hideMark/>
          </w:tcPr>
          <w:p w14:paraId="0DF0D4FA" w14:textId="3A86689F" w:rsidR="00AF1189" w:rsidRPr="00EC58CB" w:rsidRDefault="00EC58CB" w:rsidP="00F10AC7">
            <w:pPr>
              <w:spacing w:after="120"/>
              <w:rPr>
                <w:rFonts w:cs="Times New Roman"/>
                <w:bCs/>
                <w:sz w:val="20"/>
                <w:szCs w:val="20"/>
              </w:rPr>
            </w:pPr>
            <w:r w:rsidRPr="00EC58CB">
              <w:rPr>
                <w:rFonts w:cs="Times New Roman"/>
                <w:bCs/>
                <w:sz w:val="20"/>
                <w:szCs w:val="20"/>
              </w:rPr>
              <w:t>2016</w:t>
            </w:r>
          </w:p>
        </w:tc>
        <w:tc>
          <w:tcPr>
            <w:tcW w:w="2337" w:type="dxa"/>
            <w:tcBorders>
              <w:top w:val="single" w:sz="4" w:space="0" w:color="auto"/>
              <w:left w:val="single" w:sz="4" w:space="0" w:color="auto"/>
              <w:bottom w:val="single" w:sz="4" w:space="0" w:color="auto"/>
              <w:right w:val="single" w:sz="4" w:space="0" w:color="auto"/>
            </w:tcBorders>
            <w:vAlign w:val="center"/>
            <w:hideMark/>
          </w:tcPr>
          <w:p w14:paraId="6B27369C" w14:textId="77777777" w:rsidR="00AF1189" w:rsidRPr="00CD46D4" w:rsidRDefault="00AF1189" w:rsidP="00F10AC7">
            <w:pPr>
              <w:spacing w:after="120"/>
              <w:rPr>
                <w:rFonts w:cs="Times New Roman"/>
                <w:sz w:val="20"/>
                <w:szCs w:val="20"/>
              </w:rPr>
            </w:pPr>
            <w:r w:rsidRPr="00CD46D4">
              <w:rPr>
                <w:rFonts w:cs="Times New Roman"/>
                <w:color w:val="000000"/>
                <w:sz w:val="20"/>
                <w:szCs w:val="20"/>
              </w:rPr>
              <w:t>0,00</w:t>
            </w:r>
          </w:p>
        </w:tc>
        <w:tc>
          <w:tcPr>
            <w:tcW w:w="2338" w:type="dxa"/>
            <w:tcBorders>
              <w:top w:val="single" w:sz="4" w:space="0" w:color="auto"/>
              <w:left w:val="single" w:sz="4" w:space="0" w:color="auto"/>
              <w:bottom w:val="single" w:sz="4" w:space="0" w:color="auto"/>
              <w:right w:val="single" w:sz="4" w:space="0" w:color="auto"/>
            </w:tcBorders>
            <w:vAlign w:val="center"/>
            <w:hideMark/>
          </w:tcPr>
          <w:p w14:paraId="5A66FCED" w14:textId="77777777" w:rsidR="00AF1189" w:rsidRPr="00CD46D4" w:rsidRDefault="00AF1189" w:rsidP="00F10AC7">
            <w:pPr>
              <w:spacing w:after="120"/>
              <w:jc w:val="center"/>
              <w:rPr>
                <w:rFonts w:cs="Times New Roman"/>
                <w:sz w:val="20"/>
                <w:szCs w:val="20"/>
              </w:rPr>
            </w:pPr>
            <w:r w:rsidRPr="00CD46D4">
              <w:rPr>
                <w:rFonts w:cs="Times New Roman"/>
                <w:sz w:val="20"/>
                <w:szCs w:val="20"/>
              </w:rPr>
              <w:t>207.100,00</w:t>
            </w:r>
          </w:p>
        </w:tc>
        <w:tc>
          <w:tcPr>
            <w:tcW w:w="2338" w:type="dxa"/>
            <w:tcBorders>
              <w:top w:val="single" w:sz="4" w:space="0" w:color="auto"/>
              <w:left w:val="single" w:sz="4" w:space="0" w:color="auto"/>
              <w:bottom w:val="single" w:sz="4" w:space="0" w:color="auto"/>
              <w:right w:val="single" w:sz="4" w:space="0" w:color="auto"/>
            </w:tcBorders>
            <w:hideMark/>
          </w:tcPr>
          <w:p w14:paraId="3C01EC7C" w14:textId="77777777" w:rsidR="00AF1189" w:rsidRPr="00CD46D4" w:rsidRDefault="00AF1189" w:rsidP="00F10AC7">
            <w:pPr>
              <w:spacing w:after="120"/>
              <w:jc w:val="center"/>
              <w:rPr>
                <w:rFonts w:cs="Times New Roman"/>
                <w:color w:val="000000"/>
                <w:sz w:val="20"/>
                <w:szCs w:val="20"/>
              </w:rPr>
            </w:pPr>
            <w:r w:rsidRPr="00CD46D4">
              <w:rPr>
                <w:rFonts w:cs="Times New Roman"/>
                <w:color w:val="000000"/>
                <w:sz w:val="20"/>
                <w:szCs w:val="20"/>
              </w:rPr>
              <w:t>55.279,00</w:t>
            </w:r>
          </w:p>
        </w:tc>
      </w:tr>
      <w:tr w:rsidR="00AF1189" w:rsidRPr="00CD46D4" w14:paraId="38877D03" w14:textId="77777777" w:rsidTr="00AF1189">
        <w:trPr>
          <w:jc w:val="center"/>
        </w:trPr>
        <w:tc>
          <w:tcPr>
            <w:tcW w:w="2337" w:type="dxa"/>
            <w:tcBorders>
              <w:top w:val="single" w:sz="4" w:space="0" w:color="auto"/>
              <w:left w:val="single" w:sz="4" w:space="0" w:color="auto"/>
              <w:bottom w:val="single" w:sz="4" w:space="0" w:color="auto"/>
              <w:right w:val="single" w:sz="4" w:space="0" w:color="auto"/>
            </w:tcBorders>
            <w:hideMark/>
          </w:tcPr>
          <w:p w14:paraId="3C757A98" w14:textId="2C936880" w:rsidR="00AF1189" w:rsidRPr="00EC58CB" w:rsidRDefault="00EC58CB" w:rsidP="00F10AC7">
            <w:pPr>
              <w:spacing w:after="120"/>
              <w:rPr>
                <w:rFonts w:cs="Times New Roman"/>
                <w:bCs/>
                <w:sz w:val="20"/>
                <w:szCs w:val="20"/>
              </w:rPr>
            </w:pPr>
            <w:r w:rsidRPr="00EC58CB">
              <w:rPr>
                <w:rFonts w:cs="Times New Roman"/>
                <w:bCs/>
                <w:sz w:val="20"/>
                <w:szCs w:val="20"/>
              </w:rPr>
              <w:t>2017</w:t>
            </w:r>
          </w:p>
        </w:tc>
        <w:tc>
          <w:tcPr>
            <w:tcW w:w="2337" w:type="dxa"/>
            <w:tcBorders>
              <w:top w:val="single" w:sz="4" w:space="0" w:color="auto"/>
              <w:left w:val="single" w:sz="4" w:space="0" w:color="auto"/>
              <w:bottom w:val="single" w:sz="4" w:space="0" w:color="auto"/>
              <w:right w:val="single" w:sz="4" w:space="0" w:color="auto"/>
            </w:tcBorders>
            <w:vAlign w:val="center"/>
            <w:hideMark/>
          </w:tcPr>
          <w:p w14:paraId="01ECF430" w14:textId="77777777" w:rsidR="00AF1189" w:rsidRPr="00CD46D4" w:rsidRDefault="00AF1189" w:rsidP="00F10AC7">
            <w:pPr>
              <w:spacing w:after="120"/>
              <w:rPr>
                <w:rFonts w:cs="Times New Roman"/>
                <w:sz w:val="20"/>
                <w:szCs w:val="20"/>
              </w:rPr>
            </w:pPr>
            <w:r w:rsidRPr="00CD46D4">
              <w:rPr>
                <w:rFonts w:cs="Times New Roman"/>
                <w:color w:val="000000"/>
                <w:sz w:val="20"/>
                <w:szCs w:val="20"/>
              </w:rPr>
              <w:t>0,00</w:t>
            </w:r>
          </w:p>
        </w:tc>
        <w:tc>
          <w:tcPr>
            <w:tcW w:w="2338" w:type="dxa"/>
            <w:tcBorders>
              <w:top w:val="single" w:sz="4" w:space="0" w:color="auto"/>
              <w:left w:val="single" w:sz="4" w:space="0" w:color="auto"/>
              <w:bottom w:val="single" w:sz="4" w:space="0" w:color="auto"/>
              <w:right w:val="single" w:sz="4" w:space="0" w:color="auto"/>
            </w:tcBorders>
            <w:vAlign w:val="center"/>
            <w:hideMark/>
          </w:tcPr>
          <w:p w14:paraId="7A60762E" w14:textId="77777777" w:rsidR="00AF1189" w:rsidRPr="00CD46D4" w:rsidRDefault="00AF1189" w:rsidP="00F10AC7">
            <w:pPr>
              <w:spacing w:after="120"/>
              <w:jc w:val="center"/>
              <w:rPr>
                <w:rFonts w:cs="Times New Roman"/>
                <w:color w:val="000000"/>
                <w:sz w:val="20"/>
                <w:szCs w:val="20"/>
              </w:rPr>
            </w:pPr>
            <w:r w:rsidRPr="00CD46D4">
              <w:rPr>
                <w:rFonts w:cs="Times New Roman"/>
                <w:color w:val="000000"/>
                <w:sz w:val="20"/>
                <w:szCs w:val="20"/>
              </w:rPr>
              <w:t>704.278,00</w:t>
            </w:r>
          </w:p>
        </w:tc>
        <w:tc>
          <w:tcPr>
            <w:tcW w:w="2338" w:type="dxa"/>
            <w:tcBorders>
              <w:top w:val="single" w:sz="4" w:space="0" w:color="auto"/>
              <w:left w:val="single" w:sz="4" w:space="0" w:color="auto"/>
              <w:bottom w:val="single" w:sz="4" w:space="0" w:color="auto"/>
              <w:right w:val="single" w:sz="4" w:space="0" w:color="auto"/>
            </w:tcBorders>
            <w:hideMark/>
          </w:tcPr>
          <w:p w14:paraId="61A2AB03" w14:textId="77777777" w:rsidR="00AF1189" w:rsidRPr="00CD46D4" w:rsidRDefault="00AF1189" w:rsidP="00F10AC7">
            <w:pPr>
              <w:spacing w:after="120"/>
              <w:jc w:val="center"/>
              <w:rPr>
                <w:rFonts w:cs="Times New Roman"/>
                <w:sz w:val="20"/>
                <w:szCs w:val="20"/>
              </w:rPr>
            </w:pPr>
            <w:r w:rsidRPr="00CD46D4">
              <w:rPr>
                <w:rFonts w:cs="Times New Roman"/>
                <w:sz w:val="20"/>
                <w:szCs w:val="20"/>
              </w:rPr>
              <w:t>37.100,00</w:t>
            </w:r>
          </w:p>
        </w:tc>
      </w:tr>
      <w:tr w:rsidR="00AF1189" w:rsidRPr="00CD46D4" w14:paraId="6AD53F02" w14:textId="77777777" w:rsidTr="00AF1189">
        <w:trPr>
          <w:jc w:val="center"/>
        </w:trPr>
        <w:tc>
          <w:tcPr>
            <w:tcW w:w="2337" w:type="dxa"/>
            <w:tcBorders>
              <w:top w:val="single" w:sz="4" w:space="0" w:color="auto"/>
              <w:left w:val="single" w:sz="4" w:space="0" w:color="auto"/>
              <w:bottom w:val="single" w:sz="4" w:space="0" w:color="auto"/>
              <w:right w:val="single" w:sz="4" w:space="0" w:color="auto"/>
            </w:tcBorders>
            <w:hideMark/>
          </w:tcPr>
          <w:p w14:paraId="40D3BDA6" w14:textId="6967BB46" w:rsidR="00AF1189" w:rsidRPr="00EC58CB" w:rsidRDefault="00EC58CB" w:rsidP="00F10AC7">
            <w:pPr>
              <w:spacing w:after="120"/>
              <w:rPr>
                <w:rFonts w:cs="Times New Roman"/>
                <w:bCs/>
                <w:sz w:val="20"/>
                <w:szCs w:val="20"/>
              </w:rPr>
            </w:pPr>
            <w:r w:rsidRPr="00EC58CB">
              <w:rPr>
                <w:rFonts w:cs="Times New Roman"/>
                <w:bCs/>
                <w:sz w:val="20"/>
                <w:szCs w:val="20"/>
              </w:rPr>
              <w:t>2018</w:t>
            </w:r>
          </w:p>
        </w:tc>
        <w:tc>
          <w:tcPr>
            <w:tcW w:w="2337" w:type="dxa"/>
            <w:tcBorders>
              <w:top w:val="single" w:sz="4" w:space="0" w:color="auto"/>
              <w:left w:val="single" w:sz="4" w:space="0" w:color="auto"/>
              <w:bottom w:val="single" w:sz="4" w:space="0" w:color="auto"/>
              <w:right w:val="single" w:sz="4" w:space="0" w:color="auto"/>
            </w:tcBorders>
            <w:vAlign w:val="center"/>
            <w:hideMark/>
          </w:tcPr>
          <w:p w14:paraId="161F4FD1" w14:textId="77777777" w:rsidR="00AF1189" w:rsidRPr="00CD46D4" w:rsidRDefault="00AF1189" w:rsidP="00F10AC7">
            <w:pPr>
              <w:spacing w:after="120"/>
              <w:rPr>
                <w:rFonts w:cs="Times New Roman"/>
                <w:sz w:val="20"/>
                <w:szCs w:val="20"/>
              </w:rPr>
            </w:pPr>
            <w:r w:rsidRPr="00CD46D4">
              <w:rPr>
                <w:rFonts w:cs="Times New Roman"/>
                <w:color w:val="000000"/>
                <w:sz w:val="20"/>
                <w:szCs w:val="20"/>
              </w:rPr>
              <w:t>0,00</w:t>
            </w:r>
          </w:p>
        </w:tc>
        <w:tc>
          <w:tcPr>
            <w:tcW w:w="2338" w:type="dxa"/>
            <w:tcBorders>
              <w:top w:val="single" w:sz="4" w:space="0" w:color="auto"/>
              <w:left w:val="single" w:sz="4" w:space="0" w:color="auto"/>
              <w:bottom w:val="single" w:sz="4" w:space="0" w:color="auto"/>
              <w:right w:val="single" w:sz="4" w:space="0" w:color="auto"/>
            </w:tcBorders>
            <w:vAlign w:val="center"/>
            <w:hideMark/>
          </w:tcPr>
          <w:p w14:paraId="4A45B57B" w14:textId="77777777" w:rsidR="00AF1189" w:rsidRPr="00CD46D4" w:rsidRDefault="00AF1189" w:rsidP="00F10AC7">
            <w:pPr>
              <w:spacing w:after="120"/>
              <w:jc w:val="center"/>
              <w:rPr>
                <w:rFonts w:cs="Times New Roman"/>
                <w:sz w:val="20"/>
                <w:szCs w:val="20"/>
              </w:rPr>
            </w:pPr>
            <w:r w:rsidRPr="00CD46D4">
              <w:rPr>
                <w:rFonts w:cs="Times New Roman"/>
                <w:color w:val="000000"/>
                <w:sz w:val="20"/>
                <w:szCs w:val="20"/>
              </w:rPr>
              <w:t>549.792,00</w:t>
            </w:r>
          </w:p>
        </w:tc>
        <w:tc>
          <w:tcPr>
            <w:tcW w:w="2338" w:type="dxa"/>
            <w:tcBorders>
              <w:top w:val="single" w:sz="4" w:space="0" w:color="auto"/>
              <w:left w:val="single" w:sz="4" w:space="0" w:color="auto"/>
              <w:bottom w:val="single" w:sz="4" w:space="0" w:color="auto"/>
              <w:right w:val="single" w:sz="4" w:space="0" w:color="auto"/>
            </w:tcBorders>
            <w:hideMark/>
          </w:tcPr>
          <w:p w14:paraId="6F4FFE22" w14:textId="77777777" w:rsidR="00AF1189" w:rsidRPr="00CD46D4" w:rsidRDefault="00AF1189" w:rsidP="00F10AC7">
            <w:pPr>
              <w:spacing w:after="120"/>
              <w:jc w:val="center"/>
              <w:rPr>
                <w:rFonts w:cs="Times New Roman"/>
                <w:sz w:val="20"/>
                <w:szCs w:val="20"/>
              </w:rPr>
            </w:pPr>
            <w:r w:rsidRPr="00CD46D4">
              <w:rPr>
                <w:rFonts w:cs="Times New Roman"/>
                <w:sz w:val="20"/>
                <w:szCs w:val="20"/>
              </w:rPr>
              <w:t>68.277,00</w:t>
            </w:r>
          </w:p>
        </w:tc>
      </w:tr>
      <w:tr w:rsidR="00AF1189" w:rsidRPr="00CD46D4" w14:paraId="493ABDCB" w14:textId="77777777" w:rsidTr="00AF1189">
        <w:trPr>
          <w:jc w:val="center"/>
        </w:trPr>
        <w:tc>
          <w:tcPr>
            <w:tcW w:w="2337" w:type="dxa"/>
            <w:tcBorders>
              <w:top w:val="single" w:sz="4" w:space="0" w:color="auto"/>
              <w:left w:val="single" w:sz="4" w:space="0" w:color="auto"/>
              <w:bottom w:val="single" w:sz="4" w:space="0" w:color="auto"/>
              <w:right w:val="single" w:sz="4" w:space="0" w:color="auto"/>
            </w:tcBorders>
            <w:hideMark/>
          </w:tcPr>
          <w:p w14:paraId="11DF15DB" w14:textId="26300496" w:rsidR="00AF1189" w:rsidRPr="00EC58CB" w:rsidRDefault="00EC58CB" w:rsidP="00F10AC7">
            <w:pPr>
              <w:spacing w:after="120"/>
              <w:rPr>
                <w:rFonts w:cs="Times New Roman"/>
                <w:bCs/>
                <w:sz w:val="20"/>
                <w:szCs w:val="20"/>
              </w:rPr>
            </w:pPr>
            <w:r w:rsidRPr="00EC58CB">
              <w:rPr>
                <w:rFonts w:cs="Times New Roman"/>
                <w:bCs/>
                <w:sz w:val="20"/>
                <w:szCs w:val="20"/>
              </w:rPr>
              <w:t>2019</w:t>
            </w:r>
          </w:p>
        </w:tc>
        <w:tc>
          <w:tcPr>
            <w:tcW w:w="2337" w:type="dxa"/>
            <w:tcBorders>
              <w:top w:val="single" w:sz="4" w:space="0" w:color="auto"/>
              <w:left w:val="single" w:sz="4" w:space="0" w:color="auto"/>
              <w:bottom w:val="single" w:sz="4" w:space="0" w:color="auto"/>
              <w:right w:val="single" w:sz="4" w:space="0" w:color="auto"/>
            </w:tcBorders>
            <w:vAlign w:val="center"/>
            <w:hideMark/>
          </w:tcPr>
          <w:p w14:paraId="36563C37" w14:textId="77777777" w:rsidR="00AF1189" w:rsidRPr="00CD46D4" w:rsidRDefault="00AF1189" w:rsidP="00F10AC7">
            <w:pPr>
              <w:spacing w:after="120"/>
              <w:rPr>
                <w:rFonts w:cs="Times New Roman"/>
                <w:sz w:val="20"/>
                <w:szCs w:val="20"/>
              </w:rPr>
            </w:pPr>
            <w:r w:rsidRPr="00CD46D4">
              <w:rPr>
                <w:rFonts w:cs="Times New Roman"/>
                <w:color w:val="000000"/>
                <w:sz w:val="20"/>
                <w:szCs w:val="20"/>
              </w:rPr>
              <w:t>0,00</w:t>
            </w:r>
          </w:p>
        </w:tc>
        <w:tc>
          <w:tcPr>
            <w:tcW w:w="2338" w:type="dxa"/>
            <w:tcBorders>
              <w:top w:val="single" w:sz="4" w:space="0" w:color="auto"/>
              <w:left w:val="single" w:sz="4" w:space="0" w:color="auto"/>
              <w:bottom w:val="single" w:sz="4" w:space="0" w:color="auto"/>
              <w:right w:val="single" w:sz="4" w:space="0" w:color="auto"/>
            </w:tcBorders>
            <w:vAlign w:val="center"/>
            <w:hideMark/>
          </w:tcPr>
          <w:p w14:paraId="2550D2AA" w14:textId="77777777" w:rsidR="00AF1189" w:rsidRPr="00CD46D4" w:rsidRDefault="00AF1189" w:rsidP="00F10AC7">
            <w:pPr>
              <w:spacing w:after="120"/>
              <w:jc w:val="center"/>
              <w:rPr>
                <w:rFonts w:cs="Times New Roman"/>
                <w:sz w:val="20"/>
                <w:szCs w:val="20"/>
              </w:rPr>
            </w:pPr>
            <w:r w:rsidRPr="00CD46D4">
              <w:rPr>
                <w:rFonts w:cs="Times New Roman"/>
                <w:sz w:val="20"/>
                <w:szCs w:val="20"/>
              </w:rPr>
              <w:t>501.350,00</w:t>
            </w:r>
          </w:p>
        </w:tc>
        <w:tc>
          <w:tcPr>
            <w:tcW w:w="2338" w:type="dxa"/>
            <w:tcBorders>
              <w:top w:val="single" w:sz="4" w:space="0" w:color="auto"/>
              <w:left w:val="single" w:sz="4" w:space="0" w:color="auto"/>
              <w:bottom w:val="single" w:sz="4" w:space="0" w:color="auto"/>
              <w:right w:val="single" w:sz="4" w:space="0" w:color="auto"/>
            </w:tcBorders>
            <w:hideMark/>
          </w:tcPr>
          <w:p w14:paraId="28AE7E94" w14:textId="77777777" w:rsidR="00AF1189" w:rsidRPr="00CD46D4" w:rsidRDefault="00AF1189" w:rsidP="00F10AC7">
            <w:pPr>
              <w:spacing w:after="120"/>
              <w:jc w:val="center"/>
              <w:rPr>
                <w:rFonts w:cs="Times New Roman"/>
                <w:sz w:val="20"/>
                <w:szCs w:val="20"/>
              </w:rPr>
            </w:pPr>
            <w:r w:rsidRPr="00CD46D4">
              <w:rPr>
                <w:rFonts w:cs="Times New Roman"/>
                <w:sz w:val="20"/>
                <w:szCs w:val="20"/>
              </w:rPr>
              <w:t>85.681,00</w:t>
            </w:r>
          </w:p>
        </w:tc>
      </w:tr>
      <w:tr w:rsidR="00AF1189" w:rsidRPr="00CD46D4" w14:paraId="2267D006" w14:textId="77777777" w:rsidTr="00AF1189">
        <w:trPr>
          <w:jc w:val="center"/>
        </w:trPr>
        <w:tc>
          <w:tcPr>
            <w:tcW w:w="2337" w:type="dxa"/>
            <w:tcBorders>
              <w:top w:val="single" w:sz="4" w:space="0" w:color="auto"/>
              <w:left w:val="single" w:sz="4" w:space="0" w:color="auto"/>
              <w:bottom w:val="single" w:sz="4" w:space="0" w:color="auto"/>
              <w:right w:val="single" w:sz="4" w:space="0" w:color="auto"/>
            </w:tcBorders>
            <w:hideMark/>
          </w:tcPr>
          <w:p w14:paraId="6D900044" w14:textId="01C1A514" w:rsidR="00AF1189" w:rsidRPr="00EC58CB" w:rsidRDefault="00EC58CB" w:rsidP="00F10AC7">
            <w:pPr>
              <w:spacing w:after="120"/>
              <w:rPr>
                <w:rFonts w:cs="Times New Roman"/>
                <w:bCs/>
                <w:sz w:val="20"/>
                <w:szCs w:val="20"/>
              </w:rPr>
            </w:pPr>
            <w:r w:rsidRPr="00EC58CB">
              <w:rPr>
                <w:rFonts w:cs="Times New Roman"/>
                <w:bCs/>
                <w:sz w:val="20"/>
                <w:szCs w:val="20"/>
              </w:rPr>
              <w:t>2020</w:t>
            </w:r>
          </w:p>
        </w:tc>
        <w:tc>
          <w:tcPr>
            <w:tcW w:w="2337" w:type="dxa"/>
            <w:tcBorders>
              <w:top w:val="single" w:sz="4" w:space="0" w:color="auto"/>
              <w:left w:val="single" w:sz="4" w:space="0" w:color="auto"/>
              <w:bottom w:val="single" w:sz="4" w:space="0" w:color="auto"/>
              <w:right w:val="single" w:sz="4" w:space="0" w:color="auto"/>
            </w:tcBorders>
            <w:vAlign w:val="center"/>
            <w:hideMark/>
          </w:tcPr>
          <w:p w14:paraId="486723A5" w14:textId="77777777" w:rsidR="00AF1189" w:rsidRPr="00CD46D4" w:rsidRDefault="00AF1189" w:rsidP="00F10AC7">
            <w:pPr>
              <w:spacing w:after="120"/>
              <w:rPr>
                <w:rFonts w:cs="Times New Roman"/>
                <w:sz w:val="20"/>
                <w:szCs w:val="20"/>
              </w:rPr>
            </w:pPr>
            <w:r w:rsidRPr="00CD46D4">
              <w:rPr>
                <w:rFonts w:cs="Times New Roman"/>
                <w:color w:val="000000"/>
                <w:sz w:val="20"/>
                <w:szCs w:val="20"/>
              </w:rPr>
              <w:t>0,00</w:t>
            </w:r>
          </w:p>
        </w:tc>
        <w:tc>
          <w:tcPr>
            <w:tcW w:w="2338" w:type="dxa"/>
            <w:tcBorders>
              <w:top w:val="single" w:sz="4" w:space="0" w:color="auto"/>
              <w:left w:val="single" w:sz="4" w:space="0" w:color="auto"/>
              <w:bottom w:val="single" w:sz="4" w:space="0" w:color="auto"/>
              <w:right w:val="single" w:sz="4" w:space="0" w:color="auto"/>
            </w:tcBorders>
            <w:vAlign w:val="center"/>
            <w:hideMark/>
          </w:tcPr>
          <w:p w14:paraId="37CF3CFF" w14:textId="77777777" w:rsidR="00AF1189" w:rsidRPr="00CD46D4" w:rsidRDefault="00AF1189" w:rsidP="00F10AC7">
            <w:pPr>
              <w:spacing w:after="120"/>
              <w:jc w:val="center"/>
              <w:rPr>
                <w:rFonts w:cs="Times New Roman"/>
                <w:color w:val="000000"/>
                <w:sz w:val="20"/>
                <w:szCs w:val="20"/>
              </w:rPr>
            </w:pPr>
            <w:r w:rsidRPr="00CD46D4">
              <w:rPr>
                <w:rFonts w:cs="Times New Roman"/>
                <w:color w:val="000000"/>
                <w:sz w:val="20"/>
                <w:szCs w:val="20"/>
              </w:rPr>
              <w:t>478.588,00</w:t>
            </w:r>
          </w:p>
        </w:tc>
        <w:tc>
          <w:tcPr>
            <w:tcW w:w="2338" w:type="dxa"/>
            <w:tcBorders>
              <w:top w:val="single" w:sz="4" w:space="0" w:color="auto"/>
              <w:left w:val="single" w:sz="4" w:space="0" w:color="auto"/>
              <w:bottom w:val="single" w:sz="4" w:space="0" w:color="auto"/>
              <w:right w:val="single" w:sz="4" w:space="0" w:color="auto"/>
            </w:tcBorders>
            <w:hideMark/>
          </w:tcPr>
          <w:p w14:paraId="2463C420" w14:textId="77777777" w:rsidR="00AF1189" w:rsidRPr="00CD46D4" w:rsidRDefault="00AF1189" w:rsidP="00F10AC7">
            <w:pPr>
              <w:spacing w:after="120"/>
              <w:jc w:val="center"/>
              <w:rPr>
                <w:rFonts w:cs="Times New Roman"/>
                <w:sz w:val="20"/>
                <w:szCs w:val="20"/>
              </w:rPr>
            </w:pPr>
            <w:r w:rsidRPr="00CD46D4">
              <w:rPr>
                <w:rFonts w:cs="Times New Roman"/>
                <w:sz w:val="20"/>
                <w:szCs w:val="20"/>
              </w:rPr>
              <w:t>31.693,00</w:t>
            </w:r>
          </w:p>
        </w:tc>
      </w:tr>
      <w:tr w:rsidR="00AF1189" w:rsidRPr="00CD46D4" w14:paraId="23446168" w14:textId="77777777" w:rsidTr="00AF1189">
        <w:trPr>
          <w:jc w:val="center"/>
        </w:trPr>
        <w:tc>
          <w:tcPr>
            <w:tcW w:w="2337" w:type="dxa"/>
            <w:tcBorders>
              <w:top w:val="single" w:sz="4" w:space="0" w:color="auto"/>
              <w:left w:val="single" w:sz="4" w:space="0" w:color="auto"/>
              <w:bottom w:val="single" w:sz="4" w:space="0" w:color="auto"/>
              <w:right w:val="single" w:sz="4" w:space="0" w:color="auto"/>
            </w:tcBorders>
            <w:hideMark/>
          </w:tcPr>
          <w:p w14:paraId="03A44C34" w14:textId="77777777" w:rsidR="00AF1189" w:rsidRPr="00CD46D4" w:rsidRDefault="00AF1189" w:rsidP="00F10AC7">
            <w:pPr>
              <w:spacing w:after="120"/>
              <w:rPr>
                <w:rFonts w:cs="Times New Roman"/>
                <w:b/>
                <w:bCs/>
                <w:sz w:val="20"/>
                <w:szCs w:val="20"/>
                <w:u w:val="single"/>
              </w:rPr>
            </w:pPr>
            <w:r w:rsidRPr="00CD46D4">
              <w:rPr>
                <w:rFonts w:cs="Times New Roman"/>
                <w:b/>
                <w:bCs/>
                <w:sz w:val="20"/>
                <w:szCs w:val="20"/>
                <w:u w:val="single"/>
              </w:rPr>
              <w:t xml:space="preserve">Укупно </w:t>
            </w:r>
          </w:p>
          <w:p w14:paraId="510C0815" w14:textId="77777777" w:rsidR="00AF1189" w:rsidRPr="00CD46D4" w:rsidRDefault="00AF1189" w:rsidP="00F10AC7">
            <w:pPr>
              <w:spacing w:after="120"/>
              <w:rPr>
                <w:rFonts w:cs="Times New Roman"/>
                <w:b/>
                <w:bCs/>
                <w:sz w:val="20"/>
                <w:szCs w:val="20"/>
              </w:rPr>
            </w:pPr>
            <w:r w:rsidRPr="00CD46D4">
              <w:rPr>
                <w:rFonts w:cs="Times New Roman"/>
                <w:b/>
                <w:bCs/>
                <w:sz w:val="20"/>
                <w:szCs w:val="20"/>
              </w:rPr>
              <w:t>2.719.138,00</w:t>
            </w:r>
          </w:p>
        </w:tc>
        <w:tc>
          <w:tcPr>
            <w:tcW w:w="2337" w:type="dxa"/>
            <w:tcBorders>
              <w:top w:val="single" w:sz="4" w:space="0" w:color="auto"/>
              <w:left w:val="single" w:sz="4" w:space="0" w:color="auto"/>
              <w:bottom w:val="single" w:sz="4" w:space="0" w:color="auto"/>
              <w:right w:val="single" w:sz="4" w:space="0" w:color="auto"/>
            </w:tcBorders>
            <w:hideMark/>
          </w:tcPr>
          <w:p w14:paraId="559EF960" w14:textId="77777777" w:rsidR="00AF1189" w:rsidRPr="00EC58CB" w:rsidRDefault="00AF1189" w:rsidP="00F10AC7">
            <w:pPr>
              <w:spacing w:after="120"/>
              <w:rPr>
                <w:rFonts w:cs="Times New Roman"/>
                <w:b/>
                <w:sz w:val="20"/>
                <w:szCs w:val="20"/>
              </w:rPr>
            </w:pPr>
            <w:r w:rsidRPr="00EC58CB">
              <w:rPr>
                <w:rFonts w:cs="Times New Roman"/>
                <w:b/>
                <w:sz w:val="20"/>
                <w:szCs w:val="20"/>
              </w:rPr>
              <w:t>0,00</w:t>
            </w:r>
          </w:p>
        </w:tc>
        <w:tc>
          <w:tcPr>
            <w:tcW w:w="2338" w:type="dxa"/>
            <w:tcBorders>
              <w:top w:val="single" w:sz="4" w:space="0" w:color="auto"/>
              <w:left w:val="single" w:sz="4" w:space="0" w:color="auto"/>
              <w:bottom w:val="single" w:sz="4" w:space="0" w:color="auto"/>
              <w:right w:val="single" w:sz="4" w:space="0" w:color="auto"/>
            </w:tcBorders>
            <w:hideMark/>
          </w:tcPr>
          <w:p w14:paraId="4ED1B95B" w14:textId="77777777" w:rsidR="00AF1189" w:rsidRPr="00CD46D4" w:rsidRDefault="00AF1189" w:rsidP="00F10AC7">
            <w:pPr>
              <w:spacing w:after="120"/>
              <w:jc w:val="center"/>
              <w:rPr>
                <w:rFonts w:cs="Times New Roman"/>
                <w:b/>
                <w:bCs/>
                <w:color w:val="000000"/>
                <w:sz w:val="20"/>
                <w:szCs w:val="20"/>
              </w:rPr>
            </w:pPr>
            <w:r w:rsidRPr="00CD46D4">
              <w:rPr>
                <w:rFonts w:cs="Times New Roman"/>
                <w:b/>
                <w:bCs/>
                <w:color w:val="000000"/>
                <w:sz w:val="20"/>
                <w:szCs w:val="20"/>
              </w:rPr>
              <w:t>2.441.108,00</w:t>
            </w:r>
          </w:p>
        </w:tc>
        <w:tc>
          <w:tcPr>
            <w:tcW w:w="2338" w:type="dxa"/>
            <w:tcBorders>
              <w:top w:val="single" w:sz="4" w:space="0" w:color="auto"/>
              <w:left w:val="single" w:sz="4" w:space="0" w:color="auto"/>
              <w:bottom w:val="single" w:sz="4" w:space="0" w:color="auto"/>
              <w:right w:val="single" w:sz="4" w:space="0" w:color="auto"/>
            </w:tcBorders>
            <w:hideMark/>
          </w:tcPr>
          <w:p w14:paraId="5EC0BDF6" w14:textId="77777777" w:rsidR="00AF1189" w:rsidRPr="00CD46D4" w:rsidRDefault="00AF1189" w:rsidP="00F10AC7">
            <w:pPr>
              <w:spacing w:after="120"/>
              <w:jc w:val="center"/>
              <w:rPr>
                <w:rFonts w:cs="Times New Roman"/>
                <w:b/>
                <w:bCs/>
                <w:color w:val="000000"/>
                <w:sz w:val="20"/>
                <w:szCs w:val="20"/>
              </w:rPr>
            </w:pPr>
            <w:r w:rsidRPr="00CD46D4">
              <w:rPr>
                <w:rFonts w:cs="Times New Roman"/>
                <w:b/>
                <w:bCs/>
                <w:color w:val="000000"/>
                <w:sz w:val="20"/>
                <w:szCs w:val="20"/>
              </w:rPr>
              <w:t>278.030,00</w:t>
            </w:r>
          </w:p>
        </w:tc>
      </w:tr>
    </w:tbl>
    <w:p w14:paraId="1159A0DC" w14:textId="110C7F12" w:rsidR="00AF1189" w:rsidRPr="00FD6B73" w:rsidRDefault="00AF1189" w:rsidP="00F10AC7">
      <w:pPr>
        <w:spacing w:before="240" w:after="120" w:line="240" w:lineRule="auto"/>
        <w:rPr>
          <w:rFonts w:cs="Times New Roman"/>
          <w:lang w:val="ru-RU"/>
        </w:rPr>
      </w:pPr>
      <w:r w:rsidRPr="00FD6B73">
        <w:rPr>
          <w:rFonts w:cs="Times New Roman"/>
          <w:lang w:val="ru-RU"/>
        </w:rPr>
        <w:t xml:space="preserve">У погледу оног сегмента инфраструктуре који се односи на информационе технологије, важно је напоменути да су коначно начињени важни кораци ка унапређењу електронског система управљања предметима у јавном тужилаштву (САПО). </w:t>
      </w:r>
      <w:r w:rsidR="00AF0EC8" w:rsidRPr="00FD6B73">
        <w:rPr>
          <w:rFonts w:cs="Times New Roman"/>
          <w:color w:val="000000"/>
          <w:lang w:val="ru-RU"/>
        </w:rPr>
        <w:t xml:space="preserve">У </w:t>
      </w:r>
      <w:r w:rsidR="00EC58CB">
        <w:rPr>
          <w:rFonts w:cs="Times New Roman"/>
          <w:color w:val="000000"/>
          <w:lang w:val="ru-RU"/>
        </w:rPr>
        <w:t>Т</w:t>
      </w:r>
      <w:r w:rsidR="00741390">
        <w:rPr>
          <w:rFonts w:cs="Times New Roman"/>
          <w:color w:val="000000"/>
          <w:lang w:val="ru-RU"/>
        </w:rPr>
        <w:t xml:space="preserve"> </w:t>
      </w:r>
      <w:r w:rsidR="00AF0EC8" w:rsidRPr="00FD6B73">
        <w:rPr>
          <w:rFonts w:cs="Times New Roman"/>
          <w:szCs w:val="24"/>
          <w:lang w:val="ru-RU"/>
        </w:rPr>
        <w:t>се</w:t>
      </w:r>
      <w:r w:rsidR="00741390">
        <w:rPr>
          <w:rFonts w:cs="Times New Roman"/>
          <w:szCs w:val="24"/>
          <w:lang w:val="ru-RU"/>
        </w:rPr>
        <w:t xml:space="preserve"> </w:t>
      </w:r>
      <w:r w:rsidRPr="00FD6B73">
        <w:rPr>
          <w:rFonts w:cs="Times New Roman"/>
          <w:color w:val="000000"/>
          <w:lang w:val="ru-RU"/>
        </w:rPr>
        <w:t xml:space="preserve">крајем 2019. године отпочело </w:t>
      </w:r>
      <w:r w:rsidRPr="00FD6B73">
        <w:rPr>
          <w:rFonts w:cs="Times New Roman"/>
          <w:lang w:val="ru-RU"/>
        </w:rPr>
        <w:t xml:space="preserve">са </w:t>
      </w:r>
      <w:r w:rsidRPr="00FD6B73">
        <w:rPr>
          <w:rFonts w:cs="Times New Roman"/>
          <w:color w:val="000000"/>
          <w:lang w:val="ru-RU"/>
        </w:rPr>
        <w:t xml:space="preserve">увођењем електронског система САПО. </w:t>
      </w:r>
      <w:r w:rsidR="00EC58CB">
        <w:rPr>
          <w:rFonts w:cs="Times New Roman"/>
          <w:color w:val="000000"/>
          <w:lang w:val="ru-RU"/>
        </w:rPr>
        <w:t>ТРЗ-у</w:t>
      </w:r>
      <w:r w:rsidRPr="00FD6B73">
        <w:rPr>
          <w:rFonts w:cs="Times New Roman"/>
          <w:color w:val="000000"/>
          <w:lang w:val="ru-RU"/>
        </w:rPr>
        <w:t xml:space="preserve"> је испоручена техничка опрема неопходна за коришћење овог програма, с тим што је његова имплементација предвиђена за 2021. годину. Запослени у </w:t>
      </w:r>
      <w:r w:rsidR="00901790">
        <w:rPr>
          <w:rFonts w:cs="Times New Roman"/>
          <w:color w:val="000000"/>
          <w:lang w:val="ru-RU"/>
        </w:rPr>
        <w:t>ТРЗ</w:t>
      </w:r>
      <w:r w:rsidRPr="00FD6B73">
        <w:rPr>
          <w:rFonts w:cs="Times New Roman"/>
          <w:color w:val="000000"/>
          <w:lang w:val="ru-RU"/>
        </w:rPr>
        <w:t xml:space="preserve"> присуствују </w:t>
      </w:r>
      <w:r w:rsidR="00EC58CB" w:rsidRPr="00EC58CB">
        <w:rPr>
          <w:rFonts w:cs="Times New Roman"/>
          <w:iCs/>
          <w:color w:val="000000"/>
          <w:lang w:val="sr-Cyrl-RS"/>
        </w:rPr>
        <w:t>онлајн</w:t>
      </w:r>
      <w:r w:rsidRPr="00FD6B73">
        <w:rPr>
          <w:rFonts w:cs="Times New Roman"/>
          <w:color w:val="000000"/>
          <w:lang w:val="ru-RU"/>
        </w:rPr>
        <w:t xml:space="preserve"> едукацији о изради и унапређењу САПО софтвера отпочетој у јулу месецу 2020. године.</w:t>
      </w:r>
    </w:p>
    <w:p w14:paraId="367CD5BD" w14:textId="016AD64A"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w:t>
      </w:r>
      <w:r w:rsidRPr="00901790">
        <w:rPr>
          <w:rFonts w:cs="Times New Roman"/>
          <w:bCs/>
          <w:lang w:val="ru-RU"/>
        </w:rPr>
        <w:t>успостављању система обука из међународног кривичног и хуманитарног права</w:t>
      </w:r>
      <w:r w:rsidRPr="00901790">
        <w:rPr>
          <w:rFonts w:cs="Times New Roman"/>
          <w:lang w:val="ru-RU"/>
        </w:rPr>
        <w:t>,</w:t>
      </w:r>
      <w:r w:rsidRPr="00FD6B73">
        <w:rPr>
          <w:rFonts w:cs="Times New Roman"/>
          <w:lang w:val="ru-RU"/>
        </w:rPr>
        <w:t xml:space="preserve"> у</w:t>
      </w:r>
      <w:r w:rsidRPr="00FD6B73">
        <w:rPr>
          <w:rFonts w:cs="Times New Roman"/>
          <w:bCs/>
          <w:lang w:val="ru-RU"/>
        </w:rPr>
        <w:t xml:space="preserve"> периоду спровођења </w:t>
      </w:r>
      <w:r w:rsidR="00901790" w:rsidRPr="00FD6B73">
        <w:rPr>
          <w:rFonts w:eastAsiaTheme="majorEastAsia" w:cs="Times New Roman"/>
          <w:lang w:val="ru-RU"/>
        </w:rPr>
        <w:t>НСПРЗ</w:t>
      </w:r>
      <w:r w:rsidRPr="00FD6B73">
        <w:rPr>
          <w:rFonts w:cs="Times New Roman"/>
          <w:bCs/>
          <w:lang w:val="ru-RU"/>
        </w:rPr>
        <w:t>, под окриљем Правосудне академије, одржано је укупно  седам обука са чак 94 учесника, из реда</w:t>
      </w:r>
      <w:r w:rsidR="00741390">
        <w:rPr>
          <w:rFonts w:cs="Times New Roman"/>
          <w:bCs/>
          <w:lang w:val="ru-RU"/>
        </w:rPr>
        <w:t xml:space="preserve"> </w:t>
      </w:r>
      <w:r w:rsidRPr="00FD6B73">
        <w:rPr>
          <w:rFonts w:cs="Times New Roman"/>
          <w:bCs/>
          <w:lang w:val="ru-RU"/>
        </w:rPr>
        <w:t>судија и судијских помоћника из Одељења за ратне злочине Вишег суда у Београду</w:t>
      </w:r>
      <w:r w:rsidRPr="00FD6B73">
        <w:rPr>
          <w:rFonts w:cs="Times New Roman"/>
          <w:bCs/>
          <w:color w:val="000000"/>
          <w:lang w:val="ru-RU"/>
        </w:rPr>
        <w:t xml:space="preserve"> и </w:t>
      </w:r>
      <w:r w:rsidRPr="00FD6B73">
        <w:rPr>
          <w:rFonts w:cs="Times New Roman"/>
          <w:bCs/>
          <w:lang w:val="ru-RU"/>
        </w:rPr>
        <w:t xml:space="preserve">Апелационог суда у Београду, заменици тужиоца и тужилачки помоћници и секретар </w:t>
      </w:r>
      <w:r w:rsidR="00901790">
        <w:rPr>
          <w:rFonts w:cs="Times New Roman"/>
          <w:bCs/>
          <w:lang w:val="ru-RU"/>
        </w:rPr>
        <w:t>ТРЗ</w:t>
      </w:r>
      <w:r w:rsidRPr="00FD6B73">
        <w:rPr>
          <w:rFonts w:cs="Times New Roman"/>
          <w:bCs/>
          <w:color w:val="000000"/>
          <w:lang w:val="ru-RU"/>
        </w:rPr>
        <w:t>.</w:t>
      </w:r>
      <w:r w:rsidR="00901790">
        <w:rPr>
          <w:rFonts w:cs="Times New Roman"/>
          <w:bCs/>
          <w:color w:val="000000"/>
          <w:lang w:val="ru-RU"/>
        </w:rPr>
        <w:t xml:space="preserve"> </w:t>
      </w:r>
    </w:p>
    <w:p w14:paraId="6E2087E1" w14:textId="77777777" w:rsidR="00AF1189" w:rsidRPr="00FD6B73" w:rsidRDefault="00AF1189" w:rsidP="00F10AC7">
      <w:pPr>
        <w:spacing w:after="120" w:line="240" w:lineRule="auto"/>
        <w:rPr>
          <w:rFonts w:cs="Times New Roman"/>
          <w:bCs/>
          <w:lang w:val="ru-RU"/>
        </w:rPr>
      </w:pPr>
      <w:r w:rsidRPr="00FD6B73">
        <w:rPr>
          <w:rFonts w:cs="Times New Roman"/>
          <w:bCs/>
          <w:lang w:val="ru-RU"/>
        </w:rPr>
        <w:t>Одржане обуке обухватиле су следеће области:</w:t>
      </w:r>
    </w:p>
    <w:p w14:paraId="7109A2DE" w14:textId="0823CDCE" w:rsidR="00AF1189" w:rsidRPr="00FD6B73" w:rsidRDefault="00AF1189" w:rsidP="00F10AC7">
      <w:pPr>
        <w:numPr>
          <w:ilvl w:val="0"/>
          <w:numId w:val="24"/>
        </w:numPr>
        <w:spacing w:after="120" w:line="240" w:lineRule="auto"/>
        <w:rPr>
          <w:rFonts w:cs="Times New Roman"/>
          <w:bCs/>
          <w:lang w:val="ru-RU"/>
        </w:rPr>
      </w:pPr>
      <w:r w:rsidRPr="00FD6B73">
        <w:rPr>
          <w:rFonts w:cs="Times New Roman"/>
          <w:bCs/>
          <w:lang w:val="ru-RU"/>
        </w:rPr>
        <w:t>„Међународно хуманитарно право и његова примена у суђењима за ратне злочине у Србији</w:t>
      </w:r>
      <w:r w:rsidR="00586C7D">
        <w:rPr>
          <w:rFonts w:cs="Times New Roman"/>
          <w:bCs/>
          <w:lang w:val="ru-RU"/>
        </w:rPr>
        <w:t>ˮ</w:t>
      </w:r>
      <w:r w:rsidRPr="00FD6B73">
        <w:rPr>
          <w:rFonts w:cs="Times New Roman"/>
          <w:bCs/>
          <w:lang w:val="ru-RU"/>
        </w:rPr>
        <w:t xml:space="preserve">; </w:t>
      </w:r>
    </w:p>
    <w:p w14:paraId="19BA20A7" w14:textId="37360BED" w:rsidR="00AF1189" w:rsidRPr="00FD6B73" w:rsidRDefault="00AF1189" w:rsidP="00F10AC7">
      <w:pPr>
        <w:numPr>
          <w:ilvl w:val="0"/>
          <w:numId w:val="24"/>
        </w:numPr>
        <w:spacing w:after="120" w:line="240" w:lineRule="auto"/>
        <w:rPr>
          <w:rFonts w:cs="Times New Roman"/>
          <w:bCs/>
          <w:color w:val="000000"/>
          <w:lang w:val="ru-RU"/>
        </w:rPr>
      </w:pPr>
      <w:r w:rsidRPr="00FD6B73">
        <w:rPr>
          <w:rFonts w:cs="Times New Roman"/>
          <w:bCs/>
          <w:color w:val="000000"/>
          <w:lang w:val="ru-RU"/>
        </w:rPr>
        <w:t>„Истрага у предметима ратних злочина</w:t>
      </w:r>
      <w:r w:rsidR="00586C7D">
        <w:rPr>
          <w:rFonts w:cs="Times New Roman"/>
          <w:bCs/>
          <w:color w:val="000000"/>
          <w:lang w:val="ru-RU"/>
        </w:rPr>
        <w:t>ˮ</w:t>
      </w:r>
      <w:r w:rsidRPr="00FD6B73">
        <w:rPr>
          <w:rFonts w:cs="Times New Roman"/>
          <w:bCs/>
          <w:color w:val="000000"/>
          <w:lang w:val="ru-RU"/>
        </w:rPr>
        <w:t>;</w:t>
      </w:r>
    </w:p>
    <w:p w14:paraId="14835FD7" w14:textId="1B275701" w:rsidR="00AF1189" w:rsidRPr="00FD6B73" w:rsidRDefault="00AF1189" w:rsidP="00F10AC7">
      <w:pPr>
        <w:numPr>
          <w:ilvl w:val="0"/>
          <w:numId w:val="24"/>
        </w:numPr>
        <w:spacing w:after="120" w:line="240" w:lineRule="auto"/>
        <w:rPr>
          <w:rFonts w:cs="Times New Roman"/>
          <w:bCs/>
          <w:color w:val="000000"/>
          <w:lang w:val="ru-RU"/>
        </w:rPr>
      </w:pPr>
      <w:r w:rsidRPr="00FD6B73">
        <w:rPr>
          <w:rFonts w:cs="Times New Roman"/>
          <w:bCs/>
          <w:lang w:val="ru-RU"/>
        </w:rPr>
        <w:t>„Злочин против човечности као кривично дело и командна одговорност као облик кривичне одговорности и њихова примена у предметима ратних злочина у Србији и саизвршилаштво у предметима ратних злочина</w:t>
      </w:r>
      <w:r w:rsidR="00586C7D">
        <w:rPr>
          <w:rFonts w:cs="Times New Roman"/>
          <w:bCs/>
          <w:color w:val="000000"/>
          <w:lang w:val="ru-RU"/>
        </w:rPr>
        <w:t>ˮ</w:t>
      </w:r>
      <w:r w:rsidRPr="00FD6B73">
        <w:rPr>
          <w:rFonts w:cs="Times New Roman"/>
          <w:bCs/>
          <w:color w:val="000000"/>
          <w:lang w:val="ru-RU"/>
        </w:rPr>
        <w:t>;</w:t>
      </w:r>
    </w:p>
    <w:p w14:paraId="0F00854A" w14:textId="1F2BD6C2" w:rsidR="00AF1189" w:rsidRPr="00FD6B73" w:rsidRDefault="00AF1189" w:rsidP="00F10AC7">
      <w:pPr>
        <w:numPr>
          <w:ilvl w:val="0"/>
          <w:numId w:val="24"/>
        </w:numPr>
        <w:spacing w:after="120" w:line="240" w:lineRule="auto"/>
        <w:rPr>
          <w:rFonts w:cs="Times New Roman"/>
          <w:bCs/>
          <w:color w:val="000000"/>
          <w:lang w:val="ru-RU"/>
        </w:rPr>
      </w:pPr>
      <w:r w:rsidRPr="00FD6B73">
        <w:rPr>
          <w:rFonts w:cs="Times New Roman"/>
          <w:bCs/>
          <w:lang w:val="ru-RU"/>
        </w:rPr>
        <w:lastRenderedPageBreak/>
        <w:t>„Одлучивање о имовинско</w:t>
      </w:r>
      <w:r w:rsidR="00741390">
        <w:rPr>
          <w:rFonts w:cs="Times New Roman"/>
          <w:bCs/>
          <w:lang w:val="ru-RU"/>
        </w:rPr>
        <w:t xml:space="preserve"> </w:t>
      </w:r>
      <w:r w:rsidRPr="00FD6B73">
        <w:rPr>
          <w:rFonts w:cs="Times New Roman"/>
          <w:bCs/>
          <w:lang w:val="ru-RU"/>
        </w:rPr>
        <w:t>правном захтеву оштећеног као део пресуде у</w:t>
      </w:r>
      <w:r w:rsidR="00741390">
        <w:rPr>
          <w:rFonts w:cs="Times New Roman"/>
          <w:bCs/>
          <w:lang w:val="ru-RU"/>
        </w:rPr>
        <w:t xml:space="preserve"> </w:t>
      </w:r>
      <w:r w:rsidRPr="00FD6B73">
        <w:rPr>
          <w:rFonts w:cs="Times New Roman"/>
          <w:bCs/>
          <w:lang w:val="ru-RU"/>
        </w:rPr>
        <w:t>предметима ратних злочина</w:t>
      </w:r>
      <w:r w:rsidR="00586C7D">
        <w:rPr>
          <w:rFonts w:cs="Times New Roman"/>
          <w:bCs/>
          <w:lang w:val="ru-RU"/>
        </w:rPr>
        <w:t>ˮ</w:t>
      </w:r>
      <w:r w:rsidRPr="00FD6B73">
        <w:rPr>
          <w:rFonts w:cs="Times New Roman"/>
          <w:bCs/>
          <w:lang w:val="ru-RU"/>
        </w:rPr>
        <w:t>;</w:t>
      </w:r>
    </w:p>
    <w:p w14:paraId="2206149E" w14:textId="32013FE5" w:rsidR="00AF1189" w:rsidRPr="00FD6B73" w:rsidRDefault="00AF1189" w:rsidP="00F10AC7">
      <w:pPr>
        <w:widowControl w:val="0"/>
        <w:numPr>
          <w:ilvl w:val="0"/>
          <w:numId w:val="24"/>
        </w:numPr>
        <w:autoSpaceDE w:val="0"/>
        <w:autoSpaceDN w:val="0"/>
        <w:adjustRightInd w:val="0"/>
        <w:spacing w:after="120" w:line="240" w:lineRule="auto"/>
        <w:ind w:right="69"/>
        <w:rPr>
          <w:rFonts w:cs="Times New Roman"/>
          <w:bCs/>
          <w:color w:val="000000"/>
          <w:lang w:val="ru-RU"/>
        </w:rPr>
      </w:pPr>
      <w:r w:rsidRPr="00FD6B73">
        <w:rPr>
          <w:rFonts w:cs="Times New Roman"/>
          <w:bCs/>
          <w:color w:val="000000"/>
          <w:lang w:val="ru-RU"/>
        </w:rPr>
        <w:t>„Поступање са сведоцима и оштећенима у предметима ратних злочина</w:t>
      </w:r>
      <w:r w:rsidR="00586C7D">
        <w:rPr>
          <w:rFonts w:cs="Times New Roman"/>
          <w:bCs/>
          <w:color w:val="000000"/>
          <w:lang w:val="ru-RU"/>
        </w:rPr>
        <w:t>ˮ</w:t>
      </w:r>
      <w:r w:rsidRPr="00FD6B73">
        <w:rPr>
          <w:rFonts w:cs="Times New Roman"/>
          <w:bCs/>
          <w:color w:val="000000"/>
          <w:lang w:val="ru-RU"/>
        </w:rPr>
        <w:t>;</w:t>
      </w:r>
    </w:p>
    <w:p w14:paraId="5E51B5BB" w14:textId="273B044B" w:rsidR="00AF1189" w:rsidRPr="00FD6B73" w:rsidRDefault="00AF1189" w:rsidP="00F10AC7">
      <w:pPr>
        <w:numPr>
          <w:ilvl w:val="0"/>
          <w:numId w:val="24"/>
        </w:numPr>
        <w:spacing w:after="120" w:line="240" w:lineRule="auto"/>
        <w:rPr>
          <w:rFonts w:cs="Times New Roman"/>
          <w:bCs/>
          <w:color w:val="000000"/>
          <w:lang w:val="ru-RU"/>
        </w:rPr>
      </w:pPr>
      <w:r w:rsidRPr="00FD6B73">
        <w:rPr>
          <w:rFonts w:cs="Times New Roman"/>
          <w:bCs/>
          <w:color w:val="000000"/>
          <w:lang w:val="ru-RU"/>
        </w:rPr>
        <w:t>„Процесуирање злочина сек</w:t>
      </w:r>
      <w:r w:rsidR="00E32577">
        <w:rPr>
          <w:rFonts w:cs="Times New Roman"/>
          <w:bCs/>
          <w:color w:val="000000"/>
          <w:lang w:val="ru-RU"/>
        </w:rPr>
        <w:t>суалног насиља у надлежности МКТ</w:t>
      </w:r>
      <w:r w:rsidRPr="00FD6B73">
        <w:rPr>
          <w:rFonts w:cs="Times New Roman"/>
          <w:bCs/>
          <w:color w:val="000000"/>
          <w:lang w:val="ru-RU"/>
        </w:rPr>
        <w:t>Ј</w:t>
      </w:r>
      <w:r w:rsidR="00586C7D">
        <w:rPr>
          <w:rFonts w:cs="Times New Roman"/>
          <w:bCs/>
          <w:color w:val="000000"/>
          <w:lang w:val="ru-RU"/>
        </w:rPr>
        <w:t>ˮ</w:t>
      </w:r>
      <w:r w:rsidRPr="00FD6B73">
        <w:rPr>
          <w:rFonts w:cs="Times New Roman"/>
          <w:bCs/>
          <w:color w:val="000000"/>
          <w:lang w:val="ru-RU"/>
        </w:rPr>
        <w:t>;</w:t>
      </w:r>
    </w:p>
    <w:p w14:paraId="7FB5B9F2" w14:textId="0758C4CA" w:rsidR="00AF1189" w:rsidRPr="00FD6B73" w:rsidRDefault="00AF1189" w:rsidP="00F10AC7">
      <w:pPr>
        <w:widowControl w:val="0"/>
        <w:numPr>
          <w:ilvl w:val="0"/>
          <w:numId w:val="24"/>
        </w:numPr>
        <w:autoSpaceDE w:val="0"/>
        <w:autoSpaceDN w:val="0"/>
        <w:adjustRightInd w:val="0"/>
        <w:spacing w:after="120" w:line="240" w:lineRule="auto"/>
        <w:ind w:right="69"/>
        <w:rPr>
          <w:rFonts w:cs="Times New Roman"/>
          <w:bCs/>
          <w:color w:val="000000"/>
          <w:lang w:val="ru-RU"/>
        </w:rPr>
      </w:pPr>
      <w:r w:rsidRPr="00FD6B73">
        <w:rPr>
          <w:rFonts w:cs="Times New Roman"/>
          <w:bCs/>
          <w:color w:val="000000"/>
          <w:lang w:val="ru-RU"/>
        </w:rPr>
        <w:t>„Сексуално насиље у предметима ратних злочина</w:t>
      </w:r>
      <w:r w:rsidR="00901790">
        <w:rPr>
          <w:rFonts w:cs="Times New Roman"/>
          <w:bCs/>
          <w:color w:val="000000"/>
          <w:lang w:val="ru-RU"/>
        </w:rPr>
        <w:t xml:space="preserve"> </w:t>
      </w:r>
      <w:r w:rsidRPr="00FD6B73">
        <w:rPr>
          <w:rFonts w:cs="Times New Roman"/>
          <w:bCs/>
          <w:color w:val="000000"/>
          <w:lang w:val="ru-RU"/>
        </w:rPr>
        <w:t>-</w:t>
      </w:r>
      <w:r w:rsidR="00901790">
        <w:rPr>
          <w:rFonts w:cs="Times New Roman"/>
          <w:bCs/>
          <w:color w:val="000000"/>
          <w:lang w:val="ru-RU"/>
        </w:rPr>
        <w:t xml:space="preserve"> </w:t>
      </w:r>
      <w:r w:rsidRPr="00FD6B73">
        <w:rPr>
          <w:rFonts w:cs="Times New Roman"/>
          <w:bCs/>
          <w:color w:val="000000"/>
          <w:lang w:val="ru-RU"/>
        </w:rPr>
        <w:t>судска пракса и поступање са сведоцима и оштећенима</w:t>
      </w:r>
      <w:r w:rsidR="00586C7D">
        <w:rPr>
          <w:rFonts w:cs="Times New Roman"/>
          <w:bCs/>
          <w:color w:val="000000"/>
          <w:lang w:val="ru-RU"/>
        </w:rPr>
        <w:t>ˮ</w:t>
      </w:r>
      <w:r w:rsidRPr="00FD6B73">
        <w:rPr>
          <w:rFonts w:cs="Times New Roman"/>
          <w:bCs/>
          <w:color w:val="000000"/>
          <w:lang w:val="ru-RU"/>
        </w:rPr>
        <w:t>.</w:t>
      </w:r>
    </w:p>
    <w:p w14:paraId="79AB7225" w14:textId="2F8AD265" w:rsidR="00AF1189" w:rsidRPr="00FD6B73" w:rsidRDefault="00AF1189" w:rsidP="00A75929">
      <w:pPr>
        <w:widowControl w:val="0"/>
        <w:autoSpaceDE w:val="0"/>
        <w:autoSpaceDN w:val="0"/>
        <w:adjustRightInd w:val="0"/>
        <w:spacing w:line="240" w:lineRule="auto"/>
        <w:ind w:right="69"/>
        <w:rPr>
          <w:rFonts w:cs="Times New Roman"/>
          <w:bCs/>
          <w:color w:val="000000"/>
          <w:lang w:val="ru-RU"/>
        </w:rPr>
      </w:pPr>
      <w:r w:rsidRPr="00FD6B73">
        <w:rPr>
          <w:rFonts w:cs="Times New Roman"/>
          <w:bCs/>
          <w:color w:val="000000"/>
          <w:lang w:val="ru-RU"/>
        </w:rPr>
        <w:t xml:space="preserve">Предавачи на овим обукама били су реномирани експерти у наведеним областима, при чему је од изузетне важности напоменути да се водило рачуна о равномерној заступљености стручњака различитих профила (правосуђе, адвокатура, службе подршке оштећенима и сведоцима, међународне организације попут ОЕБС-а и </w:t>
      </w:r>
      <w:r w:rsidRPr="00FD6B73">
        <w:rPr>
          <w:rFonts w:cs="Times New Roman"/>
          <w:bCs/>
          <w:lang w:val="ru-RU"/>
        </w:rPr>
        <w:t>Међународног комитета Црвеног крста, али и стручњаци са искуством стеченим у процесуирању ратних злочина у региону и пред МК</w:t>
      </w:r>
      <w:r w:rsidR="00E32577">
        <w:rPr>
          <w:rFonts w:cs="Times New Roman"/>
          <w:bCs/>
          <w:lang w:val="ru-RU"/>
        </w:rPr>
        <w:t>Т</w:t>
      </w:r>
      <w:r w:rsidRPr="00FD6B73">
        <w:rPr>
          <w:rFonts w:cs="Times New Roman"/>
          <w:bCs/>
          <w:lang w:val="ru-RU"/>
        </w:rPr>
        <w:t xml:space="preserve">Ј и </w:t>
      </w:r>
      <w:r w:rsidR="00901790" w:rsidRPr="00FD6B73">
        <w:rPr>
          <w:rFonts w:cs="Times New Roman"/>
          <w:lang w:val="ru-RU"/>
        </w:rPr>
        <w:t>МРМКС</w:t>
      </w:r>
      <w:r w:rsidRPr="00FD6B73">
        <w:rPr>
          <w:rFonts w:cs="Times New Roman"/>
          <w:bCs/>
          <w:lang w:val="ru-RU"/>
        </w:rPr>
        <w:t>).</w:t>
      </w:r>
    </w:p>
    <w:p w14:paraId="4146F1BF" w14:textId="77777777" w:rsidR="00AF1189" w:rsidRPr="00FD6B73" w:rsidRDefault="00AF1189" w:rsidP="00F10AC7">
      <w:pPr>
        <w:pStyle w:val="Heading4"/>
        <w:spacing w:line="240" w:lineRule="auto"/>
        <w:rPr>
          <w:rFonts w:cs="Times New Roman"/>
          <w:lang w:val="ru-RU"/>
        </w:rPr>
      </w:pPr>
      <w:bookmarkStart w:id="25" w:name="_Toc69325784"/>
      <w:r w:rsidRPr="00FD6B73">
        <w:rPr>
          <w:rFonts w:cs="Times New Roman"/>
          <w:lang w:val="ru-RU"/>
        </w:rPr>
        <w:t>Б) Статистички параметри ефикасности суђења у поступцима за ратне злочине</w:t>
      </w:r>
      <w:bookmarkEnd w:id="25"/>
    </w:p>
    <w:p w14:paraId="59B51369" w14:textId="77777777" w:rsidR="00AF1189" w:rsidRPr="00FD6B73" w:rsidRDefault="00AF1189" w:rsidP="00F10AC7">
      <w:pPr>
        <w:spacing w:after="120" w:line="240" w:lineRule="auto"/>
        <w:rPr>
          <w:rFonts w:cs="Times New Roman"/>
          <w:lang w:val="ru-RU"/>
        </w:rPr>
      </w:pPr>
    </w:p>
    <w:p w14:paraId="12B699FC" w14:textId="5B87E5E1" w:rsidR="00AF1189" w:rsidRPr="00FD6B73" w:rsidRDefault="00AF1189" w:rsidP="00F10AC7">
      <w:pPr>
        <w:pStyle w:val="BodyText"/>
        <w:spacing w:before="0" w:after="120"/>
        <w:ind w:left="0"/>
        <w:rPr>
          <w:sz w:val="24"/>
          <w:szCs w:val="24"/>
          <w:lang w:val="ru-RU"/>
        </w:rPr>
      </w:pPr>
      <w:r w:rsidRPr="00FD6B73">
        <w:rPr>
          <w:sz w:val="24"/>
          <w:szCs w:val="24"/>
          <w:lang w:val="ru-RU"/>
        </w:rPr>
        <w:t>Статистички параметри ефикасности суђења за ратне злочине показују да је у посматраном периоду, Виши суд у Београду доне</w:t>
      </w:r>
      <w:r w:rsidR="00901790">
        <w:rPr>
          <w:sz w:val="24"/>
          <w:szCs w:val="24"/>
          <w:lang w:val="ru-RU"/>
        </w:rPr>
        <w:t>о 18 првостепених пресуда, а да се број пресуда кретао између једне и осам</w:t>
      </w:r>
      <w:r w:rsidRPr="00FD6B73">
        <w:rPr>
          <w:sz w:val="24"/>
          <w:szCs w:val="24"/>
          <w:lang w:val="ru-RU"/>
        </w:rPr>
        <w:t xml:space="preserve"> на годишњем нивоу.</w:t>
      </w:r>
    </w:p>
    <w:p w14:paraId="023E0F2C" w14:textId="052FA9BD" w:rsidR="00AF1189" w:rsidRPr="00FD6B73" w:rsidRDefault="00AF1189" w:rsidP="00F10AC7">
      <w:pPr>
        <w:shd w:val="clear" w:color="auto" w:fill="FFFFFF"/>
        <w:spacing w:after="120" w:line="240" w:lineRule="auto"/>
        <w:jc w:val="center"/>
        <w:rPr>
          <w:rFonts w:cs="Times New Roman"/>
          <w:color w:val="000000"/>
          <w:sz w:val="20"/>
          <w:szCs w:val="20"/>
          <w:lang w:val="ru-RU"/>
        </w:rPr>
      </w:pPr>
      <w:r w:rsidRPr="00FD6B73">
        <w:rPr>
          <w:rFonts w:cs="Times New Roman"/>
          <w:color w:val="000000"/>
          <w:sz w:val="20"/>
          <w:szCs w:val="20"/>
          <w:lang w:val="ru-RU"/>
        </w:rPr>
        <w:t>Табела 5: Број првостепених пре</w:t>
      </w:r>
      <w:r w:rsidR="00901790">
        <w:rPr>
          <w:rFonts w:cs="Times New Roman"/>
          <w:color w:val="000000"/>
          <w:sz w:val="20"/>
          <w:szCs w:val="20"/>
          <w:lang w:val="ru-RU"/>
        </w:rPr>
        <w:t xml:space="preserve">суда по годинама у периоду од 2016. до </w:t>
      </w:r>
      <w:r w:rsidRPr="00FD6B73">
        <w:rPr>
          <w:rFonts w:cs="Times New Roman"/>
          <w:color w:val="000000"/>
          <w:sz w:val="20"/>
          <w:szCs w:val="20"/>
          <w:lang w:val="ru-RU"/>
        </w:rPr>
        <w:t>2020.</w:t>
      </w:r>
      <w:r w:rsidR="00901790">
        <w:rPr>
          <w:rFonts w:cs="Times New Roman"/>
          <w:color w:val="000000"/>
          <w:sz w:val="20"/>
          <w:szCs w:val="20"/>
          <w:lang w:val="ru-RU"/>
        </w:rPr>
        <w:t xml:space="preserve"> године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195"/>
        <w:gridCol w:w="4155"/>
      </w:tblGrid>
      <w:tr w:rsidR="00AF1189" w:rsidRPr="00CD46D4" w14:paraId="163F673D" w14:textId="77777777" w:rsidTr="00637400">
        <w:trPr>
          <w:trHeight w:val="290"/>
          <w:jc w:val="center"/>
        </w:trPr>
        <w:tc>
          <w:tcPr>
            <w:tcW w:w="2778" w:type="pct"/>
            <w:shd w:val="clear" w:color="auto" w:fill="DEEAF6" w:themeFill="accent1" w:themeFillTint="33"/>
          </w:tcPr>
          <w:p w14:paraId="21D8CE6C"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Година</w:t>
            </w:r>
          </w:p>
        </w:tc>
        <w:tc>
          <w:tcPr>
            <w:tcW w:w="2222" w:type="pct"/>
            <w:shd w:val="clear" w:color="auto" w:fill="DEEAF6" w:themeFill="accent1" w:themeFillTint="33"/>
          </w:tcPr>
          <w:p w14:paraId="1573CAFF"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Број првостепених пресуда</w:t>
            </w:r>
          </w:p>
        </w:tc>
      </w:tr>
      <w:tr w:rsidR="00AF1189" w:rsidRPr="00CD46D4" w14:paraId="7AB0C991" w14:textId="77777777" w:rsidTr="00637400">
        <w:trPr>
          <w:trHeight w:val="290"/>
          <w:jc w:val="center"/>
        </w:trPr>
        <w:tc>
          <w:tcPr>
            <w:tcW w:w="2778" w:type="pct"/>
          </w:tcPr>
          <w:p w14:paraId="19685765"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2016</w:t>
            </w:r>
          </w:p>
        </w:tc>
        <w:tc>
          <w:tcPr>
            <w:tcW w:w="2222" w:type="pct"/>
          </w:tcPr>
          <w:p w14:paraId="52ED7510"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3</w:t>
            </w:r>
          </w:p>
        </w:tc>
      </w:tr>
      <w:tr w:rsidR="00AF1189" w:rsidRPr="00CD46D4" w14:paraId="78449EEF" w14:textId="77777777" w:rsidTr="00637400">
        <w:trPr>
          <w:trHeight w:val="290"/>
          <w:jc w:val="center"/>
        </w:trPr>
        <w:tc>
          <w:tcPr>
            <w:tcW w:w="2778" w:type="pct"/>
          </w:tcPr>
          <w:p w14:paraId="6B31A8F3"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2017</w:t>
            </w:r>
          </w:p>
        </w:tc>
        <w:tc>
          <w:tcPr>
            <w:tcW w:w="2222" w:type="pct"/>
          </w:tcPr>
          <w:p w14:paraId="6B2B540E"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1</w:t>
            </w:r>
          </w:p>
        </w:tc>
      </w:tr>
      <w:tr w:rsidR="00AF1189" w:rsidRPr="00CD46D4" w14:paraId="1D3C4C58" w14:textId="77777777" w:rsidTr="00637400">
        <w:trPr>
          <w:trHeight w:val="290"/>
          <w:jc w:val="center"/>
        </w:trPr>
        <w:tc>
          <w:tcPr>
            <w:tcW w:w="2778" w:type="pct"/>
          </w:tcPr>
          <w:p w14:paraId="7B922EC8"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2018</w:t>
            </w:r>
          </w:p>
        </w:tc>
        <w:tc>
          <w:tcPr>
            <w:tcW w:w="2222" w:type="pct"/>
          </w:tcPr>
          <w:p w14:paraId="3219A784"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1</w:t>
            </w:r>
          </w:p>
        </w:tc>
      </w:tr>
      <w:tr w:rsidR="00AF1189" w:rsidRPr="00CD46D4" w14:paraId="3FE07259" w14:textId="77777777" w:rsidTr="00637400">
        <w:trPr>
          <w:trHeight w:val="290"/>
          <w:jc w:val="center"/>
        </w:trPr>
        <w:tc>
          <w:tcPr>
            <w:tcW w:w="2778" w:type="pct"/>
          </w:tcPr>
          <w:p w14:paraId="2D499A32"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2019</w:t>
            </w:r>
          </w:p>
        </w:tc>
        <w:tc>
          <w:tcPr>
            <w:tcW w:w="2222" w:type="pct"/>
          </w:tcPr>
          <w:p w14:paraId="7BAD3BEA"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8</w:t>
            </w:r>
          </w:p>
        </w:tc>
      </w:tr>
      <w:tr w:rsidR="00AF1189" w:rsidRPr="00CD46D4" w14:paraId="28A2CAED" w14:textId="77777777" w:rsidTr="00637400">
        <w:trPr>
          <w:trHeight w:val="290"/>
          <w:jc w:val="center"/>
        </w:trPr>
        <w:tc>
          <w:tcPr>
            <w:tcW w:w="2778" w:type="pct"/>
          </w:tcPr>
          <w:p w14:paraId="208FA15E"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2020</w:t>
            </w:r>
          </w:p>
        </w:tc>
        <w:tc>
          <w:tcPr>
            <w:tcW w:w="2222" w:type="pct"/>
          </w:tcPr>
          <w:p w14:paraId="412E4F3E" w14:textId="77777777" w:rsidR="00AF1189" w:rsidRPr="00CD46D4" w:rsidRDefault="00AF1189" w:rsidP="00F10AC7">
            <w:pPr>
              <w:autoSpaceDE w:val="0"/>
              <w:autoSpaceDN w:val="0"/>
              <w:adjustRightInd w:val="0"/>
              <w:spacing w:after="120" w:line="240" w:lineRule="auto"/>
              <w:jc w:val="center"/>
              <w:rPr>
                <w:rFonts w:cs="Times New Roman"/>
                <w:color w:val="000000"/>
              </w:rPr>
            </w:pPr>
            <w:r w:rsidRPr="00CD46D4">
              <w:rPr>
                <w:rFonts w:cs="Times New Roman"/>
                <w:color w:val="000000"/>
                <w:sz w:val="22"/>
              </w:rPr>
              <w:t>5</w:t>
            </w:r>
          </w:p>
        </w:tc>
      </w:tr>
      <w:tr w:rsidR="00AF1189" w:rsidRPr="00CD46D4" w14:paraId="13C716C3" w14:textId="77777777" w:rsidTr="00637400">
        <w:trPr>
          <w:trHeight w:val="290"/>
          <w:jc w:val="center"/>
        </w:trPr>
        <w:tc>
          <w:tcPr>
            <w:tcW w:w="2778" w:type="pct"/>
          </w:tcPr>
          <w:p w14:paraId="084FB1EE" w14:textId="77777777" w:rsidR="00AF1189" w:rsidRPr="00CD46D4" w:rsidRDefault="00AF1189" w:rsidP="00F10AC7">
            <w:pPr>
              <w:autoSpaceDE w:val="0"/>
              <w:autoSpaceDN w:val="0"/>
              <w:adjustRightInd w:val="0"/>
              <w:spacing w:after="120" w:line="240" w:lineRule="auto"/>
              <w:jc w:val="center"/>
              <w:rPr>
                <w:rFonts w:cs="Times New Roman"/>
                <w:b/>
                <w:bCs/>
                <w:color w:val="000000"/>
              </w:rPr>
            </w:pPr>
            <w:r w:rsidRPr="00CD46D4">
              <w:rPr>
                <w:rFonts w:cs="Times New Roman"/>
                <w:b/>
                <w:bCs/>
                <w:color w:val="000000"/>
                <w:sz w:val="22"/>
              </w:rPr>
              <w:t>Укупно</w:t>
            </w:r>
          </w:p>
        </w:tc>
        <w:tc>
          <w:tcPr>
            <w:tcW w:w="2222" w:type="pct"/>
          </w:tcPr>
          <w:p w14:paraId="7469A40A" w14:textId="77777777" w:rsidR="00AF1189" w:rsidRPr="00CD46D4" w:rsidRDefault="00AF1189" w:rsidP="00F10AC7">
            <w:pPr>
              <w:autoSpaceDE w:val="0"/>
              <w:autoSpaceDN w:val="0"/>
              <w:adjustRightInd w:val="0"/>
              <w:spacing w:after="120" w:line="240" w:lineRule="auto"/>
              <w:jc w:val="center"/>
              <w:rPr>
                <w:rFonts w:cs="Times New Roman"/>
                <w:b/>
                <w:bCs/>
                <w:color w:val="000000"/>
              </w:rPr>
            </w:pPr>
            <w:r w:rsidRPr="00CD46D4">
              <w:rPr>
                <w:rFonts w:cs="Times New Roman"/>
                <w:b/>
                <w:bCs/>
                <w:color w:val="000000"/>
                <w:sz w:val="22"/>
              </w:rPr>
              <w:t>18</w:t>
            </w:r>
          </w:p>
        </w:tc>
      </w:tr>
    </w:tbl>
    <w:p w14:paraId="57C0E585" w14:textId="297CED97" w:rsidR="00AF1189" w:rsidRPr="00FD6B73" w:rsidRDefault="00AF1189" w:rsidP="00F10AC7">
      <w:pPr>
        <w:shd w:val="clear" w:color="auto" w:fill="FFFFFF"/>
        <w:spacing w:before="240" w:after="120" w:line="240" w:lineRule="auto"/>
        <w:rPr>
          <w:rFonts w:cs="Times New Roman"/>
          <w:color w:val="000000"/>
          <w:lang w:val="ru-RU"/>
        </w:rPr>
      </w:pPr>
      <w:r w:rsidRPr="00FD6B73">
        <w:rPr>
          <w:rFonts w:cs="Times New Roman"/>
          <w:color w:val="000000"/>
          <w:lang w:val="ru-RU"/>
        </w:rPr>
        <w:t xml:space="preserve">Трендови у погледу броја првостепених пресуда показују позитиван </w:t>
      </w:r>
      <w:r w:rsidR="00901790">
        <w:rPr>
          <w:rFonts w:cs="Times New Roman"/>
          <w:color w:val="000000"/>
          <w:lang w:val="ru-RU"/>
        </w:rPr>
        <w:t>скок</w:t>
      </w:r>
      <w:r w:rsidRPr="00FD6B73">
        <w:rPr>
          <w:rFonts w:cs="Times New Roman"/>
          <w:color w:val="000000"/>
          <w:lang w:val="ru-RU"/>
        </w:rPr>
        <w:t xml:space="preserve"> у 2019. години, када је донето осам првостепених пресуда, што одговара позитивном </w:t>
      </w:r>
      <w:r w:rsidR="00901790">
        <w:rPr>
          <w:rFonts w:cs="Times New Roman"/>
          <w:color w:val="000000"/>
          <w:lang w:val="ru-RU"/>
        </w:rPr>
        <w:t>скоку</w:t>
      </w:r>
      <w:r w:rsidRPr="00FD6B73">
        <w:rPr>
          <w:rFonts w:cs="Times New Roman"/>
          <w:color w:val="000000"/>
          <w:lang w:val="ru-RU"/>
        </w:rPr>
        <w:t xml:space="preserve"> потврђених оптужница из 2018. године и указује на постојање капацитета Посебног одељења Вишег суда за савладавањ</w:t>
      </w:r>
      <w:r w:rsidR="0070172A" w:rsidRPr="00FD6B73">
        <w:rPr>
          <w:rFonts w:cs="Times New Roman"/>
          <w:color w:val="000000"/>
          <w:lang w:val="ru-RU"/>
        </w:rPr>
        <w:t>е и повећаног прилива предмета р</w:t>
      </w:r>
      <w:r w:rsidRPr="00FD6B73">
        <w:rPr>
          <w:rFonts w:cs="Times New Roman"/>
          <w:color w:val="000000"/>
          <w:lang w:val="ru-RU"/>
        </w:rPr>
        <w:t>атних злочина.</w:t>
      </w:r>
    </w:p>
    <w:p w14:paraId="1E31FF60" w14:textId="77777777" w:rsidR="00AF1189" w:rsidRPr="00FD6B73" w:rsidRDefault="00AF1189" w:rsidP="00F10AC7">
      <w:pPr>
        <w:shd w:val="clear" w:color="auto" w:fill="FFFFFF"/>
        <w:spacing w:after="120" w:line="240" w:lineRule="auto"/>
        <w:jc w:val="center"/>
        <w:rPr>
          <w:rFonts w:cs="Times New Roman"/>
          <w:color w:val="000000"/>
          <w:sz w:val="20"/>
          <w:szCs w:val="20"/>
          <w:lang w:val="ru-RU"/>
        </w:rPr>
      </w:pPr>
      <w:r w:rsidRPr="00CD46D4">
        <w:rPr>
          <w:rFonts w:cs="Times New Roman"/>
          <w:color w:val="000000"/>
        </w:rPr>
        <w:t> </w:t>
      </w:r>
      <w:r w:rsidRPr="00FD6B73">
        <w:rPr>
          <w:rFonts w:cs="Times New Roman"/>
          <w:color w:val="000000"/>
          <w:sz w:val="20"/>
          <w:szCs w:val="20"/>
          <w:lang w:val="ru-RU"/>
        </w:rPr>
        <w:t>График 6: Број првостепених пресуда по годинама</w:t>
      </w:r>
    </w:p>
    <w:p w14:paraId="7F1EDA77" w14:textId="77777777" w:rsidR="00AF1189" w:rsidRPr="00CD46D4" w:rsidRDefault="00AF1189" w:rsidP="00F10AC7">
      <w:pPr>
        <w:spacing w:after="120" w:line="240" w:lineRule="auto"/>
        <w:jc w:val="center"/>
        <w:rPr>
          <w:rFonts w:cs="Times New Roman"/>
        </w:rPr>
      </w:pPr>
      <w:r w:rsidRPr="00CD46D4">
        <w:rPr>
          <w:rFonts w:cs="Times New Roman"/>
          <w:noProof/>
        </w:rPr>
        <w:lastRenderedPageBreak/>
        <w:drawing>
          <wp:inline distT="0" distB="0" distL="0" distR="0" wp14:anchorId="675ED630" wp14:editId="3C4BE4DA">
            <wp:extent cx="4279017" cy="2146852"/>
            <wp:effectExtent l="0" t="0" r="2540" b="381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DB00A34" w14:textId="77777777" w:rsidR="00AF1189" w:rsidRPr="00CD46D4" w:rsidRDefault="00AF1189" w:rsidP="00F10AC7">
      <w:pPr>
        <w:spacing w:after="120" w:line="240" w:lineRule="auto"/>
        <w:rPr>
          <w:rFonts w:cs="Times New Roman"/>
        </w:rPr>
      </w:pPr>
    </w:p>
    <w:p w14:paraId="45845A36" w14:textId="4B42CB53" w:rsidR="00AF1189" w:rsidRDefault="00AF1189" w:rsidP="00F10AC7">
      <w:pPr>
        <w:spacing w:after="120" w:line="240" w:lineRule="auto"/>
        <w:rPr>
          <w:rFonts w:cs="Times New Roman"/>
          <w:lang w:val="ru-RU"/>
        </w:rPr>
      </w:pPr>
      <w:r w:rsidRPr="00FD6B73">
        <w:rPr>
          <w:rFonts w:cs="Times New Roman"/>
          <w:lang w:val="ru-RU"/>
        </w:rPr>
        <w:t>У посматраном периоду, Апелациони суд у Београду је донео 23 одлуке по жалбама изјављеним против пресуда Вишег суда (Табела 6).</w:t>
      </w:r>
    </w:p>
    <w:p w14:paraId="5C7EFF06" w14:textId="77777777" w:rsidR="00901790" w:rsidRPr="00FD6B73" w:rsidRDefault="00901790" w:rsidP="00F10AC7">
      <w:pPr>
        <w:spacing w:after="120" w:line="240" w:lineRule="auto"/>
        <w:rPr>
          <w:rFonts w:cs="Times New Roman"/>
          <w:lang w:val="ru-RU"/>
        </w:rPr>
      </w:pPr>
    </w:p>
    <w:p w14:paraId="0185A3FC" w14:textId="77777777" w:rsidR="00AF1189" w:rsidRPr="00FD6B73" w:rsidRDefault="00AF1189" w:rsidP="00637400">
      <w:pPr>
        <w:spacing w:after="120" w:line="240" w:lineRule="auto"/>
        <w:jc w:val="center"/>
        <w:rPr>
          <w:rFonts w:cs="Times New Roman"/>
          <w:sz w:val="20"/>
          <w:szCs w:val="20"/>
          <w:lang w:val="ru-RU"/>
        </w:rPr>
      </w:pPr>
      <w:r w:rsidRPr="00FD6B73">
        <w:rPr>
          <w:rFonts w:cs="Times New Roman"/>
          <w:sz w:val="20"/>
          <w:szCs w:val="20"/>
          <w:lang w:val="ru-RU"/>
        </w:rPr>
        <w:t xml:space="preserve">Табела 6: Апелациони суд у Београду о </w:t>
      </w:r>
      <w:r w:rsidRPr="00FD6B73">
        <w:rPr>
          <w:rFonts w:cs="Times New Roman"/>
          <w:color w:val="000000"/>
          <w:sz w:val="20"/>
          <w:szCs w:val="20"/>
          <w:lang w:val="ru-RU"/>
        </w:rPr>
        <w:t>врсти одлуке за решене предмете за извештајни период од 01.01.2016. године до 31.12.2020. године</w:t>
      </w:r>
    </w:p>
    <w:tbl>
      <w:tblPr>
        <w:tblStyle w:val="TableGrid"/>
        <w:tblW w:w="0" w:type="auto"/>
        <w:jc w:val="center"/>
        <w:tblLook w:val="04A0" w:firstRow="1" w:lastRow="0" w:firstColumn="1" w:lastColumn="0" w:noHBand="0" w:noVBand="1"/>
      </w:tblPr>
      <w:tblGrid>
        <w:gridCol w:w="2151"/>
        <w:gridCol w:w="904"/>
        <w:gridCol w:w="900"/>
        <w:gridCol w:w="764"/>
        <w:gridCol w:w="898"/>
        <w:gridCol w:w="898"/>
        <w:gridCol w:w="898"/>
        <w:gridCol w:w="890"/>
        <w:gridCol w:w="1047"/>
      </w:tblGrid>
      <w:tr w:rsidR="00AF1189" w:rsidRPr="00CD46D4" w14:paraId="75CE53B1" w14:textId="77777777" w:rsidTr="00B9743B">
        <w:trPr>
          <w:trHeight w:val="863"/>
          <w:jc w:val="center"/>
        </w:trPr>
        <w:tc>
          <w:tcPr>
            <w:tcW w:w="2151" w:type="dxa"/>
            <w:shd w:val="clear" w:color="auto" w:fill="DEEAF6" w:themeFill="accent1" w:themeFillTint="33"/>
          </w:tcPr>
          <w:p w14:paraId="7EF0B044" w14:textId="77777777" w:rsidR="00AF1189" w:rsidRPr="00FD6B73" w:rsidRDefault="00AF1189" w:rsidP="00F10AC7">
            <w:pPr>
              <w:spacing w:after="120"/>
              <w:rPr>
                <w:rFonts w:cs="Times New Roman"/>
                <w:sz w:val="20"/>
                <w:szCs w:val="20"/>
                <w:lang w:val="ru-RU"/>
              </w:rPr>
            </w:pPr>
          </w:p>
        </w:tc>
        <w:tc>
          <w:tcPr>
            <w:tcW w:w="904" w:type="dxa"/>
            <w:shd w:val="clear" w:color="auto" w:fill="DEEAF6" w:themeFill="accent1" w:themeFillTint="33"/>
          </w:tcPr>
          <w:p w14:paraId="72A729F8"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Кж–По2–Кре</w:t>
            </w:r>
          </w:p>
        </w:tc>
        <w:tc>
          <w:tcPr>
            <w:tcW w:w="900" w:type="dxa"/>
            <w:shd w:val="clear" w:color="auto" w:fill="DEEAF6" w:themeFill="accent1" w:themeFillTint="33"/>
          </w:tcPr>
          <w:p w14:paraId="120211D9"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Кж-р ПО2</w:t>
            </w:r>
          </w:p>
        </w:tc>
        <w:tc>
          <w:tcPr>
            <w:tcW w:w="764" w:type="dxa"/>
            <w:shd w:val="clear" w:color="auto" w:fill="DEEAF6" w:themeFill="accent1" w:themeFillTint="33"/>
          </w:tcPr>
          <w:p w14:paraId="747363F5"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Кж–По2–уо</w:t>
            </w:r>
          </w:p>
        </w:tc>
        <w:tc>
          <w:tcPr>
            <w:tcW w:w="898" w:type="dxa"/>
            <w:shd w:val="clear" w:color="auto" w:fill="DEEAF6" w:themeFill="accent1" w:themeFillTint="33"/>
          </w:tcPr>
          <w:p w14:paraId="09CE9BB4"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Кж1 ПО2</w:t>
            </w:r>
          </w:p>
        </w:tc>
        <w:tc>
          <w:tcPr>
            <w:tcW w:w="898" w:type="dxa"/>
            <w:shd w:val="clear" w:color="auto" w:fill="DEEAF6" w:themeFill="accent1" w:themeFillTint="33"/>
          </w:tcPr>
          <w:p w14:paraId="5637F8DE"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Кж2 ПО2</w:t>
            </w:r>
          </w:p>
          <w:p w14:paraId="3C534A7E" w14:textId="77777777" w:rsidR="00AF1189" w:rsidRPr="00A75929" w:rsidRDefault="00AF1189" w:rsidP="00F10AC7">
            <w:pPr>
              <w:spacing w:after="120"/>
              <w:jc w:val="center"/>
              <w:rPr>
                <w:rFonts w:cs="Times New Roman"/>
                <w:sz w:val="20"/>
                <w:szCs w:val="20"/>
              </w:rPr>
            </w:pPr>
          </w:p>
        </w:tc>
        <w:tc>
          <w:tcPr>
            <w:tcW w:w="898" w:type="dxa"/>
            <w:shd w:val="clear" w:color="auto" w:fill="DEEAF6" w:themeFill="accent1" w:themeFillTint="33"/>
          </w:tcPr>
          <w:p w14:paraId="625DA88D"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Кж3 ПО2</w:t>
            </w:r>
          </w:p>
        </w:tc>
        <w:tc>
          <w:tcPr>
            <w:tcW w:w="890" w:type="dxa"/>
            <w:shd w:val="clear" w:color="auto" w:fill="DEEAF6" w:themeFill="accent1" w:themeFillTint="33"/>
          </w:tcPr>
          <w:p w14:paraId="3E180ED3"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Рж к-По2</w:t>
            </w:r>
          </w:p>
          <w:p w14:paraId="3BFD9A2E" w14:textId="77777777" w:rsidR="00AF1189" w:rsidRPr="00A75929" w:rsidRDefault="00AF1189" w:rsidP="00F10AC7">
            <w:pPr>
              <w:spacing w:after="120"/>
              <w:jc w:val="center"/>
              <w:rPr>
                <w:rFonts w:cs="Times New Roman"/>
                <w:sz w:val="20"/>
                <w:szCs w:val="20"/>
              </w:rPr>
            </w:pPr>
          </w:p>
        </w:tc>
        <w:tc>
          <w:tcPr>
            <w:tcW w:w="1047" w:type="dxa"/>
            <w:shd w:val="clear" w:color="auto" w:fill="DEEAF6" w:themeFill="accent1" w:themeFillTint="33"/>
          </w:tcPr>
          <w:p w14:paraId="0B10B546"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Укупно</w:t>
            </w:r>
          </w:p>
          <w:p w14:paraId="1B06FAC0" w14:textId="77777777" w:rsidR="00AF1189" w:rsidRPr="00A75929" w:rsidRDefault="00AF1189" w:rsidP="00F10AC7">
            <w:pPr>
              <w:spacing w:after="120"/>
              <w:rPr>
                <w:rFonts w:cs="Times New Roman"/>
                <w:sz w:val="20"/>
                <w:szCs w:val="20"/>
              </w:rPr>
            </w:pPr>
          </w:p>
        </w:tc>
      </w:tr>
      <w:tr w:rsidR="00AF1189" w:rsidRPr="00CD46D4" w14:paraId="3CCEEFC9" w14:textId="77777777" w:rsidTr="00B9743B">
        <w:trPr>
          <w:jc w:val="center"/>
        </w:trPr>
        <w:tc>
          <w:tcPr>
            <w:tcW w:w="2151" w:type="dxa"/>
            <w:shd w:val="clear" w:color="auto" w:fill="DEEAF6" w:themeFill="accent1" w:themeFillTint="33"/>
          </w:tcPr>
          <w:p w14:paraId="076D9322" w14:textId="77777777" w:rsidR="00AF1189" w:rsidRPr="00A75929" w:rsidRDefault="00AF1189" w:rsidP="00F10AC7">
            <w:pPr>
              <w:spacing w:after="120"/>
              <w:rPr>
                <w:rFonts w:cs="Times New Roman"/>
                <w:sz w:val="20"/>
                <w:szCs w:val="20"/>
              </w:rPr>
            </w:pPr>
            <w:r w:rsidRPr="00A75929">
              <w:rPr>
                <w:rFonts w:cs="Times New Roman"/>
                <w:sz w:val="20"/>
                <w:szCs w:val="20"/>
              </w:rPr>
              <w:t>Делимично потврђено</w:t>
            </w:r>
          </w:p>
        </w:tc>
        <w:tc>
          <w:tcPr>
            <w:tcW w:w="904" w:type="dxa"/>
          </w:tcPr>
          <w:p w14:paraId="11B22D23"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7B7A4A83"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1D8989A4"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40720A68"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1</w:t>
            </w:r>
          </w:p>
        </w:tc>
        <w:tc>
          <w:tcPr>
            <w:tcW w:w="898" w:type="dxa"/>
          </w:tcPr>
          <w:p w14:paraId="7206099A"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6CAB4045"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00CD837E"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673A25F4"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1</w:t>
            </w:r>
          </w:p>
        </w:tc>
      </w:tr>
      <w:tr w:rsidR="00AF1189" w:rsidRPr="00CD46D4" w14:paraId="53917EB0" w14:textId="77777777" w:rsidTr="00B9743B">
        <w:trPr>
          <w:jc w:val="center"/>
        </w:trPr>
        <w:tc>
          <w:tcPr>
            <w:tcW w:w="2151" w:type="dxa"/>
            <w:shd w:val="clear" w:color="auto" w:fill="DEEAF6" w:themeFill="accent1" w:themeFillTint="33"/>
          </w:tcPr>
          <w:p w14:paraId="69D1D7C5" w14:textId="77777777" w:rsidR="00AF1189" w:rsidRPr="00A75929" w:rsidRDefault="00AF1189" w:rsidP="00F10AC7">
            <w:pPr>
              <w:spacing w:after="120"/>
              <w:rPr>
                <w:rFonts w:cs="Times New Roman"/>
                <w:sz w:val="20"/>
                <w:szCs w:val="20"/>
              </w:rPr>
            </w:pPr>
            <w:r w:rsidRPr="00A75929">
              <w:rPr>
                <w:rFonts w:cs="Times New Roman"/>
                <w:sz w:val="20"/>
                <w:szCs w:val="20"/>
              </w:rPr>
              <w:t>Делимично преиначено</w:t>
            </w:r>
          </w:p>
        </w:tc>
        <w:tc>
          <w:tcPr>
            <w:tcW w:w="904" w:type="dxa"/>
          </w:tcPr>
          <w:p w14:paraId="324F9408"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31EECD3A"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3143E723"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150704FB"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5</w:t>
            </w:r>
          </w:p>
        </w:tc>
        <w:tc>
          <w:tcPr>
            <w:tcW w:w="898" w:type="dxa"/>
          </w:tcPr>
          <w:p w14:paraId="4956CDCD"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1</w:t>
            </w:r>
          </w:p>
        </w:tc>
        <w:tc>
          <w:tcPr>
            <w:tcW w:w="898" w:type="dxa"/>
          </w:tcPr>
          <w:p w14:paraId="2222094A"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1</w:t>
            </w:r>
          </w:p>
        </w:tc>
        <w:tc>
          <w:tcPr>
            <w:tcW w:w="890" w:type="dxa"/>
          </w:tcPr>
          <w:p w14:paraId="0ECB313B"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242C53A4"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7</w:t>
            </w:r>
          </w:p>
        </w:tc>
      </w:tr>
      <w:tr w:rsidR="00AF1189" w:rsidRPr="00CD46D4" w14:paraId="079AC7D1" w14:textId="77777777" w:rsidTr="00B9743B">
        <w:trPr>
          <w:jc w:val="center"/>
        </w:trPr>
        <w:tc>
          <w:tcPr>
            <w:tcW w:w="2151" w:type="dxa"/>
            <w:shd w:val="clear" w:color="auto" w:fill="DEEAF6" w:themeFill="accent1" w:themeFillTint="33"/>
          </w:tcPr>
          <w:p w14:paraId="0FB6040D" w14:textId="77777777" w:rsidR="00AF1189" w:rsidRPr="00A75929" w:rsidRDefault="00AF1189" w:rsidP="00F10AC7">
            <w:pPr>
              <w:spacing w:after="120"/>
              <w:rPr>
                <w:rFonts w:cs="Times New Roman"/>
                <w:sz w:val="20"/>
                <w:szCs w:val="20"/>
              </w:rPr>
            </w:pPr>
            <w:r w:rsidRPr="00A75929">
              <w:rPr>
                <w:rFonts w:cs="Times New Roman"/>
                <w:sz w:val="20"/>
                <w:szCs w:val="20"/>
              </w:rPr>
              <w:t>Делимично укинуто</w:t>
            </w:r>
          </w:p>
        </w:tc>
        <w:tc>
          <w:tcPr>
            <w:tcW w:w="904" w:type="dxa"/>
          </w:tcPr>
          <w:p w14:paraId="54C61F98"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4FB6DEE3"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35918E0C"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2C032532"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0FB6C9E8"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726C7B7B"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46CA1259"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512EB321"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0</w:t>
            </w:r>
          </w:p>
        </w:tc>
      </w:tr>
      <w:tr w:rsidR="00AF1189" w:rsidRPr="00CD46D4" w14:paraId="3100C970" w14:textId="77777777" w:rsidTr="00B9743B">
        <w:trPr>
          <w:jc w:val="center"/>
        </w:trPr>
        <w:tc>
          <w:tcPr>
            <w:tcW w:w="2151" w:type="dxa"/>
            <w:shd w:val="clear" w:color="auto" w:fill="DEEAF6" w:themeFill="accent1" w:themeFillTint="33"/>
          </w:tcPr>
          <w:p w14:paraId="57F053B2" w14:textId="77777777" w:rsidR="00AF1189" w:rsidRPr="00A75929" w:rsidRDefault="00AF1189" w:rsidP="00F10AC7">
            <w:pPr>
              <w:spacing w:after="120"/>
              <w:rPr>
                <w:rFonts w:cs="Times New Roman"/>
                <w:sz w:val="20"/>
                <w:szCs w:val="20"/>
              </w:rPr>
            </w:pPr>
            <w:r w:rsidRPr="00A75929">
              <w:rPr>
                <w:rFonts w:cs="Times New Roman"/>
                <w:sz w:val="20"/>
                <w:szCs w:val="20"/>
              </w:rPr>
              <w:t>Одбачено</w:t>
            </w:r>
          </w:p>
        </w:tc>
        <w:tc>
          <w:tcPr>
            <w:tcW w:w="904" w:type="dxa"/>
          </w:tcPr>
          <w:p w14:paraId="39C7CB66"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40D2EBEF"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76B20E88"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1</w:t>
            </w:r>
          </w:p>
        </w:tc>
        <w:tc>
          <w:tcPr>
            <w:tcW w:w="898" w:type="dxa"/>
          </w:tcPr>
          <w:p w14:paraId="27E46806"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00778853"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04B578FA"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40EEB15D"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20171802"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1</w:t>
            </w:r>
          </w:p>
        </w:tc>
      </w:tr>
      <w:tr w:rsidR="00AF1189" w:rsidRPr="00CD46D4" w14:paraId="67CD0B72" w14:textId="77777777" w:rsidTr="00B9743B">
        <w:trPr>
          <w:jc w:val="center"/>
        </w:trPr>
        <w:tc>
          <w:tcPr>
            <w:tcW w:w="2151" w:type="dxa"/>
            <w:shd w:val="clear" w:color="auto" w:fill="DEEAF6" w:themeFill="accent1" w:themeFillTint="33"/>
          </w:tcPr>
          <w:p w14:paraId="063C96D2" w14:textId="77777777" w:rsidR="00AF1189" w:rsidRPr="00A75929" w:rsidRDefault="00AF1189" w:rsidP="00F10AC7">
            <w:pPr>
              <w:spacing w:after="120"/>
              <w:rPr>
                <w:rFonts w:cs="Times New Roman"/>
                <w:sz w:val="20"/>
                <w:szCs w:val="20"/>
              </w:rPr>
            </w:pPr>
            <w:r w:rsidRPr="00A75929">
              <w:rPr>
                <w:rFonts w:cs="Times New Roman"/>
                <w:sz w:val="20"/>
                <w:szCs w:val="20"/>
              </w:rPr>
              <w:t>Одбијено</w:t>
            </w:r>
          </w:p>
        </w:tc>
        <w:tc>
          <w:tcPr>
            <w:tcW w:w="904" w:type="dxa"/>
          </w:tcPr>
          <w:p w14:paraId="5D72B48E"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14858341"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61091C05"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2</w:t>
            </w:r>
          </w:p>
        </w:tc>
        <w:tc>
          <w:tcPr>
            <w:tcW w:w="898" w:type="dxa"/>
          </w:tcPr>
          <w:p w14:paraId="3584C9A1"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4237E8D9"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2</w:t>
            </w:r>
          </w:p>
        </w:tc>
        <w:tc>
          <w:tcPr>
            <w:tcW w:w="898" w:type="dxa"/>
          </w:tcPr>
          <w:p w14:paraId="75ECB1FB"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1474F2A2"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1</w:t>
            </w:r>
          </w:p>
        </w:tc>
        <w:tc>
          <w:tcPr>
            <w:tcW w:w="1047" w:type="dxa"/>
          </w:tcPr>
          <w:p w14:paraId="658CDB7C"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5</w:t>
            </w:r>
          </w:p>
        </w:tc>
      </w:tr>
      <w:tr w:rsidR="00AF1189" w:rsidRPr="00CD46D4" w14:paraId="131ED976" w14:textId="77777777" w:rsidTr="00B9743B">
        <w:trPr>
          <w:jc w:val="center"/>
        </w:trPr>
        <w:tc>
          <w:tcPr>
            <w:tcW w:w="2151" w:type="dxa"/>
            <w:shd w:val="clear" w:color="auto" w:fill="DEEAF6" w:themeFill="accent1" w:themeFillTint="33"/>
          </w:tcPr>
          <w:p w14:paraId="403D07BB" w14:textId="77777777" w:rsidR="00AF1189" w:rsidRPr="00A75929" w:rsidRDefault="00AF1189" w:rsidP="00F10AC7">
            <w:pPr>
              <w:spacing w:after="120"/>
              <w:rPr>
                <w:rFonts w:cs="Times New Roman"/>
                <w:sz w:val="20"/>
                <w:szCs w:val="20"/>
              </w:rPr>
            </w:pPr>
            <w:r w:rsidRPr="00A75929">
              <w:rPr>
                <w:rFonts w:cs="Times New Roman"/>
                <w:sz w:val="20"/>
                <w:szCs w:val="20"/>
              </w:rPr>
              <w:t>Поступак обустављен</w:t>
            </w:r>
          </w:p>
        </w:tc>
        <w:tc>
          <w:tcPr>
            <w:tcW w:w="904" w:type="dxa"/>
          </w:tcPr>
          <w:p w14:paraId="005E5952"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3E953DBC"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7E6E2FCF"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642D109B"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2FE3069E"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33819BFD"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0E4A026B"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484B7D9D"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0</w:t>
            </w:r>
          </w:p>
        </w:tc>
      </w:tr>
      <w:tr w:rsidR="00AF1189" w:rsidRPr="00CD46D4" w14:paraId="449C08FD" w14:textId="77777777" w:rsidTr="00B9743B">
        <w:trPr>
          <w:jc w:val="center"/>
        </w:trPr>
        <w:tc>
          <w:tcPr>
            <w:tcW w:w="2151" w:type="dxa"/>
            <w:shd w:val="clear" w:color="auto" w:fill="DEEAF6" w:themeFill="accent1" w:themeFillTint="33"/>
          </w:tcPr>
          <w:p w14:paraId="21894D26" w14:textId="77777777" w:rsidR="00AF1189" w:rsidRPr="00A75929" w:rsidRDefault="00AF1189" w:rsidP="00F10AC7">
            <w:pPr>
              <w:spacing w:after="120"/>
              <w:rPr>
                <w:rFonts w:cs="Times New Roman"/>
                <w:sz w:val="20"/>
                <w:szCs w:val="20"/>
              </w:rPr>
            </w:pPr>
            <w:r w:rsidRPr="00A75929">
              <w:rPr>
                <w:rFonts w:cs="Times New Roman"/>
                <w:sz w:val="20"/>
                <w:szCs w:val="20"/>
              </w:rPr>
              <w:t xml:space="preserve">Потврђено </w:t>
            </w:r>
          </w:p>
        </w:tc>
        <w:tc>
          <w:tcPr>
            <w:tcW w:w="904" w:type="dxa"/>
          </w:tcPr>
          <w:p w14:paraId="2B617702"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10</w:t>
            </w:r>
          </w:p>
        </w:tc>
        <w:tc>
          <w:tcPr>
            <w:tcW w:w="900" w:type="dxa"/>
          </w:tcPr>
          <w:p w14:paraId="551F5726"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2E5F3B53"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45</w:t>
            </w:r>
          </w:p>
        </w:tc>
        <w:tc>
          <w:tcPr>
            <w:tcW w:w="898" w:type="dxa"/>
          </w:tcPr>
          <w:p w14:paraId="1673B5EC"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10</w:t>
            </w:r>
          </w:p>
        </w:tc>
        <w:tc>
          <w:tcPr>
            <w:tcW w:w="898" w:type="dxa"/>
          </w:tcPr>
          <w:p w14:paraId="7016DF3F"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55</w:t>
            </w:r>
          </w:p>
        </w:tc>
        <w:tc>
          <w:tcPr>
            <w:tcW w:w="898" w:type="dxa"/>
          </w:tcPr>
          <w:p w14:paraId="387F5CCA"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1</w:t>
            </w:r>
          </w:p>
        </w:tc>
        <w:tc>
          <w:tcPr>
            <w:tcW w:w="890" w:type="dxa"/>
          </w:tcPr>
          <w:p w14:paraId="09177040"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633A09EF"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121</w:t>
            </w:r>
          </w:p>
        </w:tc>
      </w:tr>
      <w:tr w:rsidR="00AF1189" w:rsidRPr="00CD46D4" w14:paraId="19D279A4" w14:textId="77777777" w:rsidTr="00B9743B">
        <w:trPr>
          <w:jc w:val="center"/>
        </w:trPr>
        <w:tc>
          <w:tcPr>
            <w:tcW w:w="2151" w:type="dxa"/>
            <w:shd w:val="clear" w:color="auto" w:fill="DEEAF6" w:themeFill="accent1" w:themeFillTint="33"/>
          </w:tcPr>
          <w:p w14:paraId="3111B2B8" w14:textId="77777777" w:rsidR="00AF1189" w:rsidRPr="00A75929" w:rsidRDefault="00AF1189" w:rsidP="00F10AC7">
            <w:pPr>
              <w:spacing w:after="120"/>
              <w:rPr>
                <w:rFonts w:cs="Times New Roman"/>
                <w:sz w:val="20"/>
                <w:szCs w:val="20"/>
              </w:rPr>
            </w:pPr>
            <w:r w:rsidRPr="00A75929">
              <w:rPr>
                <w:rFonts w:cs="Times New Roman"/>
                <w:sz w:val="20"/>
                <w:szCs w:val="20"/>
              </w:rPr>
              <w:t>Преиначено</w:t>
            </w:r>
          </w:p>
        </w:tc>
        <w:tc>
          <w:tcPr>
            <w:tcW w:w="904" w:type="dxa"/>
          </w:tcPr>
          <w:p w14:paraId="0F020A66"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5C559E74"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5BACB935"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5</w:t>
            </w:r>
          </w:p>
        </w:tc>
        <w:tc>
          <w:tcPr>
            <w:tcW w:w="898" w:type="dxa"/>
          </w:tcPr>
          <w:p w14:paraId="0C4A03C5"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3</w:t>
            </w:r>
          </w:p>
        </w:tc>
        <w:tc>
          <w:tcPr>
            <w:tcW w:w="898" w:type="dxa"/>
          </w:tcPr>
          <w:p w14:paraId="0E7F440F"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6</w:t>
            </w:r>
          </w:p>
        </w:tc>
        <w:tc>
          <w:tcPr>
            <w:tcW w:w="898" w:type="dxa"/>
          </w:tcPr>
          <w:p w14:paraId="43629C5C"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39155601"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02914360"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14</w:t>
            </w:r>
          </w:p>
        </w:tc>
      </w:tr>
      <w:tr w:rsidR="00AF1189" w:rsidRPr="00CD46D4" w14:paraId="4492CBB7" w14:textId="77777777" w:rsidTr="00B9743B">
        <w:trPr>
          <w:jc w:val="center"/>
        </w:trPr>
        <w:tc>
          <w:tcPr>
            <w:tcW w:w="2151" w:type="dxa"/>
            <w:shd w:val="clear" w:color="auto" w:fill="DEEAF6" w:themeFill="accent1" w:themeFillTint="33"/>
          </w:tcPr>
          <w:p w14:paraId="3A915229" w14:textId="77777777" w:rsidR="00AF1189" w:rsidRPr="00A75929" w:rsidRDefault="00AF1189" w:rsidP="00F10AC7">
            <w:pPr>
              <w:spacing w:after="120"/>
              <w:rPr>
                <w:rFonts w:cs="Times New Roman"/>
                <w:sz w:val="20"/>
                <w:szCs w:val="20"/>
              </w:rPr>
            </w:pPr>
            <w:r w:rsidRPr="00A75929">
              <w:rPr>
                <w:rFonts w:cs="Times New Roman"/>
                <w:sz w:val="20"/>
                <w:szCs w:val="20"/>
              </w:rPr>
              <w:t>Решено на други начин</w:t>
            </w:r>
          </w:p>
        </w:tc>
        <w:tc>
          <w:tcPr>
            <w:tcW w:w="904" w:type="dxa"/>
          </w:tcPr>
          <w:p w14:paraId="7409C79B"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363B87E9"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24D9C033"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50AF341A"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6C6E9F89"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6AEB3FA8"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5DF5F7A8"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402AC9F6"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0</w:t>
            </w:r>
          </w:p>
        </w:tc>
      </w:tr>
      <w:tr w:rsidR="00AF1189" w:rsidRPr="00CD46D4" w14:paraId="1A75C3D9" w14:textId="77777777" w:rsidTr="00B9743B">
        <w:trPr>
          <w:jc w:val="center"/>
        </w:trPr>
        <w:tc>
          <w:tcPr>
            <w:tcW w:w="2151" w:type="dxa"/>
            <w:shd w:val="clear" w:color="auto" w:fill="DEEAF6" w:themeFill="accent1" w:themeFillTint="33"/>
          </w:tcPr>
          <w:p w14:paraId="4E9E1428" w14:textId="77777777" w:rsidR="00AF1189" w:rsidRPr="00FD6B73" w:rsidRDefault="00AF1189" w:rsidP="00F10AC7">
            <w:pPr>
              <w:spacing w:after="120"/>
              <w:rPr>
                <w:rFonts w:cs="Times New Roman"/>
                <w:sz w:val="20"/>
                <w:szCs w:val="20"/>
                <w:lang w:val="ru-RU"/>
              </w:rPr>
            </w:pPr>
            <w:r w:rsidRPr="00FD6B73">
              <w:rPr>
                <w:rFonts w:cs="Times New Roman"/>
                <w:sz w:val="20"/>
                <w:szCs w:val="20"/>
                <w:lang w:val="ru-RU"/>
              </w:rPr>
              <w:t>Решење којом се одбацује жалба као неблаговремена</w:t>
            </w:r>
          </w:p>
        </w:tc>
        <w:tc>
          <w:tcPr>
            <w:tcW w:w="904" w:type="dxa"/>
          </w:tcPr>
          <w:p w14:paraId="217812DB"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16782A9C"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1B076E5A"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072137B5"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2062D965"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0B3ACBD7"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69AAA9E8"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534508F7"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0</w:t>
            </w:r>
          </w:p>
        </w:tc>
      </w:tr>
      <w:tr w:rsidR="00AF1189" w:rsidRPr="00CD46D4" w14:paraId="288DEA94" w14:textId="77777777" w:rsidTr="00B9743B">
        <w:trPr>
          <w:jc w:val="center"/>
        </w:trPr>
        <w:tc>
          <w:tcPr>
            <w:tcW w:w="2151" w:type="dxa"/>
            <w:shd w:val="clear" w:color="auto" w:fill="DEEAF6" w:themeFill="accent1" w:themeFillTint="33"/>
          </w:tcPr>
          <w:p w14:paraId="32E726B0" w14:textId="77777777" w:rsidR="00AF1189" w:rsidRPr="00A75929" w:rsidRDefault="00AF1189" w:rsidP="00F10AC7">
            <w:pPr>
              <w:spacing w:after="120"/>
              <w:rPr>
                <w:rFonts w:cs="Times New Roman"/>
                <w:sz w:val="20"/>
                <w:szCs w:val="20"/>
              </w:rPr>
            </w:pPr>
            <w:r w:rsidRPr="00A75929">
              <w:rPr>
                <w:rFonts w:cs="Times New Roman"/>
                <w:sz w:val="20"/>
                <w:szCs w:val="20"/>
              </w:rPr>
              <w:t xml:space="preserve">Укинуто </w:t>
            </w:r>
          </w:p>
        </w:tc>
        <w:tc>
          <w:tcPr>
            <w:tcW w:w="904" w:type="dxa"/>
          </w:tcPr>
          <w:p w14:paraId="68C3F305"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7</w:t>
            </w:r>
          </w:p>
        </w:tc>
        <w:tc>
          <w:tcPr>
            <w:tcW w:w="900" w:type="dxa"/>
          </w:tcPr>
          <w:p w14:paraId="404EF2CA"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764" w:type="dxa"/>
          </w:tcPr>
          <w:p w14:paraId="2FC4FF68"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16</w:t>
            </w:r>
          </w:p>
        </w:tc>
        <w:tc>
          <w:tcPr>
            <w:tcW w:w="898" w:type="dxa"/>
          </w:tcPr>
          <w:p w14:paraId="33871252"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4</w:t>
            </w:r>
          </w:p>
        </w:tc>
        <w:tc>
          <w:tcPr>
            <w:tcW w:w="898" w:type="dxa"/>
          </w:tcPr>
          <w:p w14:paraId="5FD6AFF3"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26</w:t>
            </w:r>
          </w:p>
        </w:tc>
        <w:tc>
          <w:tcPr>
            <w:tcW w:w="898" w:type="dxa"/>
          </w:tcPr>
          <w:p w14:paraId="4A28E727"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1E388FE6"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7AF51E07"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53</w:t>
            </w:r>
          </w:p>
        </w:tc>
      </w:tr>
      <w:tr w:rsidR="00AF1189" w:rsidRPr="00CD46D4" w14:paraId="706F019C" w14:textId="77777777" w:rsidTr="00B9743B">
        <w:trPr>
          <w:jc w:val="center"/>
        </w:trPr>
        <w:tc>
          <w:tcPr>
            <w:tcW w:w="2151" w:type="dxa"/>
            <w:shd w:val="clear" w:color="auto" w:fill="DEEAF6" w:themeFill="accent1" w:themeFillTint="33"/>
          </w:tcPr>
          <w:p w14:paraId="676D094E" w14:textId="77777777" w:rsidR="00AF1189" w:rsidRPr="00A75929" w:rsidRDefault="00AF1189" w:rsidP="00F10AC7">
            <w:pPr>
              <w:spacing w:after="120"/>
              <w:rPr>
                <w:rFonts w:cs="Times New Roman"/>
                <w:sz w:val="20"/>
                <w:szCs w:val="20"/>
              </w:rPr>
            </w:pPr>
            <w:r w:rsidRPr="00A75929">
              <w:rPr>
                <w:rFonts w:cs="Times New Roman"/>
                <w:sz w:val="20"/>
                <w:szCs w:val="20"/>
              </w:rPr>
              <w:t>Усвојено</w:t>
            </w:r>
          </w:p>
        </w:tc>
        <w:tc>
          <w:tcPr>
            <w:tcW w:w="904" w:type="dxa"/>
          </w:tcPr>
          <w:p w14:paraId="5D0AD17F"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900" w:type="dxa"/>
          </w:tcPr>
          <w:p w14:paraId="0313DF04"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2</w:t>
            </w:r>
          </w:p>
        </w:tc>
        <w:tc>
          <w:tcPr>
            <w:tcW w:w="764" w:type="dxa"/>
          </w:tcPr>
          <w:p w14:paraId="2C5F42D1"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5D9325C4"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711CB8E0"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8" w:type="dxa"/>
          </w:tcPr>
          <w:p w14:paraId="75ED600F"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890" w:type="dxa"/>
          </w:tcPr>
          <w:p w14:paraId="2E8B14DD" w14:textId="77777777" w:rsidR="00AF1189" w:rsidRPr="00A75929" w:rsidRDefault="00AF1189" w:rsidP="00F10AC7">
            <w:pPr>
              <w:spacing w:after="120"/>
              <w:jc w:val="center"/>
              <w:rPr>
                <w:rFonts w:cs="Times New Roman"/>
                <w:color w:val="000000"/>
                <w:sz w:val="20"/>
                <w:szCs w:val="20"/>
              </w:rPr>
            </w:pPr>
            <w:r w:rsidRPr="00A75929">
              <w:rPr>
                <w:rFonts w:cs="Times New Roman"/>
                <w:color w:val="000000"/>
                <w:sz w:val="20"/>
                <w:szCs w:val="20"/>
              </w:rPr>
              <w:t>0</w:t>
            </w:r>
          </w:p>
        </w:tc>
        <w:tc>
          <w:tcPr>
            <w:tcW w:w="1047" w:type="dxa"/>
          </w:tcPr>
          <w:p w14:paraId="28AC2E0A"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2</w:t>
            </w:r>
          </w:p>
        </w:tc>
      </w:tr>
      <w:tr w:rsidR="00AF1189" w:rsidRPr="00CD46D4" w14:paraId="125028F2" w14:textId="77777777" w:rsidTr="00B9743B">
        <w:trPr>
          <w:jc w:val="center"/>
        </w:trPr>
        <w:tc>
          <w:tcPr>
            <w:tcW w:w="2151" w:type="dxa"/>
            <w:shd w:val="clear" w:color="auto" w:fill="DEEAF6" w:themeFill="accent1" w:themeFillTint="33"/>
          </w:tcPr>
          <w:p w14:paraId="6D9D9E8D" w14:textId="77777777" w:rsidR="00AF1189" w:rsidRPr="00A75929" w:rsidRDefault="00AF1189" w:rsidP="00F10AC7">
            <w:pPr>
              <w:spacing w:after="120"/>
              <w:rPr>
                <w:rFonts w:cs="Times New Roman"/>
                <w:b/>
                <w:bCs/>
                <w:sz w:val="20"/>
                <w:szCs w:val="20"/>
              </w:rPr>
            </w:pPr>
            <w:r w:rsidRPr="00A75929">
              <w:rPr>
                <w:rFonts w:cs="Times New Roman"/>
                <w:b/>
                <w:bCs/>
                <w:sz w:val="20"/>
                <w:szCs w:val="20"/>
              </w:rPr>
              <w:t>Укупно</w:t>
            </w:r>
          </w:p>
        </w:tc>
        <w:tc>
          <w:tcPr>
            <w:tcW w:w="904" w:type="dxa"/>
          </w:tcPr>
          <w:p w14:paraId="52D8822E"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17</w:t>
            </w:r>
          </w:p>
        </w:tc>
        <w:tc>
          <w:tcPr>
            <w:tcW w:w="900" w:type="dxa"/>
          </w:tcPr>
          <w:p w14:paraId="5706FB65"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2</w:t>
            </w:r>
          </w:p>
        </w:tc>
        <w:tc>
          <w:tcPr>
            <w:tcW w:w="764" w:type="dxa"/>
          </w:tcPr>
          <w:p w14:paraId="41E745FB"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69</w:t>
            </w:r>
          </w:p>
        </w:tc>
        <w:tc>
          <w:tcPr>
            <w:tcW w:w="898" w:type="dxa"/>
          </w:tcPr>
          <w:p w14:paraId="6074846D"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23</w:t>
            </w:r>
          </w:p>
        </w:tc>
        <w:tc>
          <w:tcPr>
            <w:tcW w:w="898" w:type="dxa"/>
          </w:tcPr>
          <w:p w14:paraId="7109260E"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90</w:t>
            </w:r>
          </w:p>
        </w:tc>
        <w:tc>
          <w:tcPr>
            <w:tcW w:w="898" w:type="dxa"/>
          </w:tcPr>
          <w:p w14:paraId="0705ECD6"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2</w:t>
            </w:r>
          </w:p>
        </w:tc>
        <w:tc>
          <w:tcPr>
            <w:tcW w:w="890" w:type="dxa"/>
          </w:tcPr>
          <w:p w14:paraId="095B8A10"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1</w:t>
            </w:r>
          </w:p>
        </w:tc>
        <w:tc>
          <w:tcPr>
            <w:tcW w:w="1047" w:type="dxa"/>
          </w:tcPr>
          <w:p w14:paraId="17CC43C2" w14:textId="77777777" w:rsidR="00AF1189" w:rsidRPr="00A75929" w:rsidRDefault="00AF1189" w:rsidP="00F10AC7">
            <w:pPr>
              <w:spacing w:after="120"/>
              <w:jc w:val="center"/>
              <w:rPr>
                <w:rFonts w:cs="Times New Roman"/>
                <w:b/>
                <w:bCs/>
                <w:color w:val="000000"/>
                <w:sz w:val="20"/>
                <w:szCs w:val="20"/>
              </w:rPr>
            </w:pPr>
            <w:r w:rsidRPr="00A75929">
              <w:rPr>
                <w:rFonts w:cs="Times New Roman"/>
                <w:b/>
                <w:bCs/>
                <w:color w:val="000000"/>
                <w:sz w:val="20"/>
                <w:szCs w:val="20"/>
              </w:rPr>
              <w:t>204</w:t>
            </w:r>
          </w:p>
        </w:tc>
      </w:tr>
    </w:tbl>
    <w:p w14:paraId="283F799F" w14:textId="77777777" w:rsidR="00AF1189" w:rsidRPr="00CD46D4" w:rsidRDefault="00AF1189" w:rsidP="00F10AC7">
      <w:pPr>
        <w:spacing w:after="120" w:line="240" w:lineRule="auto"/>
        <w:rPr>
          <w:rFonts w:cs="Times New Roman"/>
        </w:rPr>
      </w:pPr>
    </w:p>
    <w:p w14:paraId="31465C97" w14:textId="77777777" w:rsidR="00901790" w:rsidRDefault="00AF1189" w:rsidP="00F10AC7">
      <w:pPr>
        <w:spacing w:after="120" w:line="240" w:lineRule="auto"/>
        <w:rPr>
          <w:rFonts w:cs="Times New Roman"/>
          <w:lang w:val="ru-RU"/>
        </w:rPr>
      </w:pPr>
      <w:r w:rsidRPr="00FD6B73">
        <w:rPr>
          <w:rFonts w:cs="Times New Roman"/>
          <w:lang w:val="ru-RU"/>
        </w:rPr>
        <w:lastRenderedPageBreak/>
        <w:t>Значајан параметар ефикасности поступака за ратне злочине јесте и проценат укинутих пресуда. Ако се проценат укинутих пресуда посматра у петогодишњем периоду,  са Графика 7 уочава се да тај удео износи око 17%. Поред тога, чак 35% првостепених пресуда је</w:t>
      </w:r>
      <w:r w:rsidR="00741390">
        <w:rPr>
          <w:rFonts w:cs="Times New Roman"/>
          <w:lang w:val="ru-RU"/>
        </w:rPr>
        <w:t xml:space="preserve"> </w:t>
      </w:r>
      <w:r w:rsidRPr="00FD6B73">
        <w:rPr>
          <w:rFonts w:cs="Times New Roman"/>
          <w:lang w:val="ru-RU"/>
        </w:rPr>
        <w:t>преиначено у целости или делимично.</w:t>
      </w:r>
    </w:p>
    <w:p w14:paraId="26299AF6" w14:textId="50D69355" w:rsidR="00AF1189" w:rsidRPr="00FD6B73" w:rsidRDefault="00AF1189" w:rsidP="00F10AC7">
      <w:pPr>
        <w:spacing w:after="120" w:line="240" w:lineRule="auto"/>
        <w:rPr>
          <w:rFonts w:cs="Times New Roman"/>
          <w:lang w:val="ru-RU"/>
        </w:rPr>
      </w:pPr>
      <w:r w:rsidRPr="00FD6B73">
        <w:rPr>
          <w:rFonts w:cs="Times New Roman"/>
          <w:lang w:val="ru-RU"/>
        </w:rPr>
        <w:t xml:space="preserve"> </w:t>
      </w:r>
      <w:r w:rsidR="00901790">
        <w:rPr>
          <w:rFonts w:cs="Times New Roman"/>
          <w:lang w:val="ru-RU"/>
        </w:rPr>
        <w:t xml:space="preserve"> </w:t>
      </w:r>
    </w:p>
    <w:p w14:paraId="3ECE8E9F"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666E2C4E"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7D288088"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236EF9EC"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475E84F1"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0160A0DA"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6FC4897A"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305E3C8D"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77B4F8E1"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36E5E14E" w14:textId="77777777" w:rsidR="00901790" w:rsidRDefault="00901790" w:rsidP="00F10AC7">
      <w:pPr>
        <w:shd w:val="clear" w:color="auto" w:fill="FFFFFF"/>
        <w:spacing w:after="120" w:line="240" w:lineRule="auto"/>
        <w:jc w:val="center"/>
        <w:rPr>
          <w:rFonts w:cs="Times New Roman"/>
          <w:color w:val="000000"/>
          <w:sz w:val="20"/>
          <w:szCs w:val="20"/>
          <w:lang w:val="ru-RU"/>
        </w:rPr>
      </w:pPr>
    </w:p>
    <w:p w14:paraId="252A8CCF" w14:textId="2C57946D" w:rsidR="00AF1189" w:rsidRPr="00FD6B73" w:rsidRDefault="00AF1189" w:rsidP="00F10AC7">
      <w:pPr>
        <w:shd w:val="clear" w:color="auto" w:fill="FFFFFF"/>
        <w:spacing w:after="120" w:line="240" w:lineRule="auto"/>
        <w:jc w:val="center"/>
        <w:rPr>
          <w:rFonts w:cs="Times New Roman"/>
          <w:color w:val="000000"/>
          <w:sz w:val="20"/>
          <w:szCs w:val="20"/>
          <w:lang w:val="ru-RU"/>
        </w:rPr>
      </w:pPr>
      <w:r w:rsidRPr="00FD6B73">
        <w:rPr>
          <w:rFonts w:cs="Times New Roman"/>
          <w:color w:val="000000"/>
          <w:sz w:val="20"/>
          <w:szCs w:val="20"/>
          <w:lang w:val="ru-RU"/>
        </w:rPr>
        <w:t xml:space="preserve">График 7: Структура одлука Апелационог суда по жалби на првостепену пресуду у периоду </w:t>
      </w:r>
      <w:r w:rsidR="00901790">
        <w:rPr>
          <w:rFonts w:cs="Times New Roman"/>
          <w:color w:val="000000"/>
          <w:sz w:val="20"/>
          <w:szCs w:val="20"/>
          <w:lang w:val="ru-RU"/>
        </w:rPr>
        <w:t xml:space="preserve"> од 2016. до 2020. године</w:t>
      </w:r>
      <w:r w:rsidRPr="00FD6B73">
        <w:rPr>
          <w:rFonts w:cs="Times New Roman"/>
          <w:color w:val="000000"/>
          <w:sz w:val="20"/>
          <w:szCs w:val="20"/>
          <w:lang w:val="ru-RU"/>
        </w:rPr>
        <w:t xml:space="preserve"> </w:t>
      </w:r>
    </w:p>
    <w:p w14:paraId="6C68B8F0" w14:textId="77777777" w:rsidR="00AF1189" w:rsidRPr="00CD46D4" w:rsidRDefault="00AF1189" w:rsidP="00F10AC7">
      <w:pPr>
        <w:shd w:val="clear" w:color="auto" w:fill="FFFFFF"/>
        <w:spacing w:after="120" w:line="240" w:lineRule="auto"/>
        <w:jc w:val="center"/>
        <w:rPr>
          <w:rFonts w:cs="Times New Roman"/>
          <w:color w:val="000000"/>
          <w:sz w:val="20"/>
          <w:szCs w:val="20"/>
        </w:rPr>
      </w:pPr>
      <w:r w:rsidRPr="00027601">
        <w:rPr>
          <w:noProof/>
          <w:color w:val="000000"/>
          <w:sz w:val="20"/>
        </w:rPr>
        <w:drawing>
          <wp:inline distT="0" distB="0" distL="0" distR="0" wp14:anchorId="46974ADF" wp14:editId="35203863">
            <wp:extent cx="5201009" cy="2329732"/>
            <wp:effectExtent l="0" t="0" r="0" b="1397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350"/>
      </w:tblGrid>
      <w:tr w:rsidR="00AF1189" w:rsidRPr="00627105" w14:paraId="71C0EA6A" w14:textId="77777777" w:rsidTr="00AF1189">
        <w:tc>
          <w:tcPr>
            <w:tcW w:w="9350" w:type="dxa"/>
            <w:shd w:val="clear" w:color="auto" w:fill="DEEAF6" w:themeFill="accent1" w:themeFillTint="33"/>
          </w:tcPr>
          <w:p w14:paraId="088BC3EE" w14:textId="66E8D3BA" w:rsidR="00AF1189" w:rsidRPr="00FD6B73" w:rsidRDefault="00AF1189" w:rsidP="00F10AC7">
            <w:pPr>
              <w:spacing w:before="240" w:after="120"/>
              <w:rPr>
                <w:rFonts w:cs="Times New Roman"/>
                <w:color w:val="000000"/>
                <w:lang w:val="ru-RU"/>
              </w:rPr>
            </w:pPr>
            <w:r w:rsidRPr="00FD6B73">
              <w:rPr>
                <w:rFonts w:cs="Times New Roman"/>
                <w:color w:val="000000"/>
                <w:lang w:val="ru-RU"/>
              </w:rPr>
              <w:t xml:space="preserve">Усвајањем тужилачке стратегије омогућена је операционализација активности из АП 23 и </w:t>
            </w:r>
            <w:r w:rsidR="00901790">
              <w:rPr>
                <w:rFonts w:cs="Times New Roman"/>
                <w:color w:val="000000"/>
                <w:lang w:val="ru-RU"/>
              </w:rPr>
              <w:t>НСПРЗ,</w:t>
            </w:r>
            <w:r w:rsidRPr="00FD6B73">
              <w:rPr>
                <w:rFonts w:cs="Times New Roman"/>
                <w:color w:val="000000"/>
                <w:lang w:val="ru-RU"/>
              </w:rPr>
              <w:t xml:space="preserve"> али је у предстојећем периоду неопходно обезбедити пуну транспарентност резултата њеног спровођења и унапредити дијалог са заинтересованим странама.</w:t>
            </w:r>
          </w:p>
          <w:p w14:paraId="74E834EF" w14:textId="77777777" w:rsidR="00AF1189" w:rsidRPr="00FD6B73" w:rsidRDefault="00AF1189" w:rsidP="00F10AC7">
            <w:pPr>
              <w:spacing w:before="240" w:after="120"/>
              <w:rPr>
                <w:rFonts w:cs="Times New Roman"/>
                <w:color w:val="000000"/>
                <w:lang w:val="ru-RU"/>
              </w:rPr>
            </w:pPr>
            <w:r w:rsidRPr="00FD6B73">
              <w:rPr>
                <w:rFonts w:cs="Times New Roman"/>
                <w:color w:val="000000"/>
                <w:lang w:val="ru-RU"/>
              </w:rPr>
              <w:t>Окончањем процеса преузимања предмета из јавних тужилаштава опште надлежности, отклоњена је правна неизвесност и створени предуслови за даље поступање по овим предметима.</w:t>
            </w:r>
          </w:p>
          <w:p w14:paraId="0B43ACDD" w14:textId="19DD4415" w:rsidR="00AF1189" w:rsidRPr="00FD6B73" w:rsidRDefault="00AF1189" w:rsidP="00027601">
            <w:pPr>
              <w:rPr>
                <w:lang w:val="ru-RU"/>
              </w:rPr>
            </w:pPr>
            <w:r w:rsidRPr="00FD6B73">
              <w:rPr>
                <w:rFonts w:cs="Times New Roman"/>
                <w:color w:val="000000"/>
                <w:lang w:val="ru-RU"/>
              </w:rPr>
              <w:t xml:space="preserve">Капацитети ТРЗ у претходном периоду су значајно унапређени повећаним бројем заменика тужилаца и тужилачких помоћника, иако ово појачање треба посматрати у контексту паралелног процеса пензионисања старијих заменика и времена неопхподног да новоизабрани заменици тужиоца почну да раде у пуном капацитету у новом </w:t>
            </w:r>
            <w:r w:rsidRPr="00FD6B73">
              <w:rPr>
                <w:rFonts w:cs="Times New Roman"/>
                <w:color w:val="000000"/>
                <w:lang w:val="ru-RU"/>
              </w:rPr>
              <w:lastRenderedPageBreak/>
              <w:t>окружењу</w:t>
            </w:r>
            <w:r w:rsidR="0070172A" w:rsidRPr="00FD6B73">
              <w:rPr>
                <w:rFonts w:cs="Times New Roman"/>
                <w:color w:val="000000"/>
                <w:lang w:val="ru-RU"/>
              </w:rPr>
              <w:t>,</w:t>
            </w:r>
            <w:r w:rsidR="00741390">
              <w:rPr>
                <w:rFonts w:cs="Times New Roman"/>
                <w:color w:val="000000"/>
                <w:lang w:val="ru-RU"/>
              </w:rPr>
              <w:t xml:space="preserve"> </w:t>
            </w:r>
            <w:r w:rsidR="00895065" w:rsidRPr="00FD6B73">
              <w:rPr>
                <w:rFonts w:cs="Times New Roman"/>
                <w:color w:val="000000"/>
                <w:lang w:val="ru-RU"/>
              </w:rPr>
              <w:t>ш</w:t>
            </w:r>
            <w:r w:rsidR="00895065" w:rsidRPr="00FD6B73">
              <w:rPr>
                <w:lang w:val="ru-RU"/>
              </w:rPr>
              <w:t>то подразумева неопходно повећање просторних капацитета и знатно унапређ</w:t>
            </w:r>
            <w:r w:rsidR="0070172A" w:rsidRPr="00FD6B73">
              <w:rPr>
                <w:lang w:val="ru-RU"/>
              </w:rPr>
              <w:t>ење техничке опремљености ТРЗ-а</w:t>
            </w:r>
            <w:r w:rsidR="00895065" w:rsidRPr="00FD6B73">
              <w:rPr>
                <w:lang w:val="ru-RU"/>
              </w:rPr>
              <w:t>.</w:t>
            </w:r>
            <w:r w:rsidRPr="00FD6B73">
              <w:rPr>
                <w:rFonts w:cs="Times New Roman"/>
                <w:color w:val="000000"/>
                <w:lang w:val="ru-RU"/>
              </w:rPr>
              <w:t xml:space="preserve"> Ипак, реално је очекивати да у наредном периоду буде унапређена ефикасност поступања </w:t>
            </w:r>
            <w:r w:rsidR="00901790">
              <w:rPr>
                <w:rFonts w:cs="Times New Roman"/>
                <w:color w:val="000000"/>
                <w:lang w:val="ru-RU"/>
              </w:rPr>
              <w:t>ТРЗ</w:t>
            </w:r>
            <w:r w:rsidRPr="00FD6B73">
              <w:rPr>
                <w:rFonts w:cs="Times New Roman"/>
                <w:color w:val="000000"/>
                <w:lang w:val="ru-RU"/>
              </w:rPr>
              <w:t>. Овоме би требало да помогну и заједнички тимови који су формирани за поједине предмете.</w:t>
            </w:r>
          </w:p>
          <w:p w14:paraId="3E4B4D76" w14:textId="3D5C53A2" w:rsidR="00AF1189" w:rsidRPr="00FD6B73" w:rsidRDefault="00AF1189" w:rsidP="00F10AC7">
            <w:pPr>
              <w:spacing w:before="240" w:after="120"/>
              <w:rPr>
                <w:rFonts w:cs="Times New Roman"/>
                <w:color w:val="000000"/>
                <w:lang w:val="ru-RU"/>
              </w:rPr>
            </w:pPr>
            <w:r w:rsidRPr="00FD6B73">
              <w:rPr>
                <w:rFonts w:cs="Times New Roman"/>
                <w:color w:val="000000"/>
                <w:lang w:val="ru-RU"/>
              </w:rPr>
              <w:t>Неопходно је наставити и са континуираним стручним усавршавањем, како заменика тужилаца, тако и судија које поступају у предметима ратних злочина, нарочито у области одлучивања о имовинскоправном захтеву, чиме би се омогућила примена Смерница које је усвојио Врховни касациони суд</w:t>
            </w:r>
            <w:r w:rsidR="00901790">
              <w:rPr>
                <w:rFonts w:cs="Times New Roman"/>
                <w:color w:val="000000"/>
                <w:lang w:val="ru-RU"/>
              </w:rPr>
              <w:t>,</w:t>
            </w:r>
            <w:r w:rsidRPr="00FD6B73">
              <w:rPr>
                <w:rFonts w:cs="Times New Roman"/>
                <w:color w:val="000000"/>
                <w:lang w:val="ru-RU"/>
              </w:rPr>
              <w:t xml:space="preserve"> али и унапредила тужилачка пракса у погледу прикупљања доказа од значаја за одлучивање о имовинскоправном захтеву у кривичном поступку.</w:t>
            </w:r>
          </w:p>
          <w:p w14:paraId="69E78407" w14:textId="1C7CBC56" w:rsidR="00AF1189" w:rsidRPr="00FD6B73" w:rsidRDefault="00AF1189" w:rsidP="00901790">
            <w:pPr>
              <w:spacing w:after="120"/>
              <w:rPr>
                <w:rFonts w:cs="Times New Roman"/>
                <w:b/>
                <w:lang w:val="ru-RU"/>
              </w:rPr>
            </w:pPr>
            <w:r w:rsidRPr="00FD6B73">
              <w:rPr>
                <w:rFonts w:cs="Times New Roman"/>
                <w:color w:val="000000"/>
                <w:lang w:val="ru-RU"/>
              </w:rPr>
              <w:t xml:space="preserve">Положај, капацитети и инфраструктура </w:t>
            </w:r>
            <w:r w:rsidR="00901790">
              <w:rPr>
                <w:rFonts w:cs="Times New Roman"/>
                <w:color w:val="000000"/>
                <w:lang w:val="ru-RU"/>
              </w:rPr>
              <w:t>СОРЗ</w:t>
            </w:r>
            <w:r w:rsidRPr="00FD6B73">
              <w:rPr>
                <w:rFonts w:cs="Times New Roman"/>
                <w:color w:val="000000"/>
                <w:lang w:val="ru-RU"/>
              </w:rPr>
              <w:t xml:space="preserve">, као и њена сарадња са </w:t>
            </w:r>
            <w:r w:rsidR="00901790">
              <w:rPr>
                <w:rFonts w:cs="Times New Roman"/>
                <w:color w:val="000000"/>
                <w:lang w:val="ru-RU"/>
              </w:rPr>
              <w:t>ТРЗ</w:t>
            </w:r>
            <w:r w:rsidRPr="00FD6B73">
              <w:rPr>
                <w:rFonts w:cs="Times New Roman"/>
                <w:color w:val="000000"/>
                <w:lang w:val="ru-RU"/>
              </w:rPr>
              <w:t>, значајно су унапређени, а за даљи несметан рад, у предстојећем периоду, биће потребна даља улагања у службена возила и модернизацију рачунарске опреме.</w:t>
            </w:r>
          </w:p>
        </w:tc>
      </w:tr>
    </w:tbl>
    <w:p w14:paraId="10EDD79A" w14:textId="7CF645F6" w:rsidR="006074A4" w:rsidRDefault="006074A4" w:rsidP="006074A4">
      <w:pPr>
        <w:pStyle w:val="Heading2"/>
        <w:spacing w:line="240" w:lineRule="auto"/>
        <w:rPr>
          <w:rStyle w:val="Heading1Char"/>
          <w:rFonts w:cs="Times New Roman"/>
          <w:caps w:val="0"/>
          <w:sz w:val="24"/>
          <w:szCs w:val="26"/>
          <w:lang w:val="ru-RU"/>
        </w:rPr>
      </w:pPr>
      <w:bookmarkStart w:id="26" w:name="_Toc69325785"/>
      <w:bookmarkStart w:id="27" w:name="_Toc72932065"/>
    </w:p>
    <w:p w14:paraId="0EE6EFFF" w14:textId="77777777" w:rsidR="00901790" w:rsidRPr="00901790" w:rsidRDefault="00901790" w:rsidP="00901790">
      <w:pPr>
        <w:rPr>
          <w:lang w:val="ru-RU"/>
        </w:rPr>
      </w:pPr>
    </w:p>
    <w:p w14:paraId="0F74E26D" w14:textId="77777777" w:rsidR="00AF1189" w:rsidRPr="00CD46D4" w:rsidRDefault="00AF1189" w:rsidP="00637400">
      <w:pPr>
        <w:pStyle w:val="Heading2"/>
        <w:numPr>
          <w:ilvl w:val="1"/>
          <w:numId w:val="1"/>
        </w:numPr>
        <w:spacing w:line="240" w:lineRule="auto"/>
        <w:rPr>
          <w:rFonts w:cs="Times New Roman"/>
        </w:rPr>
      </w:pPr>
      <w:bookmarkStart w:id="28" w:name="_Toc84580772"/>
      <w:r w:rsidRPr="00CD46D4">
        <w:rPr>
          <w:rStyle w:val="Heading1Char"/>
          <w:rFonts w:cs="Times New Roman"/>
          <w:caps w:val="0"/>
          <w:sz w:val="24"/>
          <w:szCs w:val="26"/>
        </w:rPr>
        <w:t>Заштита сведока и жртава</w:t>
      </w:r>
      <w:bookmarkEnd w:id="26"/>
      <w:bookmarkEnd w:id="27"/>
      <w:bookmarkEnd w:id="28"/>
    </w:p>
    <w:p w14:paraId="121F1AE9" w14:textId="77777777" w:rsidR="00AF1189" w:rsidRPr="00CD46D4" w:rsidRDefault="00AF1189" w:rsidP="00F10AC7">
      <w:pPr>
        <w:spacing w:after="120" w:line="240" w:lineRule="auto"/>
        <w:rPr>
          <w:rFonts w:cs="Times New Roman"/>
          <w:b/>
        </w:rPr>
      </w:pPr>
    </w:p>
    <w:p w14:paraId="4E580FAC" w14:textId="20E324D7"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заштити сведока и жртава ратних злочина у Републици Србији, опредељење </w:t>
      </w:r>
      <w:r w:rsidR="00901790">
        <w:rPr>
          <w:rFonts w:cs="Times New Roman"/>
          <w:lang w:val="ru-RU"/>
        </w:rPr>
        <w:t>НСПРЗ</w:t>
      </w:r>
      <w:r w:rsidRPr="00FD6B73">
        <w:rPr>
          <w:rFonts w:cs="Times New Roman"/>
          <w:lang w:val="ru-RU"/>
        </w:rPr>
        <w:t xml:space="preserve"> било је да тежи усаглашавању са, односно пуној имплементацији принципа садржаних у Резолуцији ГС УН 60/147(2005</w:t>
      </w:r>
      <w:r w:rsidRPr="00CD46D4">
        <w:rPr>
          <w:rStyle w:val="FootnoteReference"/>
          <w:rFonts w:cs="Times New Roman"/>
        </w:rPr>
        <w:footnoteReference w:id="42"/>
      </w:r>
      <w:r w:rsidRPr="00FD6B73">
        <w:rPr>
          <w:rFonts w:cs="Times New Roman"/>
          <w:lang w:val="ru-RU"/>
        </w:rPr>
        <w:t>) и Директиви 2012/29/ЕУ Европског парламента и Савета од 25. октобра 2012. године</w:t>
      </w:r>
      <w:r w:rsidRPr="00CD46D4">
        <w:rPr>
          <w:rStyle w:val="FootnoteReference"/>
          <w:rFonts w:cs="Times New Roman"/>
        </w:rPr>
        <w:footnoteReference w:id="43"/>
      </w:r>
      <w:r w:rsidRPr="00FD6B73">
        <w:rPr>
          <w:rFonts w:cs="Times New Roman"/>
          <w:lang w:val="ru-RU"/>
        </w:rPr>
        <w:t xml:space="preserve"> којом се успостављају минимални стандарди у погледу права, подршке и заштите жртава кривичних дела, а у сврху даљег јачања националног система заштите сведока и жртава. </w:t>
      </w:r>
      <w:r w:rsidR="00901790">
        <w:rPr>
          <w:rFonts w:cs="Times New Roman"/>
          <w:lang w:val="ru-RU"/>
        </w:rPr>
        <w:t>У НСПРЗ</w:t>
      </w:r>
      <w:r w:rsidRPr="00FD6B73">
        <w:rPr>
          <w:rFonts w:cs="Times New Roman"/>
          <w:lang w:val="ru-RU"/>
        </w:rPr>
        <w:t xml:space="preserve"> је акценат стављен на повећање сигурности сведока у систему заштите и повећање поверења у систем заштите, нарочито кроз поверљивост података о заштићеним сведоцима и заштиту сведока од претњи, застрашивања и сваког другог облика психолошког притиска. Исти приоритети препознати су и у Прелазном мерилу број 18 у Преговарачкој позицији за Поглавље 23.</w:t>
      </w:r>
      <w:r w:rsidR="00901790">
        <w:rPr>
          <w:rFonts w:cs="Times New Roman"/>
          <w:lang w:val="ru-RU"/>
        </w:rPr>
        <w:t xml:space="preserve"> </w:t>
      </w:r>
    </w:p>
    <w:p w14:paraId="235E07B6" w14:textId="7F9B79BE" w:rsidR="00AF1189" w:rsidRPr="00FD6B73" w:rsidRDefault="00901790" w:rsidP="00F10AC7">
      <w:pPr>
        <w:spacing w:after="120" w:line="240" w:lineRule="auto"/>
        <w:rPr>
          <w:rFonts w:cs="Times New Roman"/>
          <w:lang w:val="ru-RU"/>
        </w:rPr>
      </w:pPr>
      <w:r>
        <w:rPr>
          <w:rFonts w:cs="Times New Roman"/>
          <w:lang w:val="ru-RU"/>
        </w:rPr>
        <w:t>НСПРЗ</w:t>
      </w:r>
      <w:r w:rsidRPr="00FD6B73">
        <w:rPr>
          <w:rFonts w:cs="Times New Roman"/>
          <w:lang w:val="ru-RU"/>
        </w:rPr>
        <w:t xml:space="preserve"> </w:t>
      </w:r>
      <w:r w:rsidR="00AF1189" w:rsidRPr="00FD6B73">
        <w:rPr>
          <w:rFonts w:cs="Times New Roman"/>
          <w:lang w:val="ru-RU"/>
        </w:rPr>
        <w:t xml:space="preserve">је питањима </w:t>
      </w:r>
      <w:r w:rsidR="00AF1189" w:rsidRPr="00901790">
        <w:rPr>
          <w:rFonts w:cs="Times New Roman"/>
          <w:bCs/>
          <w:lang w:val="ru-RU"/>
        </w:rPr>
        <w:t>ванпроцесне заштите оштећених и сведока</w:t>
      </w:r>
      <w:r w:rsidR="00AF1189" w:rsidRPr="00FD6B73">
        <w:rPr>
          <w:rFonts w:cs="Times New Roman"/>
          <w:b/>
          <w:bCs/>
          <w:lang w:val="ru-RU"/>
        </w:rPr>
        <w:t xml:space="preserve"> </w:t>
      </w:r>
      <w:r w:rsidR="00AF1189" w:rsidRPr="00FD6B73">
        <w:rPr>
          <w:rFonts w:cs="Times New Roman"/>
          <w:lang w:val="ru-RU"/>
        </w:rPr>
        <w:t>приступила из угла унапређења нормативног оквира, као и из угла јачања институционалних капацитета али и унапређења праксе.</w:t>
      </w:r>
    </w:p>
    <w:p w14:paraId="695A9CDE" w14:textId="6A318F79"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првом аспекту, </w:t>
      </w:r>
      <w:r w:rsidR="00901790">
        <w:rPr>
          <w:rFonts w:cs="Times New Roman"/>
          <w:lang w:val="ru-RU"/>
        </w:rPr>
        <w:t xml:space="preserve">у </w:t>
      </w:r>
      <w:r w:rsidR="00B9743B" w:rsidRPr="00FD6B73">
        <w:rPr>
          <w:rFonts w:eastAsiaTheme="majorEastAsia" w:cs="Times New Roman"/>
          <w:lang w:val="ru-RU"/>
        </w:rPr>
        <w:t>НСПРЗ</w:t>
      </w:r>
      <w:r w:rsidRPr="00FD6B73">
        <w:rPr>
          <w:rFonts w:cs="Times New Roman"/>
          <w:lang w:val="ru-RU"/>
        </w:rPr>
        <w:t xml:space="preserve"> је било предвиђено да Секторска радна група Министарства правде, током 2016. године, изради анализу судске праксе о примени члана 102. Законика о кривичном поступку, као и анализу одредаба и резултата досадашњег спровођења Закона о програму заштите учесника у кривичном поступку и формулише закључке и препоруке о потребама евентуалних измена овог закона или пратећих </w:t>
      </w:r>
      <w:r w:rsidRPr="00FD6B73">
        <w:rPr>
          <w:rFonts w:cs="Times New Roman"/>
          <w:lang w:val="ru-RU"/>
        </w:rPr>
        <w:lastRenderedPageBreak/>
        <w:t>подзаконских аката у циљу унапређења система заштите, а у циљу утврђивања потреба за изменом закона у правцу боље заштите оштећених и сведока.</w:t>
      </w:r>
    </w:p>
    <w:p w14:paraId="5440E2FD" w14:textId="20EE3884" w:rsidR="00AF1189" w:rsidRPr="00FD6B73" w:rsidRDefault="00AF1189" w:rsidP="00F10AC7">
      <w:pPr>
        <w:spacing w:after="120" w:line="240" w:lineRule="auto"/>
        <w:rPr>
          <w:rFonts w:cs="Times New Roman"/>
          <w:b/>
          <w:lang w:val="ru-RU"/>
        </w:rPr>
      </w:pPr>
      <w:r w:rsidRPr="00FD6B73">
        <w:rPr>
          <w:rFonts w:cs="Times New Roman"/>
          <w:lang w:val="ru-RU"/>
        </w:rPr>
        <w:t xml:space="preserve">Препознајући значај и улогу Јединице за заштиту </w:t>
      </w:r>
      <w:r w:rsidR="005B3795">
        <w:rPr>
          <w:rFonts w:cs="Times New Roman"/>
          <w:lang w:val="ru-RU"/>
        </w:rPr>
        <w:t xml:space="preserve">сведока </w:t>
      </w:r>
      <w:r w:rsidRPr="00FD6B73">
        <w:rPr>
          <w:rFonts w:cs="Times New Roman"/>
          <w:lang w:val="ru-RU"/>
        </w:rPr>
        <w:t xml:space="preserve">у овом процесу, запослени у </w:t>
      </w:r>
      <w:r w:rsidR="005B3795">
        <w:rPr>
          <w:rFonts w:cs="Times New Roman"/>
          <w:lang w:val="ru-RU"/>
        </w:rPr>
        <w:t>тој јединици</w:t>
      </w:r>
      <w:r w:rsidRPr="00FD6B73">
        <w:rPr>
          <w:rFonts w:cs="Times New Roman"/>
          <w:lang w:val="ru-RU"/>
        </w:rPr>
        <w:t xml:space="preserve"> су предузели низ корака усмерених на унапређење нормативног оквира у предметној области. Од усвајања </w:t>
      </w:r>
      <w:r w:rsidR="005B3795">
        <w:rPr>
          <w:rFonts w:cs="Times New Roman"/>
          <w:lang w:val="ru-RU"/>
        </w:rPr>
        <w:t>НСПРЗ</w:t>
      </w:r>
      <w:r w:rsidRPr="00FD6B73">
        <w:rPr>
          <w:rFonts w:cs="Times New Roman"/>
          <w:lang w:val="ru-RU"/>
        </w:rPr>
        <w:t xml:space="preserve">, Јединица за заштиту </w:t>
      </w:r>
      <w:r w:rsidR="005B3795">
        <w:rPr>
          <w:rFonts w:cs="Times New Roman"/>
          <w:lang w:val="ru-RU"/>
        </w:rPr>
        <w:t xml:space="preserve">сведока </w:t>
      </w:r>
      <w:r w:rsidRPr="00FD6B73">
        <w:rPr>
          <w:rFonts w:cs="Times New Roman"/>
          <w:lang w:val="ru-RU"/>
        </w:rPr>
        <w:t>је поднела:</w:t>
      </w:r>
      <w:r w:rsidR="005B3795">
        <w:rPr>
          <w:rFonts w:cs="Times New Roman"/>
          <w:lang w:val="ru-RU"/>
        </w:rPr>
        <w:t xml:space="preserve"> </w:t>
      </w:r>
    </w:p>
    <w:p w14:paraId="5850E4CB" w14:textId="77777777" w:rsidR="00AF1189" w:rsidRPr="00FD6B73" w:rsidRDefault="00AF1189" w:rsidP="00F10AC7">
      <w:pPr>
        <w:numPr>
          <w:ilvl w:val="0"/>
          <w:numId w:val="25"/>
        </w:numPr>
        <w:spacing w:after="120" w:line="240" w:lineRule="auto"/>
        <w:rPr>
          <w:rFonts w:cs="Times New Roman"/>
          <w:lang w:val="ru-RU"/>
        </w:rPr>
      </w:pPr>
      <w:r w:rsidRPr="00FD6B73">
        <w:rPr>
          <w:rFonts w:cs="Times New Roman"/>
          <w:lang w:val="ru-RU"/>
        </w:rPr>
        <w:t>иницијативу за измену и допуну Закона о Програму заштите учесника у кривичном поступку (овлашћени предлагач је Министарство правде);</w:t>
      </w:r>
    </w:p>
    <w:p w14:paraId="32661444" w14:textId="6071649D" w:rsidR="00AF1189" w:rsidRPr="00FD6B73" w:rsidRDefault="00AF1189" w:rsidP="00F10AC7">
      <w:pPr>
        <w:numPr>
          <w:ilvl w:val="0"/>
          <w:numId w:val="25"/>
        </w:numPr>
        <w:spacing w:after="120" w:line="240" w:lineRule="auto"/>
        <w:rPr>
          <w:rFonts w:cs="Times New Roman"/>
          <w:lang w:val="ru-RU"/>
        </w:rPr>
      </w:pPr>
      <w:r w:rsidRPr="00FD6B73">
        <w:rPr>
          <w:rFonts w:cs="Times New Roman"/>
          <w:lang w:val="ru-RU"/>
        </w:rPr>
        <w:t>предлоге нових подзаконских аката: Упутства о начину спровођења Програма заштите учесника у кривичном поступку и Упутства о начину коришћења новчаних средстава у спровођењу Програма заштите учесника у кривичном поступку и обављању других послова Јединице за заштиту</w:t>
      </w:r>
      <w:r w:rsidR="005B3795">
        <w:rPr>
          <w:rFonts w:cs="Times New Roman"/>
          <w:lang w:val="ru-RU"/>
        </w:rPr>
        <w:t xml:space="preserve"> сведока</w:t>
      </w:r>
      <w:r w:rsidRPr="00FD6B73">
        <w:rPr>
          <w:rFonts w:cs="Times New Roman"/>
          <w:lang w:val="ru-RU"/>
        </w:rPr>
        <w:t>;</w:t>
      </w:r>
    </w:p>
    <w:p w14:paraId="11244A59" w14:textId="77777777" w:rsidR="00AF1189" w:rsidRPr="00CD46D4" w:rsidRDefault="00AF1189" w:rsidP="00F10AC7">
      <w:pPr>
        <w:numPr>
          <w:ilvl w:val="0"/>
          <w:numId w:val="25"/>
        </w:numPr>
        <w:spacing w:after="120" w:line="240" w:lineRule="auto"/>
        <w:rPr>
          <w:rFonts w:cs="Times New Roman"/>
        </w:rPr>
      </w:pPr>
      <w:r w:rsidRPr="00FD6B73">
        <w:rPr>
          <w:rFonts w:cs="Times New Roman"/>
          <w:lang w:val="ru-RU"/>
        </w:rPr>
        <w:t xml:space="preserve">иницијативу за образовање Радног тела које би укључило представнике више надлежних институција које би припремиле предлоге за доношење подзаконских аката којима би се уредила процедура издавања исправа и докумената у вези са поступком примене мере заштите Промена идентитета, у смислу члана 45. </w:t>
      </w:r>
      <w:r w:rsidRPr="00CD46D4">
        <w:rPr>
          <w:rFonts w:cs="Times New Roman"/>
        </w:rPr>
        <w:t>Закона о Програму заштите учесника у кривичном поступку.</w:t>
      </w:r>
    </w:p>
    <w:p w14:paraId="38450369" w14:textId="41F3E8BE" w:rsidR="00AF1189" w:rsidRPr="00FD6B73" w:rsidRDefault="00AF1189" w:rsidP="00F10AC7">
      <w:pPr>
        <w:spacing w:after="120" w:line="240" w:lineRule="auto"/>
        <w:rPr>
          <w:rFonts w:cs="Times New Roman"/>
          <w:lang w:val="ru-RU"/>
        </w:rPr>
      </w:pPr>
      <w:r w:rsidRPr="00FD6B73">
        <w:rPr>
          <w:rFonts w:cs="Times New Roman"/>
          <w:lang w:val="ru-RU"/>
        </w:rPr>
        <w:t xml:space="preserve">Приликом сачињавања иницијативе за измену и допуну закона и подзаконских аката, Јединица се руководила искуством из појединачних предмета </w:t>
      </w:r>
      <w:r w:rsidR="005B3795">
        <w:rPr>
          <w:rFonts w:cs="Times New Roman"/>
          <w:lang w:val="ru-RU"/>
        </w:rPr>
        <w:t>п</w:t>
      </w:r>
      <w:r w:rsidRPr="00FD6B73">
        <w:rPr>
          <w:rFonts w:cs="Times New Roman"/>
          <w:lang w:val="ru-RU"/>
        </w:rPr>
        <w:t>рограма заштите</w:t>
      </w:r>
      <w:r w:rsidR="005B3795">
        <w:rPr>
          <w:rFonts w:cs="Times New Roman"/>
          <w:lang w:val="ru-RU"/>
        </w:rPr>
        <w:t xml:space="preserve"> учесника у кривичном поступку</w:t>
      </w:r>
      <w:r w:rsidRPr="00FD6B73">
        <w:rPr>
          <w:rFonts w:cs="Times New Roman"/>
          <w:lang w:val="ru-RU"/>
        </w:rPr>
        <w:t>; проблемима у примени појединих, прописаних мера заштите; односом других државних органа и организација према Јединици</w:t>
      </w:r>
      <w:r w:rsidR="005B3795">
        <w:rPr>
          <w:rFonts w:cs="Times New Roman"/>
          <w:lang w:val="ru-RU"/>
        </w:rPr>
        <w:t xml:space="preserve"> за заштиту сведока</w:t>
      </w:r>
      <w:r w:rsidRPr="00FD6B73">
        <w:rPr>
          <w:rFonts w:cs="Times New Roman"/>
          <w:lang w:val="ru-RU"/>
        </w:rPr>
        <w:t xml:space="preserve"> и </w:t>
      </w:r>
      <w:r w:rsidR="005B3795">
        <w:rPr>
          <w:rFonts w:cs="Times New Roman"/>
          <w:lang w:val="ru-RU"/>
        </w:rPr>
        <w:t>п</w:t>
      </w:r>
      <w:r w:rsidRPr="00FD6B73">
        <w:rPr>
          <w:rFonts w:cs="Times New Roman"/>
          <w:lang w:val="ru-RU"/>
        </w:rPr>
        <w:t>рограму заштите</w:t>
      </w:r>
      <w:r w:rsidR="005B3795">
        <w:rPr>
          <w:rFonts w:cs="Times New Roman"/>
          <w:lang w:val="ru-RU"/>
        </w:rPr>
        <w:t xml:space="preserve"> учесника у кривичном поступку</w:t>
      </w:r>
      <w:r w:rsidRPr="00FD6B73">
        <w:rPr>
          <w:rFonts w:cs="Times New Roman"/>
          <w:lang w:val="ru-RU"/>
        </w:rPr>
        <w:t>; као и правним решењима садржаним у законодавствима појединих земаља из окружења. Међутим, ове нормативне активности нису реализоване.</w:t>
      </w:r>
      <w:r w:rsidR="005B3795">
        <w:rPr>
          <w:rFonts w:cs="Times New Roman"/>
          <w:lang w:val="ru-RU"/>
        </w:rPr>
        <w:t xml:space="preserve"> </w:t>
      </w:r>
    </w:p>
    <w:p w14:paraId="4AA0AD22" w14:textId="2EB296AC" w:rsidR="00AF1189" w:rsidRPr="00FD6B73" w:rsidRDefault="00AF1189" w:rsidP="00F10AC7">
      <w:pPr>
        <w:spacing w:after="120" w:line="240" w:lineRule="auto"/>
        <w:rPr>
          <w:rFonts w:cs="Times New Roman"/>
          <w:lang w:val="ru-RU"/>
        </w:rPr>
      </w:pPr>
      <w:r w:rsidRPr="00FD6B73">
        <w:rPr>
          <w:rFonts w:cs="Times New Roman"/>
          <w:lang w:val="ru-RU"/>
        </w:rPr>
        <w:t>Поред наведеног, у циљу унапређења нормативног оквира, независно од измене и допуне закона и подзаконских аката, Јединица за заштиту</w:t>
      </w:r>
      <w:r w:rsidR="005B3795">
        <w:rPr>
          <w:rFonts w:cs="Times New Roman"/>
          <w:lang w:val="ru-RU"/>
        </w:rPr>
        <w:t xml:space="preserve"> сведока</w:t>
      </w:r>
      <w:r w:rsidRPr="00FD6B73">
        <w:rPr>
          <w:rFonts w:cs="Times New Roman"/>
          <w:lang w:val="ru-RU"/>
        </w:rPr>
        <w:t xml:space="preserve"> је, у складу са Уредбом о специјалној и посебним јединицама полиције, донела три оперативне процедуре:</w:t>
      </w:r>
    </w:p>
    <w:p w14:paraId="111ED0F7" w14:textId="75BA9400" w:rsidR="00AF1189" w:rsidRPr="00FD6B73" w:rsidRDefault="00AF1189" w:rsidP="00F10AC7">
      <w:pPr>
        <w:numPr>
          <w:ilvl w:val="0"/>
          <w:numId w:val="26"/>
        </w:numPr>
        <w:spacing w:after="120" w:line="240" w:lineRule="auto"/>
        <w:rPr>
          <w:rFonts w:cs="Times New Roman"/>
          <w:lang w:val="ru-RU"/>
        </w:rPr>
      </w:pPr>
      <w:r w:rsidRPr="00FD6B73">
        <w:rPr>
          <w:rFonts w:cs="Times New Roman"/>
          <w:lang w:val="ru-RU"/>
        </w:rPr>
        <w:t xml:space="preserve">Процедуру поступања полицијских службеника Јединице за заштиту у примени </w:t>
      </w:r>
      <w:r w:rsidR="005B3795">
        <w:rPr>
          <w:rFonts w:cs="Times New Roman"/>
          <w:lang w:val="ru-RU"/>
        </w:rPr>
        <w:t>х</w:t>
      </w:r>
      <w:r w:rsidRPr="00FD6B73">
        <w:rPr>
          <w:rFonts w:cs="Times New Roman"/>
          <w:lang w:val="ru-RU"/>
        </w:rPr>
        <w:t xml:space="preserve">итних мера и спровођењу </w:t>
      </w:r>
      <w:r w:rsidR="007A1B56">
        <w:rPr>
          <w:rFonts w:cs="Times New Roman"/>
          <w:lang w:val="ru-RU"/>
        </w:rPr>
        <w:t>п</w:t>
      </w:r>
      <w:r w:rsidRPr="00FD6B73">
        <w:rPr>
          <w:rFonts w:cs="Times New Roman"/>
          <w:lang w:val="ru-RU"/>
        </w:rPr>
        <w:t>рограма заштите</w:t>
      </w:r>
      <w:r w:rsidR="005B3795">
        <w:rPr>
          <w:rFonts w:cs="Times New Roman"/>
          <w:lang w:val="ru-RU"/>
        </w:rPr>
        <w:t xml:space="preserve"> учесника у криивчном поступку</w:t>
      </w:r>
      <w:r w:rsidRPr="00FD6B73">
        <w:rPr>
          <w:rFonts w:cs="Times New Roman"/>
          <w:lang w:val="ru-RU"/>
        </w:rPr>
        <w:t>;</w:t>
      </w:r>
    </w:p>
    <w:p w14:paraId="66433E83" w14:textId="427240F7" w:rsidR="00AF1189" w:rsidRPr="00FD6B73" w:rsidRDefault="00AF1189" w:rsidP="00F10AC7">
      <w:pPr>
        <w:numPr>
          <w:ilvl w:val="0"/>
          <w:numId w:val="26"/>
        </w:numPr>
        <w:spacing w:after="120" w:line="240" w:lineRule="auto"/>
        <w:rPr>
          <w:rFonts w:cs="Times New Roman"/>
          <w:lang w:val="ru-RU"/>
        </w:rPr>
      </w:pPr>
      <w:r w:rsidRPr="00FD6B73">
        <w:rPr>
          <w:rFonts w:cs="Times New Roman"/>
          <w:lang w:val="ru-RU"/>
        </w:rPr>
        <w:t xml:space="preserve">Процедуру поступања полицијских службеника Јединице за заштиту </w:t>
      </w:r>
      <w:r w:rsidR="005B3795">
        <w:rPr>
          <w:rFonts w:cs="Times New Roman"/>
          <w:lang w:val="ru-RU"/>
        </w:rPr>
        <w:t xml:space="preserve">сведока </w:t>
      </w:r>
      <w:r w:rsidRPr="00FD6B73">
        <w:rPr>
          <w:rFonts w:cs="Times New Roman"/>
          <w:lang w:val="ru-RU"/>
        </w:rPr>
        <w:t>приликом примене мере физичке заштите;</w:t>
      </w:r>
    </w:p>
    <w:p w14:paraId="3CC21CEE" w14:textId="77777777" w:rsidR="00AF1189" w:rsidRPr="00FD6B73" w:rsidRDefault="00AF1189" w:rsidP="00F10AC7">
      <w:pPr>
        <w:numPr>
          <w:ilvl w:val="0"/>
          <w:numId w:val="26"/>
        </w:numPr>
        <w:spacing w:after="120" w:line="240" w:lineRule="auto"/>
        <w:rPr>
          <w:rFonts w:cs="Times New Roman"/>
          <w:lang w:val="ru-RU"/>
        </w:rPr>
      </w:pPr>
      <w:r w:rsidRPr="00FD6B73">
        <w:rPr>
          <w:rFonts w:cs="Times New Roman"/>
          <w:lang w:val="ru-RU"/>
        </w:rPr>
        <w:t xml:space="preserve">Процедуру израде и коришћења акта о процени опасности.        </w:t>
      </w:r>
    </w:p>
    <w:p w14:paraId="7DDC9B2B" w14:textId="7A4DF5A5"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w:t>
      </w:r>
      <w:r w:rsidRPr="005B3795">
        <w:rPr>
          <w:rFonts w:cs="Times New Roman"/>
          <w:lang w:val="ru-RU"/>
        </w:rPr>
        <w:t xml:space="preserve">о </w:t>
      </w:r>
      <w:r w:rsidRPr="005B3795">
        <w:rPr>
          <w:rFonts w:cs="Times New Roman"/>
          <w:bCs/>
          <w:lang w:val="ru-RU"/>
        </w:rPr>
        <w:t>јачању институционалних капацитета за заштиту сведока у поступцима за ратне злочине</w:t>
      </w:r>
      <w:r w:rsidRPr="00FD6B73">
        <w:rPr>
          <w:rFonts w:cs="Times New Roman"/>
          <w:lang w:val="ru-RU"/>
        </w:rPr>
        <w:t xml:space="preserve">, </w:t>
      </w:r>
      <w:r w:rsidR="005B3795">
        <w:rPr>
          <w:rFonts w:cs="Times New Roman"/>
          <w:lang w:val="ru-RU"/>
        </w:rPr>
        <w:t>НСПРЗ</w:t>
      </w:r>
      <w:r w:rsidR="005B3795" w:rsidRPr="00FD6B73">
        <w:rPr>
          <w:rFonts w:cs="Times New Roman"/>
          <w:lang w:val="ru-RU"/>
        </w:rPr>
        <w:t xml:space="preserve"> </w:t>
      </w:r>
      <w:r w:rsidRPr="00FD6B73">
        <w:rPr>
          <w:rFonts w:cs="Times New Roman"/>
          <w:lang w:val="ru-RU"/>
        </w:rPr>
        <w:t>је предвиђала двофазно деловање, при чему</w:t>
      </w:r>
      <w:r w:rsidR="0070172A" w:rsidRPr="00FD6B73">
        <w:rPr>
          <w:rFonts w:cs="Times New Roman"/>
          <w:lang w:val="ru-RU"/>
        </w:rPr>
        <w:t xml:space="preserve"> је</w:t>
      </w:r>
      <w:r w:rsidRPr="00FD6B73">
        <w:rPr>
          <w:rFonts w:cs="Times New Roman"/>
          <w:lang w:val="ru-RU"/>
        </w:rPr>
        <w:t xml:space="preserve"> у првој фази било предвиђено спровођење анализе, док је у другој требало спровести препоруке дефинисане анализом.</w:t>
      </w:r>
    </w:p>
    <w:p w14:paraId="1339B01E" w14:textId="11EE41A3" w:rsidR="00AF1189" w:rsidRPr="00FD6B73" w:rsidRDefault="00AF1189" w:rsidP="00F10AC7">
      <w:pPr>
        <w:pStyle w:val="Normal1"/>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 xml:space="preserve">Комисија за спровођење </w:t>
      </w:r>
      <w:r w:rsidR="005B3795">
        <w:rPr>
          <w:rFonts w:ascii="Times New Roman" w:hAnsi="Times New Roman" w:cs="Times New Roman"/>
          <w:sz w:val="24"/>
          <w:szCs w:val="24"/>
          <w:lang w:val="ru-RU"/>
        </w:rPr>
        <w:t>п</w:t>
      </w:r>
      <w:r w:rsidRPr="00FD6B73">
        <w:rPr>
          <w:rFonts w:ascii="Times New Roman" w:hAnsi="Times New Roman" w:cs="Times New Roman"/>
          <w:sz w:val="24"/>
          <w:szCs w:val="24"/>
          <w:lang w:val="ru-RU"/>
        </w:rPr>
        <w:t>рограма заштите</w:t>
      </w:r>
      <w:r w:rsidR="005B3795">
        <w:rPr>
          <w:rFonts w:ascii="Times New Roman" w:hAnsi="Times New Roman" w:cs="Times New Roman"/>
          <w:sz w:val="24"/>
          <w:szCs w:val="24"/>
          <w:lang w:val="ru-RU"/>
        </w:rPr>
        <w:t xml:space="preserve"> учесника у кривичном поступку</w:t>
      </w:r>
      <w:r w:rsidRPr="00FD6B73">
        <w:rPr>
          <w:rFonts w:ascii="Times New Roman" w:hAnsi="Times New Roman" w:cs="Times New Roman"/>
          <w:sz w:val="24"/>
          <w:szCs w:val="24"/>
          <w:lang w:val="ru-RU"/>
        </w:rPr>
        <w:t xml:space="preserve"> је, у фебруару 2016. године, завршила анализу положаја и потреба Јединице за заштиту </w:t>
      </w:r>
      <w:r w:rsidR="005B3795">
        <w:rPr>
          <w:rFonts w:ascii="Times New Roman" w:hAnsi="Times New Roman" w:cs="Times New Roman"/>
          <w:sz w:val="24"/>
          <w:szCs w:val="24"/>
          <w:lang w:val="ru-RU"/>
        </w:rPr>
        <w:t xml:space="preserve">сведока </w:t>
      </w:r>
      <w:r w:rsidRPr="00FD6B73">
        <w:rPr>
          <w:rFonts w:ascii="Times New Roman" w:hAnsi="Times New Roman" w:cs="Times New Roman"/>
          <w:sz w:val="24"/>
          <w:szCs w:val="24"/>
          <w:lang w:val="ru-RU"/>
        </w:rPr>
        <w:t xml:space="preserve">којом су обухваћени: процес ангажовања запослених; методологија рада Јединице </w:t>
      </w:r>
      <w:r w:rsidR="005B3795">
        <w:rPr>
          <w:rFonts w:ascii="Times New Roman" w:hAnsi="Times New Roman" w:cs="Times New Roman"/>
          <w:sz w:val="24"/>
          <w:szCs w:val="24"/>
          <w:lang w:val="ru-RU"/>
        </w:rPr>
        <w:t xml:space="preserve">за заштиту сведока </w:t>
      </w:r>
      <w:r w:rsidRPr="00FD6B73">
        <w:rPr>
          <w:rFonts w:ascii="Times New Roman" w:hAnsi="Times New Roman" w:cs="Times New Roman"/>
          <w:sz w:val="24"/>
          <w:szCs w:val="24"/>
          <w:lang w:val="ru-RU"/>
        </w:rPr>
        <w:t xml:space="preserve">и њени технички капацитети, као и утврђивање довољног броја запослених и распоређивање на рад у ову </w:t>
      </w:r>
      <w:r w:rsidR="005B3795">
        <w:rPr>
          <w:rFonts w:ascii="Times New Roman" w:hAnsi="Times New Roman" w:cs="Times New Roman"/>
          <w:sz w:val="24"/>
          <w:szCs w:val="24"/>
          <w:lang w:val="ru-RU"/>
        </w:rPr>
        <w:t>ј</w:t>
      </w:r>
      <w:r w:rsidRPr="00FD6B73">
        <w:rPr>
          <w:rFonts w:ascii="Times New Roman" w:hAnsi="Times New Roman" w:cs="Times New Roman"/>
          <w:sz w:val="24"/>
          <w:szCs w:val="24"/>
          <w:lang w:val="ru-RU"/>
        </w:rPr>
        <w:t>единицу компетентних и високо мотивисаних стручњака, укључујући психолога, као и другог особља.</w:t>
      </w:r>
    </w:p>
    <w:p w14:paraId="27262D2A" w14:textId="133621CF" w:rsidR="00AF1189" w:rsidRPr="00FD6B73" w:rsidRDefault="00AF1189" w:rsidP="00F10AC7">
      <w:pPr>
        <w:pStyle w:val="Normal1"/>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lastRenderedPageBreak/>
        <w:t xml:space="preserve">Анализом су идентификовани одређени недостаци и проблеми у раду Јединице за заштиту </w:t>
      </w:r>
      <w:r w:rsidR="005B3795">
        <w:rPr>
          <w:rFonts w:ascii="Times New Roman" w:hAnsi="Times New Roman" w:cs="Times New Roman"/>
          <w:sz w:val="24"/>
          <w:szCs w:val="24"/>
          <w:lang w:val="ru-RU"/>
        </w:rPr>
        <w:t>сведока</w:t>
      </w:r>
      <w:r w:rsidR="00127D8D">
        <w:rPr>
          <w:rFonts w:ascii="Times New Roman" w:hAnsi="Times New Roman" w:cs="Times New Roman"/>
          <w:sz w:val="24"/>
          <w:szCs w:val="24"/>
          <w:lang w:val="ru-RU"/>
        </w:rPr>
        <w:t xml:space="preserve"> и да</w:t>
      </w:r>
      <w:r w:rsidRPr="00FD6B73">
        <w:rPr>
          <w:rFonts w:ascii="Times New Roman" w:hAnsi="Times New Roman" w:cs="Times New Roman"/>
          <w:sz w:val="24"/>
          <w:szCs w:val="24"/>
          <w:lang w:val="ru-RU"/>
        </w:rPr>
        <w:t xml:space="preserve">те су препоруке за њихово отклањање, унапређење рада и поступања ове организационе јединице. Већина тих препорука била је садржана и у предложеним активностима Акционог плана за </w:t>
      </w:r>
      <w:r w:rsidR="005B3795">
        <w:rPr>
          <w:rFonts w:ascii="Times New Roman" w:hAnsi="Times New Roman" w:cs="Times New Roman"/>
          <w:sz w:val="24"/>
          <w:szCs w:val="24"/>
          <w:lang w:val="ru-RU"/>
        </w:rPr>
        <w:t>П</w:t>
      </w:r>
      <w:r w:rsidRPr="00FD6B73">
        <w:rPr>
          <w:rFonts w:ascii="Times New Roman" w:hAnsi="Times New Roman" w:cs="Times New Roman"/>
          <w:sz w:val="24"/>
          <w:szCs w:val="24"/>
          <w:lang w:val="ru-RU"/>
        </w:rPr>
        <w:t>оглавља 23 и 24.</w:t>
      </w:r>
    </w:p>
    <w:p w14:paraId="7E9F7BEC" w14:textId="77777777" w:rsidR="00AF1189" w:rsidRPr="00FD6B73" w:rsidRDefault="00AF1189" w:rsidP="00F10AC7">
      <w:pPr>
        <w:pStyle w:val="Normal1"/>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У складу са овом анализом, током периода који је уследио, реализоване су следеће активности:</w:t>
      </w:r>
    </w:p>
    <w:p w14:paraId="4761FA81" w14:textId="5395AC80"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кроз измене и допуне Закона о полицији, Јединица за заштиту</w:t>
      </w:r>
      <w:r w:rsidR="005B3795">
        <w:rPr>
          <w:rFonts w:ascii="Times New Roman" w:hAnsi="Times New Roman" w:cs="Times New Roman"/>
          <w:sz w:val="24"/>
          <w:szCs w:val="24"/>
          <w:lang w:val="ru-RU"/>
        </w:rPr>
        <w:t xml:space="preserve"> сведока</w:t>
      </w:r>
      <w:r w:rsidRPr="00FD6B73">
        <w:rPr>
          <w:rFonts w:ascii="Times New Roman" w:hAnsi="Times New Roman" w:cs="Times New Roman"/>
          <w:sz w:val="24"/>
          <w:szCs w:val="24"/>
          <w:lang w:val="ru-RU"/>
        </w:rPr>
        <w:t xml:space="preserve"> је сврстана у категорију посебних јединица полиције, чиме је, у значајној мери, унапређен њен статус;</w:t>
      </w:r>
    </w:p>
    <w:p w14:paraId="14D404C0" w14:textId="3BC7FD8A"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 xml:space="preserve">извршена је измена акта о унутрашњем уређењу и систематизацији радних места, и у складу са тим, унапређени су кадровски капацитети Јединице за заштиту </w:t>
      </w:r>
      <w:r w:rsidR="005B3795">
        <w:rPr>
          <w:rFonts w:ascii="Times New Roman" w:hAnsi="Times New Roman" w:cs="Times New Roman"/>
          <w:sz w:val="24"/>
          <w:szCs w:val="24"/>
          <w:lang w:val="ru-RU"/>
        </w:rPr>
        <w:t xml:space="preserve">сведока </w:t>
      </w:r>
      <w:r w:rsidRPr="00FD6B73">
        <w:rPr>
          <w:rFonts w:ascii="Times New Roman" w:hAnsi="Times New Roman" w:cs="Times New Roman"/>
          <w:sz w:val="24"/>
          <w:szCs w:val="24"/>
          <w:lang w:val="ru-RU"/>
        </w:rPr>
        <w:t xml:space="preserve">(примљени су на рад: ИТ стручњак, психолог, социјални радник, а такође је повећан број радних места у Одељењу за оперативне послове); </w:t>
      </w:r>
    </w:p>
    <w:p w14:paraId="24C70415" w14:textId="49569D6A"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доношењем Уредбе о специјалној и посебним јединицама полиције, правно је уређен  поступа</w:t>
      </w:r>
      <w:r w:rsidR="005B3795">
        <w:rPr>
          <w:rFonts w:ascii="Times New Roman" w:hAnsi="Times New Roman" w:cs="Times New Roman"/>
          <w:sz w:val="24"/>
          <w:szCs w:val="24"/>
          <w:lang w:val="ru-RU"/>
        </w:rPr>
        <w:t>к селекције и пријема кандидата</w:t>
      </w:r>
      <w:r w:rsidRPr="00FD6B73">
        <w:rPr>
          <w:rFonts w:ascii="Times New Roman" w:hAnsi="Times New Roman" w:cs="Times New Roman"/>
          <w:sz w:val="24"/>
          <w:szCs w:val="24"/>
          <w:lang w:val="ru-RU"/>
        </w:rPr>
        <w:t xml:space="preserve"> на рад у Јединицу</w:t>
      </w:r>
      <w:r w:rsidR="005B3795">
        <w:rPr>
          <w:rFonts w:ascii="Times New Roman" w:hAnsi="Times New Roman" w:cs="Times New Roman"/>
          <w:sz w:val="24"/>
          <w:szCs w:val="24"/>
          <w:lang w:val="ru-RU"/>
        </w:rPr>
        <w:t xml:space="preserve"> за заштиту сведока</w:t>
      </w:r>
      <w:r w:rsidRPr="00FD6B73">
        <w:rPr>
          <w:rFonts w:ascii="Times New Roman" w:hAnsi="Times New Roman" w:cs="Times New Roman"/>
          <w:sz w:val="24"/>
          <w:szCs w:val="24"/>
          <w:lang w:val="ru-RU"/>
        </w:rPr>
        <w:t>;</w:t>
      </w:r>
    </w:p>
    <w:p w14:paraId="01F4544D" w14:textId="610D6C83"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сходно повећаном броју систематизованих радних места, спроведен је поступак пријема кандидата - нових припадника Јединице за заштиту</w:t>
      </w:r>
      <w:r w:rsidR="005B3795">
        <w:rPr>
          <w:rFonts w:ascii="Times New Roman" w:hAnsi="Times New Roman" w:cs="Times New Roman"/>
          <w:sz w:val="24"/>
          <w:szCs w:val="24"/>
          <w:lang w:val="ru-RU"/>
        </w:rPr>
        <w:t xml:space="preserve"> сведока</w:t>
      </w:r>
      <w:r w:rsidRPr="00FD6B73">
        <w:rPr>
          <w:rFonts w:ascii="Times New Roman" w:hAnsi="Times New Roman" w:cs="Times New Roman"/>
          <w:sz w:val="24"/>
          <w:szCs w:val="24"/>
          <w:lang w:val="ru-RU"/>
        </w:rPr>
        <w:t>;</w:t>
      </w:r>
    </w:p>
    <w:p w14:paraId="1552CA11" w14:textId="32F307FA"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у складу са Уредбом о специјалној и посебним јединицама полиције, установљен је Програм специјалистичке обуке за рад у Јединици за заштиту</w:t>
      </w:r>
      <w:r w:rsidR="005B3795">
        <w:rPr>
          <w:rFonts w:ascii="Times New Roman" w:hAnsi="Times New Roman" w:cs="Times New Roman"/>
          <w:sz w:val="24"/>
          <w:szCs w:val="24"/>
          <w:lang w:val="ru-RU"/>
        </w:rPr>
        <w:t xml:space="preserve"> сведока</w:t>
      </w:r>
      <w:r w:rsidRPr="00FD6B73">
        <w:rPr>
          <w:rFonts w:ascii="Times New Roman" w:hAnsi="Times New Roman" w:cs="Times New Roman"/>
          <w:sz w:val="24"/>
          <w:szCs w:val="24"/>
          <w:lang w:val="ru-RU"/>
        </w:rPr>
        <w:t>, коју похађају нови припадници;</w:t>
      </w:r>
    </w:p>
    <w:p w14:paraId="241EBB95" w14:textId="77777777"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обезбеђене су нове службене просторије које испуњавају потребне стандарде, уз рестриктивни и контролисани приступ;</w:t>
      </w:r>
    </w:p>
    <w:p w14:paraId="4A0EFF99" w14:textId="3A0B9899"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 xml:space="preserve">у складу са Законом о тајности података, за све припаднике Јединице за заштиту </w:t>
      </w:r>
      <w:r w:rsidR="005B3795">
        <w:rPr>
          <w:rFonts w:ascii="Times New Roman" w:hAnsi="Times New Roman" w:cs="Times New Roman"/>
          <w:sz w:val="24"/>
          <w:szCs w:val="24"/>
          <w:lang w:val="ru-RU"/>
        </w:rPr>
        <w:t xml:space="preserve">сведока </w:t>
      </w:r>
      <w:r w:rsidRPr="00FD6B73">
        <w:rPr>
          <w:rFonts w:ascii="Times New Roman" w:hAnsi="Times New Roman" w:cs="Times New Roman"/>
          <w:sz w:val="24"/>
          <w:szCs w:val="24"/>
          <w:lang w:val="ru-RU"/>
        </w:rPr>
        <w:t>издат је сертификат за приступ тајним подацима;</w:t>
      </w:r>
    </w:p>
    <w:p w14:paraId="3C705A76" w14:textId="62488725"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 xml:space="preserve">успостављањем мера заштите, у складу са законом и подзаконским актима којима је уређена област заштите тајних података, унапређена је заштита података у вези са спровођењем </w:t>
      </w:r>
      <w:r w:rsidR="005B3795">
        <w:rPr>
          <w:rFonts w:ascii="Times New Roman" w:hAnsi="Times New Roman" w:cs="Times New Roman"/>
          <w:sz w:val="24"/>
          <w:szCs w:val="24"/>
          <w:lang w:val="ru-RU"/>
        </w:rPr>
        <w:t>п</w:t>
      </w:r>
      <w:r w:rsidRPr="00FD6B73">
        <w:rPr>
          <w:rFonts w:ascii="Times New Roman" w:hAnsi="Times New Roman" w:cs="Times New Roman"/>
          <w:sz w:val="24"/>
          <w:szCs w:val="24"/>
          <w:lang w:val="ru-RU"/>
        </w:rPr>
        <w:t xml:space="preserve">рограма заштите </w:t>
      </w:r>
      <w:r w:rsidR="005B3795">
        <w:rPr>
          <w:rFonts w:ascii="Times New Roman" w:hAnsi="Times New Roman" w:cs="Times New Roman"/>
          <w:sz w:val="24"/>
          <w:szCs w:val="24"/>
          <w:lang w:val="ru-RU"/>
        </w:rPr>
        <w:t xml:space="preserve">учесника у кривичном поступку </w:t>
      </w:r>
      <w:r w:rsidRPr="00FD6B73">
        <w:rPr>
          <w:rFonts w:ascii="Times New Roman" w:hAnsi="Times New Roman" w:cs="Times New Roman"/>
          <w:sz w:val="24"/>
          <w:szCs w:val="24"/>
          <w:lang w:val="ru-RU"/>
        </w:rPr>
        <w:t xml:space="preserve">и применом </w:t>
      </w:r>
      <w:r w:rsidR="005B3795">
        <w:rPr>
          <w:rFonts w:ascii="Times New Roman" w:hAnsi="Times New Roman" w:cs="Times New Roman"/>
          <w:sz w:val="24"/>
          <w:szCs w:val="24"/>
          <w:lang w:val="ru-RU"/>
        </w:rPr>
        <w:t>х</w:t>
      </w:r>
      <w:r w:rsidRPr="00FD6B73">
        <w:rPr>
          <w:rFonts w:ascii="Times New Roman" w:hAnsi="Times New Roman" w:cs="Times New Roman"/>
          <w:sz w:val="24"/>
          <w:szCs w:val="24"/>
          <w:lang w:val="ru-RU"/>
        </w:rPr>
        <w:t>итних мера;</w:t>
      </w:r>
    </w:p>
    <w:p w14:paraId="3D4B3E74" w14:textId="62614953"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унапређени су технички капацитети Јединице</w:t>
      </w:r>
      <w:r w:rsidR="005B3795">
        <w:rPr>
          <w:rFonts w:ascii="Times New Roman" w:hAnsi="Times New Roman" w:cs="Times New Roman"/>
          <w:sz w:val="24"/>
          <w:szCs w:val="24"/>
          <w:lang w:val="ru-RU"/>
        </w:rPr>
        <w:t xml:space="preserve"> за заштиту сведока</w:t>
      </w:r>
      <w:r w:rsidRPr="00FD6B73">
        <w:rPr>
          <w:rFonts w:ascii="Times New Roman" w:hAnsi="Times New Roman" w:cs="Times New Roman"/>
          <w:sz w:val="24"/>
          <w:szCs w:val="24"/>
          <w:lang w:val="ru-RU"/>
        </w:rPr>
        <w:t xml:space="preserve"> набавком: нових возила, рачунарске и друге информатичке опреме, видео камера, мобилних система, видео надзора, навигације, сервера, скенера, система за видео надзор, система за контролу приступа службеним просторијама </w:t>
      </w:r>
      <w:r w:rsidR="005B3795">
        <w:rPr>
          <w:rFonts w:ascii="Times New Roman" w:hAnsi="Times New Roman" w:cs="Times New Roman"/>
          <w:sz w:val="24"/>
          <w:szCs w:val="24"/>
          <w:lang w:val="ru-RU"/>
        </w:rPr>
        <w:t xml:space="preserve">те јединице </w:t>
      </w:r>
      <w:r w:rsidRPr="00FD6B73">
        <w:rPr>
          <w:rFonts w:ascii="Times New Roman" w:hAnsi="Times New Roman" w:cs="Times New Roman"/>
          <w:sz w:val="24"/>
          <w:szCs w:val="24"/>
          <w:lang w:val="ru-RU"/>
        </w:rPr>
        <w:t>и др.;</w:t>
      </w:r>
    </w:p>
    <w:p w14:paraId="0AA7BCF7" w14:textId="55D0EA10"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 xml:space="preserve">припадници Јединице </w:t>
      </w:r>
      <w:r w:rsidR="005B3795">
        <w:rPr>
          <w:rFonts w:ascii="Times New Roman" w:hAnsi="Times New Roman" w:cs="Times New Roman"/>
          <w:sz w:val="24"/>
          <w:szCs w:val="24"/>
          <w:lang w:val="ru-RU"/>
        </w:rPr>
        <w:t xml:space="preserve">за заштиту сведока </w:t>
      </w:r>
      <w:r w:rsidRPr="00FD6B73">
        <w:rPr>
          <w:rFonts w:ascii="Times New Roman" w:hAnsi="Times New Roman" w:cs="Times New Roman"/>
          <w:sz w:val="24"/>
          <w:szCs w:val="24"/>
          <w:lang w:val="ru-RU"/>
        </w:rPr>
        <w:t>добили су ново формацијско наоружање, заштитна средства и другу тактичку опрему;</w:t>
      </w:r>
    </w:p>
    <w:p w14:paraId="6008F485" w14:textId="187124A3" w:rsidR="00AF1189" w:rsidRPr="00FD6B73" w:rsidRDefault="00AF1189" w:rsidP="00F10AC7">
      <w:pPr>
        <w:pStyle w:val="Normal1"/>
        <w:numPr>
          <w:ilvl w:val="0"/>
          <w:numId w:val="27"/>
        </w:numPr>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 xml:space="preserve">у неколико предмета успешно је примењена мера заштите </w:t>
      </w:r>
      <w:r w:rsidR="005B3795">
        <w:rPr>
          <w:rFonts w:ascii="Times New Roman" w:hAnsi="Times New Roman" w:cs="Times New Roman"/>
          <w:sz w:val="24"/>
          <w:szCs w:val="24"/>
          <w:lang w:val="ru-RU"/>
        </w:rPr>
        <w:t>п</w:t>
      </w:r>
      <w:r w:rsidRPr="00FD6B73">
        <w:rPr>
          <w:rFonts w:ascii="Times New Roman" w:hAnsi="Times New Roman" w:cs="Times New Roman"/>
          <w:sz w:val="24"/>
          <w:szCs w:val="24"/>
          <w:lang w:val="ru-RU"/>
        </w:rPr>
        <w:t>ромена идентитета, и у вези са тим, успостављена је сарадња са надлежним државним органима у циљу издавања исправа са промењеним идентитетом заштићених лица, као и евидентирања ових података.</w:t>
      </w:r>
    </w:p>
    <w:p w14:paraId="52997346" w14:textId="48F36398" w:rsidR="00AF1189" w:rsidRPr="00FD6B73" w:rsidRDefault="00AF1189" w:rsidP="00F10AC7">
      <w:pPr>
        <w:pStyle w:val="Normal1"/>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Поред наведеног, запослени у Јединици</w:t>
      </w:r>
      <w:r w:rsidR="005B3795">
        <w:rPr>
          <w:rFonts w:ascii="Times New Roman" w:hAnsi="Times New Roman" w:cs="Times New Roman"/>
          <w:sz w:val="24"/>
          <w:szCs w:val="24"/>
          <w:lang w:val="ru-RU"/>
        </w:rPr>
        <w:t xml:space="preserve"> за заштиту сведока</w:t>
      </w:r>
      <w:r w:rsidRPr="00FD6B73">
        <w:rPr>
          <w:rFonts w:ascii="Times New Roman" w:hAnsi="Times New Roman" w:cs="Times New Roman"/>
          <w:sz w:val="24"/>
          <w:szCs w:val="24"/>
          <w:lang w:val="ru-RU"/>
        </w:rPr>
        <w:t xml:space="preserve"> су у периоду спровођења </w:t>
      </w:r>
      <w:r w:rsidR="005B3795" w:rsidRPr="005B3795">
        <w:rPr>
          <w:rFonts w:ascii="Times New Roman" w:hAnsi="Times New Roman" w:cs="Times New Roman"/>
          <w:sz w:val="24"/>
          <w:szCs w:val="24"/>
          <w:lang w:val="ru-RU"/>
        </w:rPr>
        <w:t>НСПРЗ</w:t>
      </w:r>
      <w:r w:rsidRPr="005B3795">
        <w:rPr>
          <w:rFonts w:ascii="Times New Roman" w:hAnsi="Times New Roman" w:cs="Times New Roman"/>
          <w:sz w:val="24"/>
          <w:szCs w:val="24"/>
          <w:lang w:val="ru-RU"/>
        </w:rPr>
        <w:t>,</w:t>
      </w:r>
      <w:r w:rsidRPr="00FD6B73">
        <w:rPr>
          <w:rFonts w:ascii="Times New Roman" w:hAnsi="Times New Roman" w:cs="Times New Roman"/>
          <w:sz w:val="24"/>
          <w:szCs w:val="24"/>
          <w:lang w:val="ru-RU"/>
        </w:rPr>
        <w:t xml:space="preserve"> учествовали у бројним обукама курсевима, семинарима, и активно су учествовали </w:t>
      </w:r>
      <w:r w:rsidRPr="00FD6B73">
        <w:rPr>
          <w:rFonts w:ascii="Times New Roman" w:hAnsi="Times New Roman" w:cs="Times New Roman"/>
          <w:sz w:val="24"/>
          <w:szCs w:val="24"/>
          <w:lang w:val="ru-RU"/>
        </w:rPr>
        <w:lastRenderedPageBreak/>
        <w:t xml:space="preserve">на међународним и регионалним конференцијама у оквиру  тада активног ЕУ пројекта </w:t>
      </w:r>
      <w:r w:rsidRPr="00CD46D4">
        <w:rPr>
          <w:rFonts w:ascii="Times New Roman" w:hAnsi="Times New Roman" w:cs="Times New Roman"/>
          <w:bCs/>
          <w:sz w:val="24"/>
          <w:szCs w:val="24"/>
        </w:rPr>
        <w:t>WINPRO</w:t>
      </w:r>
      <w:r w:rsidRPr="00FD6B73">
        <w:rPr>
          <w:rFonts w:ascii="Times New Roman" w:hAnsi="Times New Roman" w:cs="Times New Roman"/>
          <w:bCs/>
          <w:sz w:val="24"/>
          <w:szCs w:val="24"/>
          <w:lang w:val="ru-RU"/>
        </w:rPr>
        <w:t xml:space="preserve"> </w:t>
      </w:r>
      <w:r w:rsidRPr="00CD46D4">
        <w:rPr>
          <w:rFonts w:ascii="Times New Roman" w:hAnsi="Times New Roman" w:cs="Times New Roman"/>
          <w:bCs/>
          <w:sz w:val="24"/>
          <w:szCs w:val="24"/>
        </w:rPr>
        <w:t>III</w:t>
      </w:r>
      <w:r w:rsidRPr="00FD6B73">
        <w:rPr>
          <w:rFonts w:ascii="Times New Roman" w:hAnsi="Times New Roman" w:cs="Times New Roman"/>
          <w:b/>
          <w:sz w:val="24"/>
          <w:szCs w:val="24"/>
          <w:lang w:val="ru-RU"/>
        </w:rPr>
        <w:t xml:space="preserve"> -</w:t>
      </w:r>
      <w:r w:rsidRPr="00FD6B73">
        <w:rPr>
          <w:rFonts w:ascii="Times New Roman" w:hAnsi="Times New Roman" w:cs="Times New Roman"/>
          <w:sz w:val="24"/>
          <w:szCs w:val="24"/>
          <w:lang w:val="ru-RU"/>
        </w:rPr>
        <w:t xml:space="preserve"> „Сарадња у кривичном правосуђу: Јачање заштите сведока у борби против организованог криминала, тероризма и корупције</w:t>
      </w:r>
      <w:r w:rsidR="00586C7D">
        <w:rPr>
          <w:rFonts w:ascii="Times New Roman" w:hAnsi="Times New Roman" w:cs="Times New Roman"/>
          <w:sz w:val="24"/>
          <w:szCs w:val="24"/>
          <w:lang w:val="ru-RU"/>
        </w:rPr>
        <w:t>ˮ</w:t>
      </w:r>
      <w:r w:rsidRPr="00FD6B73">
        <w:rPr>
          <w:rFonts w:ascii="Times New Roman" w:hAnsi="Times New Roman" w:cs="Times New Roman"/>
          <w:sz w:val="24"/>
          <w:szCs w:val="24"/>
          <w:lang w:val="ru-RU"/>
        </w:rPr>
        <w:t xml:space="preserve"> (</w:t>
      </w:r>
      <w:r w:rsidRPr="00CD46D4">
        <w:rPr>
          <w:rFonts w:ascii="Times New Roman" w:hAnsi="Times New Roman" w:cs="Times New Roman"/>
          <w:i/>
          <w:iCs/>
          <w:sz w:val="24"/>
          <w:szCs w:val="24"/>
        </w:rPr>
        <w:t>Co</w:t>
      </w:r>
      <w:r w:rsidRPr="00FD6B73">
        <w:rPr>
          <w:rFonts w:ascii="Times New Roman" w:hAnsi="Times New Roman" w:cs="Times New Roman"/>
          <w:i/>
          <w:iCs/>
          <w:sz w:val="24"/>
          <w:szCs w:val="24"/>
          <w:lang w:val="ru-RU"/>
        </w:rPr>
        <w:t>-</w:t>
      </w:r>
      <w:r w:rsidRPr="00CD46D4">
        <w:rPr>
          <w:rFonts w:ascii="Times New Roman" w:hAnsi="Times New Roman" w:cs="Times New Roman"/>
          <w:i/>
          <w:iCs/>
          <w:sz w:val="24"/>
          <w:szCs w:val="24"/>
        </w:rPr>
        <w:t>operation</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in</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Criminal</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Justice</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Strengthening</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Witness</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Protection</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in</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the</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Fight</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against</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Organized</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Crime</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Terrorism</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and</w:t>
      </w:r>
      <w:r w:rsidRPr="00FD6B73">
        <w:rPr>
          <w:rFonts w:ascii="Times New Roman" w:hAnsi="Times New Roman" w:cs="Times New Roman"/>
          <w:i/>
          <w:iCs/>
          <w:sz w:val="24"/>
          <w:szCs w:val="24"/>
          <w:lang w:val="ru-RU"/>
        </w:rPr>
        <w:t xml:space="preserve"> </w:t>
      </w:r>
      <w:r w:rsidRPr="00CD46D4">
        <w:rPr>
          <w:rFonts w:ascii="Times New Roman" w:hAnsi="Times New Roman" w:cs="Times New Roman"/>
          <w:i/>
          <w:iCs/>
          <w:sz w:val="24"/>
          <w:szCs w:val="24"/>
        </w:rPr>
        <w:t>Corruption</w:t>
      </w:r>
      <w:r w:rsidRPr="00FD6B73">
        <w:rPr>
          <w:rFonts w:ascii="Times New Roman" w:hAnsi="Times New Roman" w:cs="Times New Roman"/>
          <w:sz w:val="24"/>
          <w:szCs w:val="24"/>
          <w:lang w:val="ru-RU"/>
        </w:rPr>
        <w:t xml:space="preserve">). </w:t>
      </w:r>
      <w:r w:rsidR="005B3795">
        <w:rPr>
          <w:rFonts w:ascii="Times New Roman" w:hAnsi="Times New Roman" w:cs="Times New Roman"/>
          <w:sz w:val="24"/>
          <w:szCs w:val="24"/>
          <w:lang w:val="ru-RU"/>
        </w:rPr>
        <w:t xml:space="preserve"> </w:t>
      </w:r>
    </w:p>
    <w:p w14:paraId="63E81FEA" w14:textId="1C144EA8" w:rsidR="00AF1189" w:rsidRPr="00FD6B73" w:rsidRDefault="00AF1189" w:rsidP="00F10AC7">
      <w:pPr>
        <w:pStyle w:val="Normal1"/>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 xml:space="preserve">Реализоване су следеће обуке: Курс за обуку тренера; Уводни курс из заштите сведока; Курс за процену клијента; Курс за израду легенди; Базични курс из блиске заштите; Базични курс за анти- контра надзор; Основни курс из прве помоћи; Курс за планирање и доношење одлука; Курс за управљање ризиком; Курс за обавештајне податке и њихово прикупљање из отворених извора; Курс за психолошку процену и  подршку; Курс из личне и оперативне безбедности; Напредни курс из блиске заштите; Напредни курс из заштите сведока; Напредни курс за анти-контранадзор; Курс за финансирање </w:t>
      </w:r>
      <w:r w:rsidR="005B3795">
        <w:rPr>
          <w:rFonts w:ascii="Times New Roman" w:hAnsi="Times New Roman" w:cs="Times New Roman"/>
          <w:sz w:val="24"/>
          <w:szCs w:val="24"/>
          <w:lang w:val="ru-RU"/>
        </w:rPr>
        <w:t>п</w:t>
      </w:r>
      <w:r w:rsidRPr="00FD6B73">
        <w:rPr>
          <w:rFonts w:ascii="Times New Roman" w:hAnsi="Times New Roman" w:cs="Times New Roman"/>
          <w:sz w:val="24"/>
          <w:szCs w:val="24"/>
          <w:lang w:val="ru-RU"/>
        </w:rPr>
        <w:t>рограма заштите</w:t>
      </w:r>
      <w:r w:rsidR="005B3795">
        <w:rPr>
          <w:rFonts w:ascii="Times New Roman" w:hAnsi="Times New Roman" w:cs="Times New Roman"/>
          <w:sz w:val="24"/>
          <w:szCs w:val="24"/>
          <w:lang w:val="ru-RU"/>
        </w:rPr>
        <w:t xml:space="preserve"> учесника у кривичном поступку</w:t>
      </w:r>
      <w:r w:rsidRPr="00FD6B73">
        <w:rPr>
          <w:rFonts w:ascii="Times New Roman" w:hAnsi="Times New Roman" w:cs="Times New Roman"/>
          <w:sz w:val="24"/>
          <w:szCs w:val="24"/>
          <w:lang w:val="ru-RU"/>
        </w:rPr>
        <w:t>; Курс излазне стратегије; Радионица о промени иденти</w:t>
      </w:r>
      <w:r w:rsidR="005B3795">
        <w:rPr>
          <w:rFonts w:ascii="Times New Roman" w:hAnsi="Times New Roman" w:cs="Times New Roman"/>
          <w:sz w:val="24"/>
          <w:szCs w:val="24"/>
          <w:lang w:val="ru-RU"/>
        </w:rPr>
        <w:t>тета; Обука команда и контрола.</w:t>
      </w:r>
    </w:p>
    <w:p w14:paraId="5B1D4BE4" w14:textId="37DD3F31" w:rsidR="00AF1189" w:rsidRPr="00FD6B73" w:rsidRDefault="00AF1189" w:rsidP="00F10AC7">
      <w:pPr>
        <w:pStyle w:val="Normal1"/>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 xml:space="preserve">Такође су, континуирано, спровођене редовне обуке у складу са планом и програмом стручног усавршавања полицијских службеника Јединице за заштиту </w:t>
      </w:r>
      <w:r w:rsidR="005B3795">
        <w:rPr>
          <w:rFonts w:ascii="Times New Roman" w:hAnsi="Times New Roman" w:cs="Times New Roman"/>
          <w:sz w:val="24"/>
          <w:szCs w:val="24"/>
          <w:lang w:val="ru-RU"/>
        </w:rPr>
        <w:t xml:space="preserve">сведока </w:t>
      </w:r>
      <w:r w:rsidRPr="00FD6B73">
        <w:rPr>
          <w:rFonts w:ascii="Times New Roman" w:hAnsi="Times New Roman" w:cs="Times New Roman"/>
          <w:sz w:val="24"/>
          <w:szCs w:val="24"/>
          <w:lang w:val="ru-RU"/>
        </w:rPr>
        <w:t xml:space="preserve">(обуке су се састојале из теоријске наставе, као и практичне наставе тактичког поступања у вези са применом мере </w:t>
      </w:r>
      <w:r w:rsidR="005B3795">
        <w:rPr>
          <w:rFonts w:ascii="Times New Roman" w:hAnsi="Times New Roman" w:cs="Times New Roman"/>
          <w:sz w:val="24"/>
          <w:szCs w:val="24"/>
          <w:lang w:val="ru-RU"/>
        </w:rPr>
        <w:t>ф</w:t>
      </w:r>
      <w:r w:rsidRPr="00FD6B73">
        <w:rPr>
          <w:rFonts w:ascii="Times New Roman" w:hAnsi="Times New Roman" w:cs="Times New Roman"/>
          <w:sz w:val="24"/>
          <w:szCs w:val="24"/>
          <w:lang w:val="ru-RU"/>
        </w:rPr>
        <w:t>изичка заштита личности и имовине, као и применом полицијских овлашћења).</w:t>
      </w:r>
    </w:p>
    <w:p w14:paraId="0DF55BA6" w14:textId="073E97D3" w:rsidR="00AF1189" w:rsidRPr="00FD6B73" w:rsidRDefault="00AF1189" w:rsidP="00F10AC7">
      <w:pPr>
        <w:pStyle w:val="Standard"/>
        <w:tabs>
          <w:tab w:val="left" w:pos="5387"/>
        </w:tabs>
        <w:spacing w:after="120" w:line="240" w:lineRule="auto"/>
        <w:jc w:val="both"/>
        <w:rPr>
          <w:rFonts w:ascii="Times New Roman" w:eastAsia="Calibri" w:hAnsi="Times New Roman" w:cs="Times New Roman"/>
          <w:color w:val="000000"/>
          <w:sz w:val="24"/>
          <w:szCs w:val="24"/>
          <w:shd w:val="clear" w:color="auto" w:fill="FFFFFF"/>
          <w:lang w:val="ru-RU"/>
        </w:rPr>
      </w:pPr>
      <w:r w:rsidRPr="00FD6B73">
        <w:rPr>
          <w:rFonts w:ascii="Times New Roman" w:hAnsi="Times New Roman" w:cs="Times New Roman"/>
          <w:bCs/>
          <w:color w:val="000000" w:themeColor="text1"/>
          <w:sz w:val="24"/>
          <w:szCs w:val="24"/>
          <w:lang w:val="ru-RU"/>
        </w:rPr>
        <w:t xml:space="preserve">Како је </w:t>
      </w:r>
      <w:r w:rsidR="005B3795">
        <w:rPr>
          <w:rFonts w:ascii="Times New Roman" w:hAnsi="Times New Roman" w:cs="Times New Roman"/>
          <w:bCs/>
          <w:color w:val="000000" w:themeColor="text1"/>
          <w:sz w:val="24"/>
          <w:szCs w:val="24"/>
          <w:lang w:val="ru-RU"/>
        </w:rPr>
        <w:t xml:space="preserve">у </w:t>
      </w:r>
      <w:r w:rsidR="005B3795" w:rsidRPr="005B3795">
        <w:rPr>
          <w:rFonts w:ascii="Times New Roman" w:hAnsi="Times New Roman" w:cs="Times New Roman"/>
          <w:bCs/>
          <w:color w:val="000000" w:themeColor="text1"/>
          <w:sz w:val="24"/>
          <w:szCs w:val="24"/>
          <w:lang w:val="ru-RU"/>
        </w:rPr>
        <w:t xml:space="preserve">НСПРЗ </w:t>
      </w:r>
      <w:r w:rsidR="00A13F6E" w:rsidRPr="00FD6B73">
        <w:rPr>
          <w:rFonts w:ascii="Times New Roman" w:hAnsi="Times New Roman" w:cs="Times New Roman"/>
          <w:bCs/>
          <w:color w:val="000000" w:themeColor="text1"/>
          <w:sz w:val="24"/>
          <w:szCs w:val="24"/>
          <w:lang w:val="ru-RU"/>
        </w:rPr>
        <w:t>предвиђен</w:t>
      </w:r>
      <w:r w:rsidR="002B5935">
        <w:rPr>
          <w:rFonts w:ascii="Times New Roman" w:hAnsi="Times New Roman" w:cs="Times New Roman"/>
          <w:bCs/>
          <w:color w:val="000000" w:themeColor="text1"/>
          <w:sz w:val="24"/>
          <w:szCs w:val="24"/>
          <w:lang w:val="ru-RU"/>
        </w:rPr>
        <w:t xml:space="preserve">о </w:t>
      </w:r>
      <w:r w:rsidRPr="00FD6B73">
        <w:rPr>
          <w:rFonts w:ascii="Times New Roman" w:hAnsi="Times New Roman" w:cs="Times New Roman"/>
          <w:color w:val="000000" w:themeColor="text1"/>
          <w:sz w:val="24"/>
          <w:szCs w:val="24"/>
          <w:lang w:val="ru-RU"/>
        </w:rPr>
        <w:t>унапређењ</w:t>
      </w:r>
      <w:r w:rsidR="002B5935">
        <w:rPr>
          <w:rFonts w:ascii="Times New Roman" w:hAnsi="Times New Roman" w:cs="Times New Roman"/>
          <w:color w:val="000000" w:themeColor="text1"/>
          <w:sz w:val="24"/>
          <w:szCs w:val="24"/>
          <w:lang w:val="ru-RU"/>
        </w:rPr>
        <w:t>е</w:t>
      </w:r>
      <w:r w:rsidRPr="00FD6B73">
        <w:rPr>
          <w:rFonts w:ascii="Times New Roman" w:hAnsi="Times New Roman" w:cs="Times New Roman"/>
          <w:color w:val="000000" w:themeColor="text1"/>
          <w:sz w:val="24"/>
          <w:szCs w:val="24"/>
          <w:lang w:val="ru-RU"/>
        </w:rPr>
        <w:t xml:space="preserve"> </w:t>
      </w:r>
      <w:r w:rsidRPr="00FD6B73">
        <w:rPr>
          <w:rFonts w:ascii="Times New Roman" w:hAnsi="Times New Roman" w:cs="Times New Roman"/>
          <w:sz w:val="24"/>
          <w:szCs w:val="24"/>
          <w:lang w:val="ru-RU"/>
        </w:rPr>
        <w:t xml:space="preserve">сарадње државних органа укључених у систем заштите сведока, у циљу унапређења сарадње са надлежним правосудним органима, у вези са укључењем учесника у кривичном поступку и блиских лица у </w:t>
      </w:r>
      <w:r w:rsidR="005B3795">
        <w:rPr>
          <w:rFonts w:ascii="Times New Roman" w:hAnsi="Times New Roman" w:cs="Times New Roman"/>
          <w:sz w:val="24"/>
          <w:szCs w:val="24"/>
          <w:lang w:val="ru-RU"/>
        </w:rPr>
        <w:t>п</w:t>
      </w:r>
      <w:r w:rsidRPr="00FD6B73">
        <w:rPr>
          <w:rFonts w:ascii="Times New Roman" w:hAnsi="Times New Roman" w:cs="Times New Roman"/>
          <w:sz w:val="24"/>
          <w:szCs w:val="24"/>
          <w:lang w:val="ru-RU"/>
        </w:rPr>
        <w:t>рограм заштите</w:t>
      </w:r>
      <w:r w:rsidR="005B3795">
        <w:rPr>
          <w:rFonts w:ascii="Times New Roman" w:hAnsi="Times New Roman" w:cs="Times New Roman"/>
          <w:sz w:val="24"/>
          <w:szCs w:val="24"/>
          <w:lang w:val="ru-RU"/>
        </w:rPr>
        <w:t xml:space="preserve"> учесника у кривичном поступку</w:t>
      </w:r>
      <w:r w:rsidRPr="00FD6B73">
        <w:rPr>
          <w:rFonts w:ascii="Times New Roman" w:hAnsi="Times New Roman" w:cs="Times New Roman"/>
          <w:sz w:val="24"/>
          <w:szCs w:val="24"/>
          <w:lang w:val="ru-RU"/>
        </w:rPr>
        <w:t xml:space="preserve">, Јединица за заштиту </w:t>
      </w:r>
      <w:r w:rsidR="005B3795">
        <w:rPr>
          <w:rFonts w:ascii="Times New Roman" w:hAnsi="Times New Roman" w:cs="Times New Roman"/>
          <w:sz w:val="24"/>
          <w:szCs w:val="24"/>
          <w:lang w:val="ru-RU"/>
        </w:rPr>
        <w:t xml:space="preserve">сведока </w:t>
      </w:r>
      <w:r w:rsidRPr="00FD6B73">
        <w:rPr>
          <w:rFonts w:ascii="Times New Roman" w:hAnsi="Times New Roman" w:cs="Times New Roman"/>
          <w:sz w:val="24"/>
          <w:szCs w:val="24"/>
          <w:lang w:val="ru-RU"/>
        </w:rPr>
        <w:t xml:space="preserve">је закључила Протоколе о сарадњи са </w:t>
      </w:r>
      <w:r w:rsidR="007A1B56">
        <w:rPr>
          <w:rFonts w:ascii="Times New Roman" w:hAnsi="Times New Roman" w:cs="Times New Roman"/>
          <w:sz w:val="24"/>
          <w:szCs w:val="24"/>
          <w:lang w:val="ru-RU"/>
        </w:rPr>
        <w:t>ТРЗ</w:t>
      </w:r>
      <w:r w:rsidRPr="00CD46D4">
        <w:rPr>
          <w:rStyle w:val="FootnoteReference"/>
          <w:rFonts w:ascii="Times New Roman" w:hAnsi="Times New Roman" w:cs="Times New Roman"/>
          <w:sz w:val="24"/>
          <w:szCs w:val="24"/>
        </w:rPr>
        <w:footnoteReference w:id="44"/>
      </w:r>
      <w:r w:rsidRPr="00FD6B73">
        <w:rPr>
          <w:rFonts w:ascii="Times New Roman" w:hAnsi="Times New Roman" w:cs="Times New Roman"/>
          <w:sz w:val="24"/>
          <w:szCs w:val="24"/>
          <w:lang w:val="ru-RU"/>
        </w:rPr>
        <w:t xml:space="preserve"> и Тужилаштвом за организовани криминал.</w:t>
      </w:r>
      <w:r w:rsidR="002B5935">
        <w:rPr>
          <w:rFonts w:ascii="Times New Roman" w:hAnsi="Times New Roman" w:cs="Times New Roman"/>
          <w:sz w:val="24"/>
          <w:szCs w:val="24"/>
          <w:lang w:val="ru-RU"/>
        </w:rPr>
        <w:t xml:space="preserve"> </w:t>
      </w:r>
      <w:r w:rsidRPr="00FD6B73">
        <w:rPr>
          <w:rFonts w:ascii="Times New Roman" w:eastAsia="Calibri" w:hAnsi="Times New Roman" w:cs="Times New Roman"/>
          <w:color w:val="000000"/>
          <w:sz w:val="24"/>
          <w:szCs w:val="24"/>
          <w:shd w:val="clear" w:color="auto" w:fill="FFFFFF"/>
          <w:lang w:val="ru-RU"/>
        </w:rPr>
        <w:t>Одлуком Тужиоца за ратне злочине, а ради ефикасније сарадње између ТРЗ и  Јединице за заштиту</w:t>
      </w:r>
      <w:r w:rsidR="00627E81">
        <w:rPr>
          <w:rFonts w:ascii="Times New Roman" w:eastAsia="Calibri" w:hAnsi="Times New Roman" w:cs="Times New Roman"/>
          <w:color w:val="000000"/>
          <w:sz w:val="24"/>
          <w:szCs w:val="24"/>
          <w:shd w:val="clear" w:color="auto" w:fill="FFFFFF"/>
          <w:lang w:val="ru-RU"/>
        </w:rPr>
        <w:t xml:space="preserve"> сведока</w:t>
      </w:r>
      <w:r w:rsidRPr="00FD6B73">
        <w:rPr>
          <w:rFonts w:ascii="Times New Roman" w:eastAsia="Calibri" w:hAnsi="Times New Roman" w:cs="Times New Roman"/>
          <w:color w:val="000000"/>
          <w:sz w:val="24"/>
          <w:szCs w:val="24"/>
          <w:shd w:val="clear" w:color="auto" w:fill="FFFFFF"/>
          <w:lang w:val="ru-RU"/>
        </w:rPr>
        <w:t>, одређене су две контакт особе за комуникацију са сведоцима и оштећенима, а које су уједно чланови Службе за подршку сведоцима и оштећенима.</w:t>
      </w:r>
    </w:p>
    <w:p w14:paraId="18C99F69" w14:textId="79C30915" w:rsidR="00AF1189" w:rsidRPr="00FD6B73" w:rsidRDefault="00AF1189" w:rsidP="00F10AC7">
      <w:pPr>
        <w:pStyle w:val="Normal1"/>
        <w:spacing w:before="0" w:beforeAutospacing="0" w:after="120" w:afterAutospacing="0"/>
        <w:jc w:val="both"/>
        <w:rPr>
          <w:rFonts w:ascii="Times New Roman" w:hAnsi="Times New Roman" w:cs="Times New Roman"/>
          <w:sz w:val="24"/>
          <w:szCs w:val="24"/>
          <w:lang w:val="ru-RU"/>
        </w:rPr>
      </w:pPr>
      <w:r w:rsidRPr="00FD6B73">
        <w:rPr>
          <w:rFonts w:ascii="Times New Roman" w:hAnsi="Times New Roman" w:cs="Times New Roman"/>
          <w:sz w:val="24"/>
          <w:szCs w:val="24"/>
          <w:lang w:val="ru-RU"/>
        </w:rPr>
        <w:t xml:space="preserve">У претходном периоду, представници </w:t>
      </w:r>
      <w:r w:rsidR="007A1B56">
        <w:rPr>
          <w:rFonts w:ascii="Times New Roman" w:hAnsi="Times New Roman" w:cs="Times New Roman"/>
          <w:sz w:val="24"/>
          <w:szCs w:val="24"/>
          <w:lang w:val="ru-RU"/>
        </w:rPr>
        <w:t>ТРЗ</w:t>
      </w:r>
      <w:r w:rsidRPr="00FD6B73">
        <w:rPr>
          <w:rFonts w:ascii="Times New Roman" w:hAnsi="Times New Roman" w:cs="Times New Roman"/>
          <w:sz w:val="24"/>
          <w:szCs w:val="24"/>
          <w:lang w:val="ru-RU"/>
        </w:rPr>
        <w:t xml:space="preserve"> и Јединице за заштиту </w:t>
      </w:r>
      <w:r w:rsidR="007A1B56">
        <w:rPr>
          <w:rFonts w:ascii="Times New Roman" w:hAnsi="Times New Roman" w:cs="Times New Roman"/>
          <w:sz w:val="24"/>
          <w:szCs w:val="24"/>
          <w:lang w:val="ru-RU"/>
        </w:rPr>
        <w:t xml:space="preserve">сведока </w:t>
      </w:r>
      <w:r w:rsidRPr="00FD6B73">
        <w:rPr>
          <w:rFonts w:ascii="Times New Roman" w:hAnsi="Times New Roman" w:cs="Times New Roman"/>
          <w:sz w:val="24"/>
          <w:szCs w:val="24"/>
          <w:lang w:val="ru-RU"/>
        </w:rPr>
        <w:t>периодично су организовали и одржавали заједничке „округле столове</w:t>
      </w:r>
      <w:r w:rsidR="00586C7D">
        <w:rPr>
          <w:rFonts w:ascii="Times New Roman" w:hAnsi="Times New Roman" w:cs="Times New Roman"/>
          <w:sz w:val="24"/>
          <w:szCs w:val="24"/>
          <w:lang w:val="ru-RU"/>
        </w:rPr>
        <w:t>ˮ</w:t>
      </w:r>
      <w:r w:rsidRPr="00FD6B73">
        <w:rPr>
          <w:rFonts w:ascii="Times New Roman" w:hAnsi="Times New Roman" w:cs="Times New Roman"/>
          <w:sz w:val="24"/>
          <w:szCs w:val="24"/>
          <w:lang w:val="ru-RU"/>
        </w:rPr>
        <w:t xml:space="preserve">, ради размене искустава и унапређења заједничког деловања, као и заједничке обуке. Поред наведеног, формиран је заједнички, стратешки тим за дефинисање смерница и праваца поступања у питањима од заједничког значаја, као и заједнички оперативни тим. Поред тога, кроз пројекат Европске Комисије </w:t>
      </w:r>
      <w:r w:rsidRPr="00CD46D4">
        <w:rPr>
          <w:rFonts w:ascii="Times New Roman" w:hAnsi="Times New Roman" w:cs="Times New Roman"/>
          <w:sz w:val="24"/>
          <w:szCs w:val="24"/>
        </w:rPr>
        <w:t>WINPRO</w:t>
      </w:r>
      <w:r w:rsidRPr="00FD6B73">
        <w:rPr>
          <w:rFonts w:ascii="Times New Roman" w:hAnsi="Times New Roman" w:cs="Times New Roman"/>
          <w:sz w:val="24"/>
          <w:szCs w:val="24"/>
          <w:lang w:val="ru-RU"/>
        </w:rPr>
        <w:t xml:space="preserve"> </w:t>
      </w:r>
      <w:r w:rsidRPr="00CD46D4">
        <w:rPr>
          <w:rFonts w:ascii="Times New Roman" w:hAnsi="Times New Roman" w:cs="Times New Roman"/>
          <w:sz w:val="24"/>
          <w:szCs w:val="24"/>
        </w:rPr>
        <w:t>III</w:t>
      </w:r>
      <w:r w:rsidRPr="00FD6B73">
        <w:rPr>
          <w:rFonts w:ascii="Times New Roman" w:hAnsi="Times New Roman" w:cs="Times New Roman"/>
          <w:sz w:val="24"/>
          <w:szCs w:val="24"/>
          <w:lang w:val="ru-RU"/>
        </w:rPr>
        <w:t xml:space="preserve"> одржано је неколико обука у којима су заједно учествовали припадници </w:t>
      </w:r>
      <w:r w:rsidR="007A1B56">
        <w:rPr>
          <w:rFonts w:ascii="Times New Roman" w:hAnsi="Times New Roman" w:cs="Times New Roman"/>
          <w:sz w:val="24"/>
          <w:szCs w:val="24"/>
          <w:lang w:val="ru-RU"/>
        </w:rPr>
        <w:t>ТРЗ</w:t>
      </w:r>
      <w:r w:rsidRPr="00FD6B73">
        <w:rPr>
          <w:rFonts w:ascii="Times New Roman" w:hAnsi="Times New Roman" w:cs="Times New Roman"/>
          <w:sz w:val="24"/>
          <w:szCs w:val="24"/>
          <w:lang w:val="ru-RU"/>
        </w:rPr>
        <w:t xml:space="preserve"> и Јединице за заштиту</w:t>
      </w:r>
      <w:r w:rsidR="007A1B56">
        <w:rPr>
          <w:rFonts w:ascii="Times New Roman" w:hAnsi="Times New Roman" w:cs="Times New Roman"/>
          <w:sz w:val="24"/>
          <w:szCs w:val="24"/>
          <w:lang w:val="ru-RU"/>
        </w:rPr>
        <w:t xml:space="preserve"> сведока</w:t>
      </w:r>
      <w:r w:rsidRPr="00FD6B73">
        <w:rPr>
          <w:rFonts w:ascii="Times New Roman" w:hAnsi="Times New Roman" w:cs="Times New Roman"/>
          <w:sz w:val="24"/>
          <w:szCs w:val="24"/>
          <w:lang w:val="ru-RU"/>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350"/>
      </w:tblGrid>
      <w:tr w:rsidR="00AF1189" w:rsidRPr="00627105" w14:paraId="222A66D4" w14:textId="77777777" w:rsidTr="00AF1189">
        <w:tc>
          <w:tcPr>
            <w:tcW w:w="9350" w:type="dxa"/>
            <w:shd w:val="clear" w:color="auto" w:fill="DEEAF6" w:themeFill="accent1" w:themeFillTint="33"/>
          </w:tcPr>
          <w:p w14:paraId="09F54A27" w14:textId="77777777" w:rsidR="00AF1189" w:rsidRPr="00FD6B73" w:rsidRDefault="00AF1189" w:rsidP="00F10AC7">
            <w:pPr>
              <w:spacing w:before="240" w:after="120"/>
              <w:rPr>
                <w:rFonts w:cs="Times New Roman"/>
                <w:lang w:val="ru-RU"/>
              </w:rPr>
            </w:pPr>
            <w:r w:rsidRPr="00FD6B73">
              <w:rPr>
                <w:rFonts w:cs="Times New Roman"/>
                <w:lang w:val="ru-RU"/>
              </w:rPr>
              <w:t xml:space="preserve">Када је реч о ванпроцесној заштити сведока, и поред изостанка очекиваног напретка у погледу унапређења нормативног оквира који уређује овај вид заштите сведока, учињени су значајни напори у процесу јачања институционалних и административних капацитета Јединице. Имајући у виду наведено, неопходно је новим стратешким </w:t>
            </w:r>
            <w:r w:rsidRPr="00FD6B73">
              <w:rPr>
                <w:rFonts w:cs="Times New Roman"/>
                <w:lang w:val="ru-RU"/>
              </w:rPr>
              <w:lastRenderedPageBreak/>
              <w:t>документом предвидети мултисекторски приступ припреми неопходних подзаконских аката који би уредили процес издавања исправа у вези са променом идентитета, а на бази најбоље праксе досадашње сарадње надлежних институција.</w:t>
            </w:r>
          </w:p>
        </w:tc>
      </w:tr>
    </w:tbl>
    <w:p w14:paraId="4FB79062" w14:textId="49B694D1" w:rsidR="00AF1189" w:rsidRPr="00FD6B73" w:rsidRDefault="00145E32" w:rsidP="00F10AC7">
      <w:pPr>
        <w:spacing w:before="240" w:after="0" w:line="240" w:lineRule="auto"/>
        <w:rPr>
          <w:rFonts w:cs="Times New Roman"/>
          <w:lang w:val="ru-RU"/>
        </w:rPr>
      </w:pPr>
      <w:r w:rsidRPr="00FD6B73">
        <w:rPr>
          <w:rFonts w:cs="Times New Roman"/>
          <w:color w:val="000000" w:themeColor="text1"/>
          <w:lang w:val="ru-RU"/>
        </w:rPr>
        <w:lastRenderedPageBreak/>
        <w:t>Стратегијом</w:t>
      </w:r>
      <w:r w:rsidR="00AF1189" w:rsidRPr="00FD6B73">
        <w:rPr>
          <w:rFonts w:cs="Times New Roman"/>
          <w:color w:val="000000" w:themeColor="text1"/>
          <w:lang w:val="ru-RU"/>
        </w:rPr>
        <w:t xml:space="preserve"> је </w:t>
      </w:r>
      <w:r w:rsidRPr="00FD6B73">
        <w:rPr>
          <w:rFonts w:cs="Times New Roman"/>
          <w:color w:val="000000" w:themeColor="text1"/>
          <w:lang w:val="ru-RU"/>
        </w:rPr>
        <w:t>предвиђена и</w:t>
      </w:r>
      <w:r w:rsidR="00AF1189" w:rsidRPr="00FD6B73">
        <w:rPr>
          <w:rFonts w:cs="Times New Roman"/>
          <w:color w:val="000000" w:themeColor="text1"/>
          <w:lang w:val="ru-RU"/>
        </w:rPr>
        <w:t xml:space="preserve"> потреб</w:t>
      </w:r>
      <w:r w:rsidRPr="00FD6B73">
        <w:rPr>
          <w:rFonts w:cs="Times New Roman"/>
          <w:color w:val="000000" w:themeColor="text1"/>
          <w:lang w:val="ru-RU"/>
        </w:rPr>
        <w:t>а</w:t>
      </w:r>
      <w:r w:rsidR="00AF1189" w:rsidRPr="00FD6B73">
        <w:rPr>
          <w:rFonts w:cs="Times New Roman"/>
          <w:color w:val="000000" w:themeColor="text1"/>
          <w:lang w:val="ru-RU"/>
        </w:rPr>
        <w:t xml:space="preserve"> доследније примене </w:t>
      </w:r>
      <w:r w:rsidR="00AF1189" w:rsidRPr="007A1B56">
        <w:rPr>
          <w:rFonts w:cs="Times New Roman"/>
          <w:bCs/>
          <w:lang w:val="ru-RU"/>
        </w:rPr>
        <w:t>мера процесне заштите оштећених и сведока</w:t>
      </w:r>
      <w:r w:rsidR="00AF1189" w:rsidRPr="00FD6B73">
        <w:rPr>
          <w:rFonts w:cs="Times New Roman"/>
          <w:b/>
          <w:bCs/>
          <w:lang w:val="ru-RU"/>
        </w:rPr>
        <w:t xml:space="preserve"> </w:t>
      </w:r>
      <w:r w:rsidR="00AF1189" w:rsidRPr="00FD6B73">
        <w:rPr>
          <w:rFonts w:cs="Times New Roman"/>
          <w:lang w:val="ru-RU"/>
        </w:rPr>
        <w:t xml:space="preserve">у складу са одредбама Законика о кривичном поступку, са акцентом на поштовању процесне дисциплине у смислу заштите оштећених и сведока и последичне реакције надлежног тужиоца, Државног већа тужилаца и надлежне адвокатске коморе. Анализом података достављених од стране Државног већа тужилаца и Адвокатске коморе Србије, закључује се да, у периоду спровођења </w:t>
      </w:r>
      <w:r w:rsidR="007A1B56">
        <w:rPr>
          <w:rFonts w:cs="Times New Roman"/>
          <w:lang w:val="ru-RU"/>
        </w:rPr>
        <w:t>НСПРЗ</w:t>
      </w:r>
      <w:r w:rsidR="00AF1189" w:rsidRPr="00FD6B73">
        <w:rPr>
          <w:rFonts w:cs="Times New Roman"/>
          <w:lang w:val="ru-RU"/>
        </w:rPr>
        <w:t>, није примљена ниједна информација од п</w:t>
      </w:r>
      <w:r w:rsidR="007A1B56">
        <w:rPr>
          <w:rFonts w:cs="Times New Roman"/>
          <w:lang w:val="ru-RU"/>
        </w:rPr>
        <w:t>редседника већа о опомени по члану</w:t>
      </w:r>
      <w:r w:rsidR="00AF1189" w:rsidRPr="00FD6B73">
        <w:rPr>
          <w:rFonts w:cs="Times New Roman"/>
          <w:lang w:val="ru-RU"/>
        </w:rPr>
        <w:t xml:space="preserve"> 374</w:t>
      </w:r>
      <w:r w:rsidR="007A1B56">
        <w:rPr>
          <w:rFonts w:cs="Times New Roman"/>
          <w:lang w:val="ru-RU"/>
        </w:rPr>
        <w:t>.</w:t>
      </w:r>
      <w:r w:rsidR="00AF1189" w:rsidRPr="00FD6B73">
        <w:rPr>
          <w:rFonts w:cs="Times New Roman"/>
          <w:lang w:val="ru-RU"/>
        </w:rPr>
        <w:t xml:space="preserve"> Законика о кривичном поступку, због неблаговременог или неодговарајућег поступања јавног тужиоца или лица које га замењује, а којим се проузрокује одуговлачење поступка, нити је Адвокатској комори Србије достављено обавештење поступајућег председника већа којим је обавестио ову комору о изреченој опомени адвокату због одуговлачења поступка из члана 374. став 3. Законика о кривичном поступку. Овај податак може указивати или на то да је у међувремену унапређен ниво процесне заштите, па за механизмом из члана 374</w:t>
      </w:r>
      <w:r w:rsidR="007A1B56">
        <w:rPr>
          <w:rFonts w:cs="Times New Roman"/>
          <w:lang w:val="ru-RU"/>
        </w:rPr>
        <w:t>. Законика о кривичном поступку</w:t>
      </w:r>
      <w:r w:rsidR="00AF1189" w:rsidRPr="00FD6B73">
        <w:rPr>
          <w:rFonts w:cs="Times New Roman"/>
          <w:lang w:val="ru-RU"/>
        </w:rPr>
        <w:t xml:space="preserve"> није ни било потребе, или да се поменути механизам, упркос постојању потребе, и даље не примењује. Представници институција са којима је, у процесу израде </w:t>
      </w:r>
      <w:r w:rsidR="007A1B56">
        <w:rPr>
          <w:rFonts w:cs="Times New Roman"/>
          <w:lang w:val="ru-RU"/>
        </w:rPr>
        <w:t>а</w:t>
      </w:r>
      <w:r w:rsidR="00AF1189" w:rsidRPr="00FD6B73">
        <w:rPr>
          <w:rFonts w:cs="Times New Roman"/>
          <w:lang w:val="ru-RU"/>
        </w:rPr>
        <w:t>нализе обављен разговор, били су на становишту да случајева кршења процесне дисциплине у посматраном периоду није било.</w:t>
      </w:r>
    </w:p>
    <w:p w14:paraId="502AD060" w14:textId="77777777" w:rsidR="001F4974" w:rsidRPr="00FD6B73" w:rsidRDefault="001F4974" w:rsidP="00F10AC7">
      <w:pPr>
        <w:spacing w:before="240" w:after="0" w:line="240" w:lineRule="auto"/>
        <w:rPr>
          <w:rFonts w:cs="Times New Roman"/>
          <w:lang w:val="ru-RU"/>
        </w:rPr>
      </w:pPr>
    </w:p>
    <w:p w14:paraId="1588C560" w14:textId="77777777" w:rsidR="00AF1189" w:rsidRPr="00CD46D4" w:rsidRDefault="00AF1189" w:rsidP="00F10AC7">
      <w:pPr>
        <w:pStyle w:val="Heading2"/>
        <w:numPr>
          <w:ilvl w:val="1"/>
          <w:numId w:val="1"/>
        </w:numPr>
        <w:spacing w:before="0" w:after="240" w:line="240" w:lineRule="auto"/>
        <w:rPr>
          <w:rFonts w:cs="Times New Roman"/>
        </w:rPr>
      </w:pPr>
      <w:bookmarkStart w:id="29" w:name="_Toc69325786"/>
      <w:bookmarkStart w:id="30" w:name="_Toc72932066"/>
      <w:bookmarkStart w:id="31" w:name="_Toc84580773"/>
      <w:r w:rsidRPr="00CD46D4">
        <w:rPr>
          <w:rStyle w:val="Heading1Char"/>
          <w:rFonts w:cs="Times New Roman"/>
          <w:caps w:val="0"/>
          <w:sz w:val="24"/>
          <w:szCs w:val="26"/>
        </w:rPr>
        <w:t>Подршка сведоцима и жртвама</w:t>
      </w:r>
      <w:bookmarkEnd w:id="29"/>
      <w:bookmarkEnd w:id="30"/>
      <w:bookmarkEnd w:id="31"/>
    </w:p>
    <w:p w14:paraId="3B08A6D4" w14:textId="5C8E5D57" w:rsidR="00AF1189" w:rsidRPr="00FD6B73" w:rsidRDefault="00AF1189" w:rsidP="00F10AC7">
      <w:pPr>
        <w:spacing w:after="120" w:line="240" w:lineRule="auto"/>
        <w:rPr>
          <w:rFonts w:cs="Times New Roman"/>
          <w:lang w:val="ru-RU"/>
        </w:rPr>
      </w:pPr>
      <w:r w:rsidRPr="00FD6B73">
        <w:rPr>
          <w:rFonts w:cs="Times New Roman"/>
          <w:lang w:val="ru-RU"/>
        </w:rPr>
        <w:t xml:space="preserve">Унапређење подршке жртвама, сведоцима и даваоцима информација о ратним злочинима, током кривичног поступка и ван њега, препознато је као један од основних циљева </w:t>
      </w:r>
      <w:r w:rsidR="007A1B56">
        <w:rPr>
          <w:rFonts w:cs="Times New Roman"/>
          <w:lang w:val="ru-RU"/>
        </w:rPr>
        <w:t>НСПРЗ</w:t>
      </w:r>
      <w:r w:rsidRPr="00FD6B73">
        <w:rPr>
          <w:rFonts w:cs="Times New Roman"/>
          <w:lang w:val="ru-RU"/>
        </w:rPr>
        <w:t>, а унапређење ове области сагледано је</w:t>
      </w:r>
      <w:r w:rsidR="002B5935">
        <w:rPr>
          <w:rFonts w:cs="Times New Roman"/>
          <w:lang w:val="ru-RU"/>
        </w:rPr>
        <w:t xml:space="preserve"> </w:t>
      </w:r>
      <w:r w:rsidRPr="00FD6B73">
        <w:rPr>
          <w:rFonts w:cs="Times New Roman"/>
          <w:lang w:val="ru-RU"/>
        </w:rPr>
        <w:t>на два нивоа:</w:t>
      </w:r>
    </w:p>
    <w:p w14:paraId="55F4DA45" w14:textId="77777777" w:rsidR="00AF1189" w:rsidRPr="00FD6B73" w:rsidRDefault="00AF1189" w:rsidP="00F10AC7">
      <w:pPr>
        <w:pStyle w:val="ListParagraph"/>
        <w:numPr>
          <w:ilvl w:val="0"/>
          <w:numId w:val="27"/>
        </w:numPr>
        <w:spacing w:after="120"/>
        <w:rPr>
          <w:rFonts w:cs="Times New Roman"/>
          <w:lang w:val="ru-RU"/>
        </w:rPr>
      </w:pPr>
      <w:r w:rsidRPr="00FD6B73">
        <w:rPr>
          <w:rFonts w:cs="Times New Roman"/>
          <w:lang w:val="ru-RU"/>
        </w:rPr>
        <w:t>кроз опште унапређење положаја жртава и сведока кривичних дела у Републици Србији;</w:t>
      </w:r>
    </w:p>
    <w:p w14:paraId="2D667F4E" w14:textId="77777777" w:rsidR="00AF1189" w:rsidRPr="00FD6B73" w:rsidRDefault="00AF1189" w:rsidP="00F10AC7">
      <w:pPr>
        <w:pStyle w:val="ListParagraph"/>
        <w:numPr>
          <w:ilvl w:val="0"/>
          <w:numId w:val="27"/>
        </w:numPr>
        <w:spacing w:after="120"/>
        <w:rPr>
          <w:rFonts w:cs="Times New Roman"/>
          <w:lang w:val="ru-RU"/>
        </w:rPr>
      </w:pPr>
      <w:r w:rsidRPr="00FD6B73">
        <w:rPr>
          <w:rFonts w:cs="Times New Roman"/>
          <w:lang w:val="ru-RU"/>
        </w:rPr>
        <w:t>кроз посебне мере за унапређење подршке жртвама и сведоцима у поступцима за ратне злочине.</w:t>
      </w:r>
    </w:p>
    <w:p w14:paraId="502E9EF0" w14:textId="2BDE1165"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овом првом сегменту, активности предвиђене </w:t>
      </w:r>
      <w:r w:rsidR="007A1B56">
        <w:rPr>
          <w:rFonts w:cs="Times New Roman"/>
          <w:lang w:val="ru-RU"/>
        </w:rPr>
        <w:t>НСПРЗ</w:t>
      </w:r>
      <w:r w:rsidR="00B9743B" w:rsidRPr="00FD6B73">
        <w:rPr>
          <w:rFonts w:cs="Times New Roman"/>
          <w:lang w:val="ru-RU"/>
        </w:rPr>
        <w:t xml:space="preserve"> </w:t>
      </w:r>
      <w:r w:rsidRPr="00FD6B73">
        <w:rPr>
          <w:rFonts w:cs="Times New Roman"/>
          <w:lang w:val="ru-RU"/>
        </w:rPr>
        <w:t xml:space="preserve">неопходно је </w:t>
      </w:r>
      <w:r w:rsidR="007A1B56">
        <w:rPr>
          <w:rFonts w:cs="Times New Roman"/>
          <w:lang w:val="ru-RU"/>
        </w:rPr>
        <w:t>сагледати</w:t>
      </w:r>
      <w:r w:rsidRPr="00FD6B73">
        <w:rPr>
          <w:rFonts w:cs="Times New Roman"/>
          <w:lang w:val="ru-RU"/>
        </w:rPr>
        <w:t xml:space="preserve"> у контексту активности које је, у овој области, предвиђао Акциони план за Поглавље 23, па су планиране реформе, условно речено, биле груписане у три фазе, пр</w:t>
      </w:r>
      <w:r w:rsidR="007A1B56">
        <w:rPr>
          <w:rFonts w:cs="Times New Roman"/>
          <w:lang w:val="ru-RU"/>
        </w:rPr>
        <w:t>и чему је прва била аналитичка и односи се на</w:t>
      </w:r>
      <w:r w:rsidRPr="00FD6B73">
        <w:rPr>
          <w:rFonts w:cs="Times New Roman"/>
          <w:lang w:val="ru-RU"/>
        </w:rPr>
        <w:t xml:space="preserve"> оцену усклађености националног законодавства са релевантним међународним стандардима, а првенствено Директивом 2012/029/ЕУ</w:t>
      </w:r>
      <w:r w:rsidRPr="00CD46D4">
        <w:rPr>
          <w:rStyle w:val="FootnoteReference"/>
          <w:rFonts w:cs="Times New Roman"/>
        </w:rPr>
        <w:footnoteReference w:id="45"/>
      </w:r>
      <w:r w:rsidR="007A1B56">
        <w:rPr>
          <w:rFonts w:cs="Times New Roman"/>
          <w:lang w:val="ru-RU"/>
        </w:rPr>
        <w:t>; друга се односи на</w:t>
      </w:r>
      <w:r w:rsidRPr="00FD6B73">
        <w:rPr>
          <w:rFonts w:cs="Times New Roman"/>
          <w:lang w:val="ru-RU"/>
        </w:rPr>
        <w:t xml:space="preserve"> усвајање свеобухватног стратешког документа који би системски уредио успостављање </w:t>
      </w:r>
      <w:r w:rsidR="007A1B56">
        <w:rPr>
          <w:rFonts w:cs="Times New Roman"/>
          <w:lang w:val="ru-RU"/>
        </w:rPr>
        <w:t>н</w:t>
      </w:r>
      <w:r w:rsidRPr="00FD6B73">
        <w:rPr>
          <w:rFonts w:cs="Times New Roman"/>
          <w:lang w:val="ru-RU"/>
        </w:rPr>
        <w:t>ационалне мреже служби подршке жртвама, измене релевантног законодавства и доношење неопходних подзаконских аката, док би у трећој фази ова мрежа и била успостављена.</w:t>
      </w:r>
      <w:r w:rsidR="007A1B56">
        <w:rPr>
          <w:rFonts w:cs="Times New Roman"/>
          <w:lang w:val="ru-RU"/>
        </w:rPr>
        <w:t xml:space="preserve"> </w:t>
      </w:r>
    </w:p>
    <w:p w14:paraId="27944198" w14:textId="303793D5" w:rsidR="00AF1189" w:rsidRPr="00FD6B73" w:rsidRDefault="00AF1189" w:rsidP="00F10AC7">
      <w:pPr>
        <w:spacing w:after="120" w:line="240" w:lineRule="auto"/>
        <w:rPr>
          <w:rFonts w:cs="Times New Roman"/>
          <w:lang w:val="ru-RU"/>
        </w:rPr>
      </w:pPr>
      <w:r w:rsidRPr="00FD6B73">
        <w:rPr>
          <w:rFonts w:cs="Times New Roman"/>
          <w:lang w:val="ru-RU"/>
        </w:rPr>
        <w:lastRenderedPageBreak/>
        <w:t xml:space="preserve">Када је реч о степену реализације активности планираних за прву фазу, битно је напоменути да је Министарство правде уз подршку </w:t>
      </w:r>
      <w:r w:rsidRPr="00CD46D4">
        <w:rPr>
          <w:rFonts w:cs="Times New Roman"/>
        </w:rPr>
        <w:t>MDTF</w:t>
      </w:r>
      <w:r w:rsidRPr="00FD6B73">
        <w:rPr>
          <w:rFonts w:cs="Times New Roman"/>
          <w:lang w:val="ru-RU"/>
        </w:rPr>
        <w:t>-</w:t>
      </w:r>
      <w:r w:rsidRPr="00CD46D4">
        <w:rPr>
          <w:rFonts w:cs="Times New Roman"/>
        </w:rPr>
        <w:t>JSS</w:t>
      </w:r>
      <w:r w:rsidRPr="00FD6B73">
        <w:rPr>
          <w:rFonts w:cs="Times New Roman"/>
          <w:lang w:val="ru-RU"/>
        </w:rPr>
        <w:t xml:space="preserve"> пројекта, као и Миси</w:t>
      </w:r>
      <w:r w:rsidR="007A1B56">
        <w:rPr>
          <w:rFonts w:cs="Times New Roman"/>
          <w:lang w:val="ru-RU"/>
        </w:rPr>
        <w:t>је ОЕБС</w:t>
      </w:r>
      <w:r w:rsidRPr="00FD6B73">
        <w:rPr>
          <w:rFonts w:cs="Times New Roman"/>
          <w:lang w:val="ru-RU"/>
        </w:rPr>
        <w:t xml:space="preserve"> у Републици Србији, спровело свеобухватну анализу усклађености кривичног законодавства са Директивом 2012/029/ЕУ, али и компаративну анализу различитих модела организације служби подршке жртвама у Европи. </w:t>
      </w:r>
    </w:p>
    <w:p w14:paraId="7DA526FA" w14:textId="1164BBC9" w:rsidR="00AF1189" w:rsidRPr="00FD6B73" w:rsidRDefault="00AF1189" w:rsidP="00F10AC7">
      <w:pPr>
        <w:spacing w:after="120" w:line="240" w:lineRule="auto"/>
        <w:rPr>
          <w:rFonts w:cs="Times New Roman"/>
          <w:lang w:val="ru-RU"/>
        </w:rPr>
      </w:pPr>
      <w:r w:rsidRPr="00FD6B73">
        <w:rPr>
          <w:rFonts w:cs="Times New Roman"/>
          <w:lang w:val="ru-RU"/>
        </w:rPr>
        <w:t>На бази ових анализа</w:t>
      </w:r>
      <w:r w:rsidRPr="00CD46D4">
        <w:rPr>
          <w:rStyle w:val="FootnoteReference"/>
          <w:rFonts w:cs="Times New Roman"/>
        </w:rPr>
        <w:footnoteReference w:id="46"/>
      </w:r>
      <w:r w:rsidRPr="00FD6B73">
        <w:rPr>
          <w:rFonts w:cs="Times New Roman"/>
          <w:lang w:val="ru-RU"/>
        </w:rPr>
        <w:t>, као и пилот пројекта раније спро</w:t>
      </w:r>
      <w:r w:rsidR="007A1B56">
        <w:rPr>
          <w:rFonts w:cs="Times New Roman"/>
          <w:lang w:val="ru-RU"/>
        </w:rPr>
        <w:t xml:space="preserve">веденог од стране Мисије ОЕБС </w:t>
      </w:r>
      <w:r w:rsidRPr="00FD6B73">
        <w:rPr>
          <w:rFonts w:cs="Times New Roman"/>
          <w:lang w:val="ru-RU"/>
        </w:rPr>
        <w:t>у Републици Србији и Републичког јавног тужилаштва, у јуну 2018. године започео је рад радне групе за израду Националне стратегије за унапређење положаја жртава и сведока кривичних дела у Републици Србији. Радна група је укључила представнике свих релевантних институција, академске заједнице и цивилног друштва, а њен рад је био подржан од стране ИПА 2016 Пројекта „Подршка жртвама и сведоцима у Републици Србији</w:t>
      </w:r>
      <w:r w:rsidR="00586C7D">
        <w:rPr>
          <w:rFonts w:cs="Times New Roman"/>
          <w:lang w:val="ru-RU"/>
        </w:rPr>
        <w:t>ˮ</w:t>
      </w:r>
      <w:r w:rsidR="007A1B56">
        <w:rPr>
          <w:rFonts w:cs="Times New Roman"/>
          <w:lang w:val="ru-RU"/>
        </w:rPr>
        <w:t xml:space="preserve"> који спроводи Мисија ОЕБС</w:t>
      </w:r>
      <w:r w:rsidRPr="00FD6B73">
        <w:rPr>
          <w:rFonts w:cs="Times New Roman"/>
          <w:lang w:val="ru-RU"/>
        </w:rPr>
        <w:t xml:space="preserve"> у Републици Србији.</w:t>
      </w:r>
      <w:r w:rsidRPr="00CD46D4">
        <w:rPr>
          <w:rStyle w:val="FootnoteReference"/>
          <w:rFonts w:cs="Times New Roman"/>
        </w:rPr>
        <w:footnoteReference w:id="47"/>
      </w:r>
      <w:r w:rsidRPr="00FD6B73">
        <w:rPr>
          <w:rFonts w:cs="Times New Roman"/>
          <w:lang w:val="ru-RU"/>
        </w:rPr>
        <w:t xml:space="preserve"> Након две године рада </w:t>
      </w:r>
      <w:r w:rsidR="007A1B56">
        <w:rPr>
          <w:rFonts w:cs="Times New Roman"/>
          <w:lang w:val="ru-RU"/>
        </w:rPr>
        <w:t>р</w:t>
      </w:r>
      <w:r w:rsidRPr="00FD6B73">
        <w:rPr>
          <w:rFonts w:cs="Times New Roman"/>
          <w:lang w:val="ru-RU"/>
        </w:rPr>
        <w:t xml:space="preserve">адне групе и неколико кругова консултативног процеса и јавне расправе, Влада Републике Србије је у августу 2020. године усвојила Националну стратегију за остваривање </w:t>
      </w:r>
      <w:r w:rsidR="0049322D" w:rsidRPr="00FD6B73">
        <w:rPr>
          <w:rFonts w:cs="Times New Roman"/>
          <w:lang w:val="ru-RU"/>
        </w:rPr>
        <w:t>права</w:t>
      </w:r>
      <w:r w:rsidRPr="00FD6B73">
        <w:rPr>
          <w:rFonts w:cs="Times New Roman"/>
          <w:lang w:val="ru-RU"/>
        </w:rPr>
        <w:t xml:space="preserve"> жртава и сведока кривичних дела у Републици Србији за период</w:t>
      </w:r>
      <w:r w:rsidR="00464831" w:rsidRPr="00FD6B73">
        <w:rPr>
          <w:rFonts w:cs="Times New Roman"/>
          <w:lang w:val="ru-RU"/>
        </w:rPr>
        <w:t xml:space="preserve"> од 2020</w:t>
      </w:r>
      <w:r w:rsidRPr="00FD6B73">
        <w:rPr>
          <w:rFonts w:cs="Times New Roman"/>
          <w:lang w:val="ru-RU"/>
        </w:rPr>
        <w:t xml:space="preserve">-2025. године са пратећим Акционим планом за период 2020-2022. године (у даљем тексту: Стратегија за жртве). </w:t>
      </w:r>
    </w:p>
    <w:p w14:paraId="43D53EF4" w14:textId="7CBAEEAE" w:rsidR="00AF1189" w:rsidRPr="00FD6B73" w:rsidRDefault="00AF1189" w:rsidP="00F10AC7">
      <w:pPr>
        <w:spacing w:after="120" w:line="240" w:lineRule="auto"/>
        <w:rPr>
          <w:rFonts w:cs="Times New Roman"/>
          <w:lang w:val="ru-RU"/>
        </w:rPr>
      </w:pPr>
      <w:r w:rsidRPr="00FD6B73">
        <w:rPr>
          <w:rFonts w:cs="Times New Roman"/>
          <w:lang w:val="ru-RU"/>
        </w:rPr>
        <w:t>Осим што је системски обрадила најзначајнија права у складу са Директивом 2012/029/ЕУ и трасирала пут законодавних измена и институционализације подршке и помоћи оштећеним</w:t>
      </w:r>
      <w:r w:rsidR="008E0E66" w:rsidRPr="00FD6B73">
        <w:rPr>
          <w:rFonts w:cs="Times New Roman"/>
          <w:lang w:val="ru-RU"/>
        </w:rPr>
        <w:t xml:space="preserve">а и сведоцима, </w:t>
      </w:r>
      <w:r w:rsidR="007A1B56">
        <w:rPr>
          <w:rFonts w:cs="Times New Roman"/>
          <w:color w:val="000000" w:themeColor="text1"/>
          <w:lang w:val="ru-RU"/>
        </w:rPr>
        <w:t>Стратегијом за жртве</w:t>
      </w:r>
      <w:r w:rsidR="008E0E66" w:rsidRPr="00FD6B73">
        <w:rPr>
          <w:rFonts w:cs="Times New Roman"/>
          <w:color w:val="000000" w:themeColor="text1"/>
          <w:lang w:val="ru-RU"/>
        </w:rPr>
        <w:t xml:space="preserve"> су препознате</w:t>
      </w:r>
      <w:r w:rsidRPr="00FD6B73">
        <w:rPr>
          <w:rFonts w:cs="Times New Roman"/>
          <w:color w:val="000000" w:themeColor="text1"/>
          <w:lang w:val="ru-RU"/>
        </w:rPr>
        <w:t xml:space="preserve"> и жртве ратних злочина </w:t>
      </w:r>
      <w:r w:rsidR="008E0E66" w:rsidRPr="00FD6B73">
        <w:rPr>
          <w:rFonts w:cs="Times New Roman"/>
          <w:color w:val="000000" w:themeColor="text1"/>
          <w:lang w:val="ru-RU"/>
        </w:rPr>
        <w:t>као нарочито осетљива категорија</w:t>
      </w:r>
      <w:r w:rsidRPr="00FD6B73">
        <w:rPr>
          <w:rFonts w:cs="Times New Roman"/>
          <w:color w:val="000000" w:themeColor="text1"/>
          <w:lang w:val="ru-RU"/>
        </w:rPr>
        <w:t xml:space="preserve"> жртава. </w:t>
      </w:r>
      <w:r w:rsidRPr="00FD6B73">
        <w:rPr>
          <w:rFonts w:cs="Times New Roman"/>
          <w:lang w:val="ru-RU"/>
        </w:rPr>
        <w:t xml:space="preserve">У складу са тим, овим стратешким документом је препозната неопходност </w:t>
      </w:r>
      <w:r w:rsidRPr="007A1B56">
        <w:rPr>
          <w:rFonts w:cs="Times New Roman"/>
          <w:bCs/>
          <w:lang w:val="ru-RU"/>
        </w:rPr>
        <w:t xml:space="preserve">посебног третмана </w:t>
      </w:r>
      <w:r w:rsidRPr="007A1B56">
        <w:rPr>
          <w:rFonts w:cs="Times New Roman"/>
          <w:bCs/>
          <w:color w:val="000000"/>
          <w:lang w:val="ru-RU"/>
        </w:rPr>
        <w:t>„Службе за информисање и подршку оштећенима и сведоцима”</w:t>
      </w:r>
      <w:r w:rsidRPr="00FD6B73">
        <w:rPr>
          <w:rFonts w:cs="Times New Roman"/>
          <w:color w:val="000000"/>
          <w:lang w:val="ru-RU"/>
        </w:rPr>
        <w:t xml:space="preserve">, која је у складу са Општим обавезним упутством Републичког јавног тужиоца од 5. децембра 2016. године, формирана у ТРЗ-у 3. априла 2017. године. Начин поступања </w:t>
      </w:r>
      <w:r w:rsidR="00E83EAB">
        <w:rPr>
          <w:rFonts w:cs="Times New Roman"/>
          <w:color w:val="000000"/>
          <w:lang w:val="ru-RU"/>
        </w:rPr>
        <w:t>ове с</w:t>
      </w:r>
      <w:r w:rsidRPr="00FD6B73">
        <w:rPr>
          <w:rFonts w:cs="Times New Roman"/>
          <w:color w:val="000000"/>
          <w:lang w:val="ru-RU"/>
        </w:rPr>
        <w:t xml:space="preserve">лужбе, циљеви, начела рада и лица одговорна за функционисање службе, уређени су Правилником о раду </w:t>
      </w:r>
      <w:r w:rsidR="00E83EAB">
        <w:rPr>
          <w:rFonts w:cs="Times New Roman"/>
          <w:color w:val="000000"/>
          <w:lang w:val="ru-RU"/>
        </w:rPr>
        <w:t>ове с</w:t>
      </w:r>
      <w:r w:rsidRPr="00FD6B73">
        <w:rPr>
          <w:rFonts w:cs="Times New Roman"/>
          <w:color w:val="000000"/>
          <w:lang w:val="ru-RU"/>
        </w:rPr>
        <w:t xml:space="preserve">лужбе, који је донет 29. марта 2017. године. </w:t>
      </w:r>
      <w:r w:rsidRPr="00FD6B73">
        <w:rPr>
          <w:rFonts w:cs="Times New Roman"/>
          <w:lang w:val="ru-RU"/>
        </w:rPr>
        <w:t xml:space="preserve">Помоћ и подршку оштећенима и сведоцима при </w:t>
      </w:r>
      <w:r w:rsidR="00E83EAB">
        <w:rPr>
          <w:rFonts w:cs="Times New Roman"/>
          <w:lang w:val="ru-RU"/>
        </w:rPr>
        <w:t xml:space="preserve">ТРЗ </w:t>
      </w:r>
      <w:r w:rsidRPr="00FD6B73">
        <w:rPr>
          <w:rFonts w:cs="Times New Roman"/>
          <w:lang w:val="ru-RU"/>
        </w:rPr>
        <w:t>пружа Служба за информисање и подршку оштеће</w:t>
      </w:r>
      <w:r w:rsidR="00E83EAB">
        <w:rPr>
          <w:rFonts w:cs="Times New Roman"/>
          <w:lang w:val="ru-RU"/>
        </w:rPr>
        <w:t xml:space="preserve">нима и сведоцима која је образована 3. априла </w:t>
      </w:r>
      <w:r w:rsidRPr="00FD6B73">
        <w:rPr>
          <w:rFonts w:cs="Times New Roman"/>
          <w:lang w:val="ru-RU"/>
        </w:rPr>
        <w:t xml:space="preserve">2017. године. У тој Служби тренутно је ангажовано </w:t>
      </w:r>
      <w:r w:rsidR="00E83EAB">
        <w:rPr>
          <w:rFonts w:cs="Times New Roman"/>
          <w:lang w:val="ru-RU"/>
        </w:rPr>
        <w:t>десет</w:t>
      </w:r>
      <w:r w:rsidRPr="00FD6B73">
        <w:rPr>
          <w:rFonts w:cs="Times New Roman"/>
          <w:lang w:val="ru-RU"/>
        </w:rPr>
        <w:t xml:space="preserve"> лица (</w:t>
      </w:r>
      <w:r w:rsidR="00E83EAB">
        <w:rPr>
          <w:rFonts w:cs="Times New Roman"/>
          <w:lang w:val="ru-RU"/>
        </w:rPr>
        <w:t>три заменика тужиоца, пет</w:t>
      </w:r>
      <w:r w:rsidRPr="00FD6B73">
        <w:rPr>
          <w:rFonts w:cs="Times New Roman"/>
          <w:lang w:val="ru-RU"/>
        </w:rPr>
        <w:t xml:space="preserve"> тужилачких помоћника, истражитељ и секретар)</w:t>
      </w:r>
      <w:r w:rsidR="00E83EAB">
        <w:rPr>
          <w:rFonts w:cs="Times New Roman"/>
          <w:lang w:val="ru-RU"/>
        </w:rPr>
        <w:t>, н</w:t>
      </w:r>
      <w:r w:rsidRPr="00FD6B73">
        <w:rPr>
          <w:rFonts w:cs="Times New Roman"/>
          <w:lang w:val="ru-RU"/>
        </w:rPr>
        <w:t>акон одлуке ту</w:t>
      </w:r>
      <w:r w:rsidR="00E83EAB">
        <w:rPr>
          <w:rFonts w:cs="Times New Roman"/>
          <w:lang w:val="ru-RU"/>
        </w:rPr>
        <w:t xml:space="preserve">жиоца за ратне злочине од 27. септембра </w:t>
      </w:r>
      <w:r w:rsidRPr="00FD6B73">
        <w:rPr>
          <w:rFonts w:cs="Times New Roman"/>
          <w:lang w:val="ru-RU"/>
        </w:rPr>
        <w:t xml:space="preserve">2019. године да унапреди и ојача капацитете </w:t>
      </w:r>
      <w:r w:rsidR="00E83EAB">
        <w:rPr>
          <w:rFonts w:cs="Times New Roman"/>
          <w:lang w:val="ru-RU"/>
        </w:rPr>
        <w:t>ове службе</w:t>
      </w:r>
      <w:r w:rsidRPr="00FD6B73">
        <w:rPr>
          <w:rFonts w:cs="Times New Roman"/>
          <w:lang w:val="ru-RU"/>
        </w:rPr>
        <w:t xml:space="preserve"> која поступа са примарним задатком да се обезбеди психолошка и логистичка помоћ и подршка сведоцима, као и да им се омогући да што лакше и ефикасније приступе суду или другом органу поступка. Такође, ради пружања помоћи жртвама у јануару месецу 2021. године ангажован је и психолог у </w:t>
      </w:r>
      <w:r w:rsidR="00E83EAB">
        <w:rPr>
          <w:rFonts w:cs="Times New Roman"/>
          <w:lang w:val="ru-RU"/>
        </w:rPr>
        <w:t>ТРЗ</w:t>
      </w:r>
      <w:r w:rsidRPr="00FD6B73">
        <w:rPr>
          <w:rFonts w:cs="Times New Roman"/>
          <w:lang w:val="ru-RU"/>
        </w:rPr>
        <w:t>.</w:t>
      </w:r>
      <w:r w:rsidRPr="00FD6B73">
        <w:rPr>
          <w:rFonts w:cs="Times New Roman"/>
          <w:color w:val="000000"/>
          <w:lang w:val="ru-RU"/>
        </w:rPr>
        <w:t xml:space="preserve"> Тиме је, заједно са </w:t>
      </w:r>
      <w:r w:rsidRPr="00FD6B73">
        <w:rPr>
          <w:rFonts w:cs="Times New Roman"/>
          <w:bCs/>
          <w:lang w:val="ru-RU"/>
        </w:rPr>
        <w:t xml:space="preserve">Службом за помоћ и подршку оштећеним и сведоцима Вишег суда у Београду формирана целина која омогућава континуитет подршке и помоћи кроз све фазе поступка. Руководећи се тиме, Стратегијом </w:t>
      </w:r>
      <w:r w:rsidR="00E83EAB">
        <w:rPr>
          <w:rFonts w:cs="Times New Roman"/>
          <w:bCs/>
          <w:lang w:val="ru-RU"/>
        </w:rPr>
        <w:t>за жртве</w:t>
      </w:r>
      <w:r w:rsidRPr="00FD6B73">
        <w:rPr>
          <w:rFonts w:cs="Times New Roman"/>
          <w:bCs/>
          <w:lang w:val="ru-RU"/>
        </w:rPr>
        <w:t xml:space="preserve"> је предвиђено да Служба</w:t>
      </w:r>
      <w:r w:rsidR="00E83EAB">
        <w:rPr>
          <w:rFonts w:cs="Times New Roman"/>
          <w:bCs/>
          <w:lang w:val="ru-RU"/>
        </w:rPr>
        <w:t xml:space="preserve"> </w:t>
      </w:r>
      <w:r w:rsidR="00E83EAB" w:rsidRPr="007A1B56">
        <w:rPr>
          <w:rFonts w:cs="Times New Roman"/>
          <w:bCs/>
          <w:color w:val="000000"/>
          <w:lang w:val="ru-RU"/>
        </w:rPr>
        <w:t>за информисање и подршку оштећенима и сведоцима</w:t>
      </w:r>
      <w:r w:rsidRPr="00FD6B73">
        <w:rPr>
          <w:rFonts w:cs="Times New Roman"/>
          <w:bCs/>
          <w:lang w:val="ru-RU"/>
        </w:rPr>
        <w:t xml:space="preserve"> при ТРЗ буде уједно и једина служба која ће</w:t>
      </w:r>
      <w:r w:rsidR="00E83EAB">
        <w:rPr>
          <w:rFonts w:cs="Times New Roman"/>
          <w:bCs/>
          <w:lang w:val="ru-RU"/>
        </w:rPr>
        <w:t xml:space="preserve"> </w:t>
      </w:r>
      <w:r w:rsidRPr="00FD6B73">
        <w:rPr>
          <w:rFonts w:cs="Times New Roman"/>
          <w:bCs/>
          <w:lang w:val="ru-RU"/>
        </w:rPr>
        <w:t>функционисати при тужилаштву, док ће све остале бити при вишим судовима. Истовремено је планиран и низ мера за унапређење рада ове две, раније основане службе, паралелно са оснивањем 25 нових, при свим вишим судовима у Републици Србији.</w:t>
      </w:r>
      <w:r w:rsidR="00E83EAB">
        <w:rPr>
          <w:rFonts w:cs="Times New Roman"/>
          <w:bCs/>
          <w:lang w:val="ru-RU"/>
        </w:rPr>
        <w:t xml:space="preserve"> </w:t>
      </w:r>
    </w:p>
    <w:p w14:paraId="66DCF37A" w14:textId="6E0C0025" w:rsidR="00C52A89" w:rsidRPr="00FD6B73" w:rsidRDefault="00F7481C" w:rsidP="00C52A89">
      <w:pPr>
        <w:spacing w:after="120" w:line="240" w:lineRule="auto"/>
        <w:rPr>
          <w:rFonts w:cs="Times New Roman"/>
          <w:bCs/>
          <w:lang w:val="ru-RU"/>
        </w:rPr>
      </w:pPr>
      <w:r w:rsidRPr="00FD6B73">
        <w:rPr>
          <w:rFonts w:cs="Times New Roman"/>
          <w:bCs/>
          <w:lang w:val="ru-RU"/>
        </w:rPr>
        <w:lastRenderedPageBreak/>
        <w:t>Након усвајања Стратегије за жртве</w:t>
      </w:r>
      <w:r w:rsidRPr="00FD6B73">
        <w:rPr>
          <w:rStyle w:val="FootnoteReference"/>
          <w:rFonts w:cs="Times New Roman"/>
          <w:bCs/>
        </w:rPr>
        <w:footnoteReference w:id="48"/>
      </w:r>
      <w:r w:rsidRPr="00FD6B73">
        <w:rPr>
          <w:rFonts w:cs="Times New Roman"/>
          <w:bCs/>
          <w:lang w:val="ru-RU"/>
        </w:rPr>
        <w:t xml:space="preserve">, иако су две експертске групе припремиле радни текст измена целокупног кривичног и правосудно - организационог законодавства, нису формиране радне групе Министарства правде које би израдиле нацрте измена закона. Такође, није било обука у области права жртава, након што је 2019. године спроведена процена потреба за обукама, а у фебруару 2020. одржан тренинг за тренере, што је узроковано ситуацијом изазваном пандемијом вируса </w:t>
      </w:r>
      <w:r w:rsidRPr="00FD6B73">
        <w:rPr>
          <w:rFonts w:cs="Times New Roman"/>
          <w:bCs/>
        </w:rPr>
        <w:t>COVID</w:t>
      </w:r>
      <w:r w:rsidR="006C0827">
        <w:rPr>
          <w:rFonts w:cs="Times New Roman"/>
          <w:bCs/>
        </w:rPr>
        <w:t xml:space="preserve"> -</w:t>
      </w:r>
      <w:r w:rsidRPr="00FD6B73">
        <w:rPr>
          <w:rFonts w:cs="Times New Roman"/>
          <w:bCs/>
          <w:lang w:val="ru-RU"/>
        </w:rPr>
        <w:t xml:space="preserve"> 19.</w:t>
      </w:r>
    </w:p>
    <w:p w14:paraId="45756B2F" w14:textId="3F7F9DA3" w:rsidR="00AF1189" w:rsidRPr="00FD6B73" w:rsidRDefault="00AF1189" w:rsidP="00F10AC7">
      <w:pPr>
        <w:shd w:val="clear" w:color="auto" w:fill="FFFFFF"/>
        <w:spacing w:after="120" w:line="240" w:lineRule="auto"/>
        <w:rPr>
          <w:rFonts w:cs="Times New Roman"/>
          <w:color w:val="000000"/>
          <w:lang w:val="ru-RU"/>
        </w:rPr>
      </w:pPr>
      <w:r w:rsidRPr="00FD6B73">
        <w:rPr>
          <w:rFonts w:cs="Times New Roman"/>
          <w:bCs/>
          <w:lang w:val="ru-RU"/>
        </w:rPr>
        <w:t xml:space="preserve">Истовремено, иако је потреба јачања капацитета </w:t>
      </w:r>
      <w:r w:rsidRPr="00FD6B73">
        <w:rPr>
          <w:rFonts w:cs="Times New Roman"/>
          <w:color w:val="000000"/>
          <w:lang w:val="ru-RU"/>
        </w:rPr>
        <w:t>Службе за помоћ и подршку оштећенима и сведоцима Ви</w:t>
      </w:r>
      <w:r w:rsidR="00E83EAB">
        <w:rPr>
          <w:rFonts w:cs="Times New Roman"/>
          <w:color w:val="000000"/>
          <w:lang w:val="ru-RU"/>
        </w:rPr>
        <w:t>шег суда у Београду препозната у</w:t>
      </w:r>
      <w:r w:rsidRPr="00FD6B73">
        <w:rPr>
          <w:rFonts w:cs="Times New Roman"/>
          <w:color w:val="000000"/>
          <w:lang w:val="ru-RU"/>
        </w:rPr>
        <w:t xml:space="preserve"> </w:t>
      </w:r>
      <w:r w:rsidR="00E83EAB">
        <w:rPr>
          <w:rFonts w:cs="Times New Roman"/>
          <w:color w:val="000000"/>
          <w:lang w:val="ru-RU"/>
        </w:rPr>
        <w:t>НСПРЗ</w:t>
      </w:r>
      <w:r w:rsidRPr="00FD6B73">
        <w:rPr>
          <w:rFonts w:cs="Times New Roman"/>
          <w:color w:val="000000"/>
          <w:lang w:val="ru-RU"/>
        </w:rPr>
        <w:t xml:space="preserve"> и упркос ч</w:t>
      </w:r>
      <w:r w:rsidR="00E83EAB">
        <w:rPr>
          <w:rFonts w:cs="Times New Roman"/>
          <w:color w:val="000000"/>
          <w:lang w:val="ru-RU"/>
        </w:rPr>
        <w:t xml:space="preserve">ињеници да је у периоду од 2016. до </w:t>
      </w:r>
      <w:r w:rsidRPr="00FD6B73">
        <w:rPr>
          <w:rFonts w:cs="Times New Roman"/>
          <w:color w:val="000000"/>
          <w:lang w:val="ru-RU"/>
        </w:rPr>
        <w:t>2020. године пружала подршку и помоћ у предметима Одељења за ратне злочине за укупно 1463 сведока, од којих је 200 сведока имало статус оштећених, и даље нису уочени значајнији помаци на јачању капацитета ове службе.</w:t>
      </w:r>
    </w:p>
    <w:p w14:paraId="449DB813" w14:textId="4E7F4766" w:rsidR="00AF1189" w:rsidRPr="00FD6B73" w:rsidRDefault="00AF1189" w:rsidP="00F10AC7">
      <w:pPr>
        <w:shd w:val="clear" w:color="auto" w:fill="FFFFFF"/>
        <w:spacing w:after="120" w:line="240" w:lineRule="auto"/>
        <w:rPr>
          <w:rFonts w:cs="Times New Roman"/>
          <w:color w:val="000000"/>
          <w:lang w:val="ru-RU"/>
        </w:rPr>
      </w:pPr>
      <w:r w:rsidRPr="00E83EAB">
        <w:rPr>
          <w:rFonts w:cs="Times New Roman"/>
          <w:bCs/>
          <w:color w:val="000000"/>
          <w:lang w:val="ru-RU"/>
        </w:rPr>
        <w:t>Просторије за сведоке</w:t>
      </w:r>
      <w:r w:rsidRPr="00FD6B73">
        <w:rPr>
          <w:rFonts w:cs="Times New Roman"/>
          <w:color w:val="000000"/>
          <w:lang w:val="ru-RU"/>
        </w:rPr>
        <w:t xml:space="preserve"> у згради у </w:t>
      </w:r>
      <w:r w:rsidR="00E83EAB">
        <w:rPr>
          <w:rFonts w:cs="Times New Roman"/>
          <w:color w:val="000000"/>
          <w:lang w:val="ru-RU"/>
        </w:rPr>
        <w:t>Београду, Устаничка</w:t>
      </w:r>
      <w:r w:rsidRPr="00FD6B73">
        <w:rPr>
          <w:rFonts w:cs="Times New Roman"/>
          <w:color w:val="000000"/>
          <w:lang w:val="ru-RU"/>
        </w:rPr>
        <w:t xml:space="preserve"> 29</w:t>
      </w:r>
      <w:r w:rsidR="00E83EAB">
        <w:rPr>
          <w:rFonts w:cs="Times New Roman"/>
          <w:color w:val="000000"/>
          <w:lang w:val="ru-RU"/>
        </w:rPr>
        <w:t>,</w:t>
      </w:r>
      <w:r w:rsidRPr="00FD6B73">
        <w:rPr>
          <w:rFonts w:cs="Times New Roman"/>
          <w:color w:val="000000"/>
          <w:lang w:val="ru-RU"/>
        </w:rPr>
        <w:t xml:space="preserve"> опремљене су још 2006. године и неопходна им је адаптација и поновно опремање, нарочито имајући у виду број лица која су, као сведоци и оштећени, користила услуге службе, како из предмета ратних злочина, тако и из предмета организованог криминала. Опрема за видео конференцијске везе је застарела и инсталирана је пре 17 година, што ствара потешкоће приликом испитивања сведока које се огледају у честом прекидању везе и знатно дужем трајању испитивања сведока, од онога које је неопходно, као и прекидања тока мисли сведока и оштећених током давања исказа. Ни пет година након усвајања </w:t>
      </w:r>
      <w:r w:rsidR="00B9743B" w:rsidRPr="00FD6B73">
        <w:rPr>
          <w:rFonts w:eastAsiaTheme="majorEastAsia" w:cs="Times New Roman"/>
          <w:lang w:val="ru-RU"/>
        </w:rPr>
        <w:t>НСПРЗ</w:t>
      </w:r>
      <w:r w:rsidRPr="00FD6B73">
        <w:rPr>
          <w:rFonts w:cs="Times New Roman"/>
          <w:color w:val="000000"/>
          <w:lang w:val="ru-RU"/>
        </w:rPr>
        <w:t>, још увек није обезбеђено одобрење у Систематизацији радних места за запослење стручњака из области психо социјалне заштите у Служби за помоћ и подршку оштећенима и сведоцима.</w:t>
      </w:r>
    </w:p>
    <w:p w14:paraId="71AB8E1C" w14:textId="61A5430E" w:rsidR="00AF1189" w:rsidRPr="00FD6B73" w:rsidRDefault="00AF1189" w:rsidP="00F10AC7">
      <w:pPr>
        <w:spacing w:after="120" w:line="240" w:lineRule="auto"/>
        <w:rPr>
          <w:rFonts w:cs="Times New Roman"/>
          <w:lang w:val="ru-RU"/>
        </w:rPr>
      </w:pPr>
      <w:r w:rsidRPr="00FD6B73">
        <w:rPr>
          <w:rFonts w:cs="Times New Roman"/>
          <w:bCs/>
          <w:lang w:val="ru-RU"/>
        </w:rPr>
        <w:t xml:space="preserve">Озбиљна кашњења постоје и у погледу </w:t>
      </w:r>
      <w:r w:rsidRPr="00E83EAB">
        <w:rPr>
          <w:rFonts w:cs="Times New Roman"/>
          <w:lang w:val="ru-RU"/>
        </w:rPr>
        <w:t>јачања капацитета служби подршке при ТРЗ и Вишем суду</w:t>
      </w:r>
      <w:r w:rsidRPr="00E83EAB">
        <w:rPr>
          <w:rFonts w:cs="Times New Roman"/>
          <w:bCs/>
          <w:lang w:val="ru-RU"/>
        </w:rPr>
        <w:t>, будући да служба Више</w:t>
      </w:r>
      <w:r w:rsidRPr="00FD6B73">
        <w:rPr>
          <w:rFonts w:cs="Times New Roman"/>
          <w:bCs/>
          <w:lang w:val="ru-RU"/>
        </w:rPr>
        <w:t xml:space="preserve">г суда у периоду спровођења </w:t>
      </w:r>
      <w:r w:rsidR="00E83EAB">
        <w:rPr>
          <w:rFonts w:cs="Times New Roman"/>
          <w:bCs/>
          <w:lang w:val="ru-RU"/>
        </w:rPr>
        <w:t>НСПРЗ</w:t>
      </w:r>
      <w:r w:rsidRPr="00FD6B73">
        <w:rPr>
          <w:rFonts w:cs="Times New Roman"/>
          <w:bCs/>
          <w:lang w:val="ru-RU"/>
        </w:rPr>
        <w:t>, није добила новозапослене из помагачких струка. Јачање административних капацитета у том сегменту, наступило је у оквиру Јединице за заштиту</w:t>
      </w:r>
      <w:r w:rsidR="00E83EAB">
        <w:rPr>
          <w:rFonts w:cs="Times New Roman"/>
          <w:bCs/>
          <w:lang w:val="ru-RU"/>
        </w:rPr>
        <w:t xml:space="preserve"> сведока</w:t>
      </w:r>
      <w:r w:rsidRPr="00FD6B73">
        <w:rPr>
          <w:rFonts w:cs="Times New Roman"/>
          <w:bCs/>
          <w:lang w:val="ru-RU"/>
        </w:rPr>
        <w:t xml:space="preserve"> </w:t>
      </w:r>
      <w:r w:rsidR="0070172A" w:rsidRPr="00FD6B73">
        <w:rPr>
          <w:rFonts w:cs="Times New Roman"/>
          <w:bCs/>
          <w:lang w:val="ru-RU"/>
        </w:rPr>
        <w:t>и Службе ТРЗ, које</w:t>
      </w:r>
      <w:r w:rsidRPr="00FD6B73">
        <w:rPr>
          <w:rFonts w:cs="Times New Roman"/>
          <w:bCs/>
          <w:lang w:val="ru-RU"/>
        </w:rPr>
        <w:t xml:space="preserve"> су</w:t>
      </w:r>
      <w:r w:rsidR="0070172A" w:rsidRPr="00FD6B73">
        <w:rPr>
          <w:rFonts w:cs="Times New Roman"/>
          <w:bCs/>
          <w:lang w:val="ru-RU"/>
        </w:rPr>
        <w:t xml:space="preserve"> у</w:t>
      </w:r>
      <w:r w:rsidRPr="00FD6B73">
        <w:rPr>
          <w:rFonts w:cs="Times New Roman"/>
          <w:lang w:val="ru-RU"/>
        </w:rPr>
        <w:t xml:space="preserve"> фебруару 2020. и јануару 2021. године, запослиле по једног психолога</w:t>
      </w:r>
      <w:r w:rsidR="00BD1AE5" w:rsidRPr="00FD6B73">
        <w:rPr>
          <w:rFonts w:cs="Times New Roman"/>
          <w:lang w:val="ru-RU"/>
        </w:rPr>
        <w:t xml:space="preserve">, </w:t>
      </w:r>
      <w:r w:rsidRPr="00FD6B73">
        <w:rPr>
          <w:rFonts w:cs="Times New Roman"/>
          <w:lang w:val="ru-RU"/>
        </w:rPr>
        <w:t xml:space="preserve">док је Јединица за заштиту </w:t>
      </w:r>
      <w:r w:rsidR="00E83EAB">
        <w:rPr>
          <w:rFonts w:cs="Times New Roman"/>
          <w:lang w:val="ru-RU"/>
        </w:rPr>
        <w:t xml:space="preserve">сведока </w:t>
      </w:r>
      <w:r w:rsidRPr="00FD6B73">
        <w:rPr>
          <w:rFonts w:cs="Times New Roman"/>
          <w:lang w:val="ru-RU"/>
        </w:rPr>
        <w:t xml:space="preserve">ангажовала и социјалног радника.  </w:t>
      </w:r>
    </w:p>
    <w:p w14:paraId="5D77C6E0" w14:textId="232EFA90" w:rsidR="00AF1189" w:rsidRPr="00FD6B73" w:rsidRDefault="00AF1189" w:rsidP="00F10AC7">
      <w:pPr>
        <w:spacing w:after="120" w:line="240" w:lineRule="auto"/>
        <w:rPr>
          <w:rFonts w:cs="Times New Roman"/>
          <w:color w:val="000000"/>
          <w:lang w:val="ru-RU"/>
        </w:rPr>
      </w:pPr>
      <w:r w:rsidRPr="00FD6B73">
        <w:rPr>
          <w:rFonts w:cs="Times New Roman"/>
          <w:lang w:val="ru-RU"/>
        </w:rPr>
        <w:t xml:space="preserve">За потребе запослених у Служби за помоћ и подршку оштећеним и сведоцима, Виши суд у Београду, </w:t>
      </w:r>
      <w:r w:rsidR="00E83EAB">
        <w:rPr>
          <w:rFonts w:cs="Times New Roman"/>
          <w:lang w:val="ru-RU"/>
        </w:rPr>
        <w:t>ТРЗ</w:t>
      </w:r>
      <w:r w:rsidRPr="00FD6B73">
        <w:rPr>
          <w:rFonts w:cs="Times New Roman"/>
          <w:lang w:val="ru-RU"/>
        </w:rPr>
        <w:t xml:space="preserve"> и Правосудна академија су, уз подршку организовали </w:t>
      </w:r>
      <w:r w:rsidRPr="00E83EAB">
        <w:rPr>
          <w:rFonts w:cs="Times New Roman"/>
          <w:bCs/>
          <w:lang w:val="ru-RU"/>
        </w:rPr>
        <w:t>додатне обуке у области права жртава</w:t>
      </w:r>
      <w:r w:rsidRPr="00FD6B73">
        <w:rPr>
          <w:rFonts w:cs="Times New Roman"/>
          <w:lang w:val="ru-RU"/>
        </w:rPr>
        <w:t xml:space="preserve">, укључујући и следеће теме:  </w:t>
      </w:r>
      <w:r w:rsidRPr="00FD6B73">
        <w:rPr>
          <w:rFonts w:cs="Times New Roman"/>
          <w:color w:val="000000"/>
          <w:lang w:val="ru-RU"/>
        </w:rPr>
        <w:t>„Сексуално насиље у предметима ратних злочина</w:t>
      </w:r>
      <w:r w:rsidR="00E83EAB">
        <w:rPr>
          <w:rFonts w:cs="Times New Roman"/>
          <w:color w:val="000000"/>
          <w:lang w:val="ru-RU"/>
        </w:rPr>
        <w:t xml:space="preserve"> </w:t>
      </w:r>
      <w:r w:rsidRPr="00FD6B73">
        <w:rPr>
          <w:rFonts w:cs="Times New Roman"/>
          <w:color w:val="000000"/>
          <w:lang w:val="ru-RU"/>
        </w:rPr>
        <w:t>-</w:t>
      </w:r>
      <w:r w:rsidR="00E83EAB">
        <w:rPr>
          <w:rFonts w:cs="Times New Roman"/>
          <w:color w:val="000000"/>
          <w:lang w:val="ru-RU"/>
        </w:rPr>
        <w:t xml:space="preserve"> </w:t>
      </w:r>
      <w:r w:rsidRPr="00FD6B73">
        <w:rPr>
          <w:rFonts w:cs="Times New Roman"/>
          <w:color w:val="000000"/>
          <w:lang w:val="ru-RU"/>
        </w:rPr>
        <w:t>судска пракса и поступање са сведоцима и оштећенима</w:t>
      </w:r>
      <w:r w:rsidR="00586C7D">
        <w:rPr>
          <w:rFonts w:cs="Times New Roman"/>
          <w:color w:val="000000"/>
          <w:lang w:val="ru-RU"/>
        </w:rPr>
        <w:t>ˮ</w:t>
      </w:r>
      <w:r w:rsidRPr="00FD6B73">
        <w:rPr>
          <w:rFonts w:cs="Times New Roman"/>
          <w:color w:val="000000"/>
          <w:lang w:val="ru-RU"/>
        </w:rPr>
        <w:t xml:space="preserve">, </w:t>
      </w:r>
      <w:r w:rsidRPr="00FD6B73">
        <w:rPr>
          <w:rFonts w:cs="Times New Roman"/>
          <w:lang w:val="ru-RU"/>
        </w:rPr>
        <w:t>„</w:t>
      </w:r>
      <w:r w:rsidRPr="00FD6B73">
        <w:rPr>
          <w:rFonts w:cs="Times New Roman"/>
          <w:color w:val="000000"/>
          <w:lang w:val="ru-RU"/>
        </w:rPr>
        <w:t>Поступање са сведоцима и оштећенима у предметима ратних злочина</w:t>
      </w:r>
      <w:r w:rsidR="00586C7D">
        <w:rPr>
          <w:rFonts w:cs="Times New Roman"/>
          <w:color w:val="000000"/>
          <w:lang w:val="ru-RU"/>
        </w:rPr>
        <w:t>ˮ</w:t>
      </w:r>
      <w:r w:rsidRPr="00FD6B73">
        <w:rPr>
          <w:rFonts w:cs="Times New Roman"/>
          <w:color w:val="000000"/>
          <w:lang w:val="ru-RU"/>
        </w:rPr>
        <w:t>, „Процесуирање злочина сек</w:t>
      </w:r>
      <w:r w:rsidR="00E32577">
        <w:rPr>
          <w:rFonts w:cs="Times New Roman"/>
          <w:color w:val="000000"/>
          <w:lang w:val="ru-RU"/>
        </w:rPr>
        <w:t>суалног насиља у надлежности МКТ</w:t>
      </w:r>
      <w:r w:rsidRPr="00FD6B73">
        <w:rPr>
          <w:rFonts w:cs="Times New Roman"/>
          <w:color w:val="000000"/>
          <w:lang w:val="ru-RU"/>
        </w:rPr>
        <w:t>Ј</w:t>
      </w:r>
      <w:r w:rsidR="00586C7D">
        <w:rPr>
          <w:rFonts w:cs="Times New Roman"/>
          <w:color w:val="000000"/>
          <w:lang w:val="ru-RU"/>
        </w:rPr>
        <w:t>ˮ</w:t>
      </w:r>
      <w:r w:rsidRPr="00FD6B73">
        <w:rPr>
          <w:rFonts w:cs="Times New Roman"/>
          <w:color w:val="000000"/>
          <w:lang w:val="ru-RU"/>
        </w:rPr>
        <w:t>, а ч</w:t>
      </w:r>
      <w:r w:rsidRPr="00FD6B73">
        <w:rPr>
          <w:rFonts w:cs="Times New Roman"/>
          <w:kern w:val="3"/>
          <w:lang w:val="ru-RU"/>
        </w:rPr>
        <w:t xml:space="preserve">ланови Службе за помоћ и подршку сведоцима и оштећенима при ТРЗ-у редовно су учествовали на стручним скуповима и обукама у области подршке и заштите сведока  у оквиру програма </w:t>
      </w:r>
      <w:r w:rsidRPr="00CD46D4">
        <w:rPr>
          <w:rFonts w:cs="Times New Roman"/>
          <w:kern w:val="3"/>
        </w:rPr>
        <w:t>WINPRO</w:t>
      </w:r>
      <w:r w:rsidRPr="00FD6B73">
        <w:rPr>
          <w:rFonts w:cs="Times New Roman"/>
          <w:kern w:val="3"/>
          <w:lang w:val="ru-RU"/>
        </w:rPr>
        <w:t xml:space="preserve"> </w:t>
      </w:r>
      <w:r w:rsidRPr="00CD46D4">
        <w:rPr>
          <w:rFonts w:cs="Times New Roman"/>
          <w:kern w:val="3"/>
        </w:rPr>
        <w:t>III</w:t>
      </w:r>
      <w:r w:rsidRPr="00FD6B73">
        <w:rPr>
          <w:rFonts w:cs="Times New Roman"/>
          <w:kern w:val="3"/>
          <w:lang w:val="ru-RU"/>
        </w:rPr>
        <w:t xml:space="preserve">  (ИПА 2015).</w:t>
      </w:r>
    </w:p>
    <w:p w14:paraId="57155F35" w14:textId="7DB1EED4" w:rsidR="00AF1189" w:rsidRPr="00FD6B73" w:rsidRDefault="00AF1189" w:rsidP="00F10AC7">
      <w:pPr>
        <w:shd w:val="clear" w:color="auto" w:fill="FFFFFF"/>
        <w:spacing w:after="120" w:line="240" w:lineRule="auto"/>
        <w:rPr>
          <w:rFonts w:cs="Times New Roman"/>
          <w:color w:val="000000"/>
          <w:lang w:val="ru-RU"/>
        </w:rPr>
      </w:pPr>
      <w:r w:rsidRPr="00FD6B73">
        <w:rPr>
          <w:rFonts w:cs="Times New Roman"/>
          <w:lang w:val="ru-RU"/>
        </w:rPr>
        <w:t xml:space="preserve">Када је реч о </w:t>
      </w:r>
      <w:r w:rsidRPr="00E83EAB">
        <w:rPr>
          <w:rFonts w:cs="Times New Roman"/>
          <w:bCs/>
          <w:lang w:val="ru-RU"/>
        </w:rPr>
        <w:t>унапређењу регионалне сарадње</w:t>
      </w:r>
      <w:r w:rsidRPr="00FD6B73">
        <w:rPr>
          <w:rFonts w:cs="Times New Roman"/>
          <w:lang w:val="ru-RU"/>
        </w:rPr>
        <w:t xml:space="preserve"> у области пружања подршке сведоцима и жртвама, </w:t>
      </w:r>
      <w:r w:rsidRPr="00FD6B73">
        <w:rPr>
          <w:rFonts w:cs="Times New Roman"/>
          <w:color w:val="000000"/>
          <w:lang w:val="ru-RU"/>
        </w:rPr>
        <w:t xml:space="preserve">у периоду од 2016. до 2020. године Служба за помоћ и подршку сведоцима је учествовала непосредно и у организацији 256 видео конференцијских веза, а 313 сведока </w:t>
      </w:r>
      <w:r w:rsidRPr="00FD6B73">
        <w:rPr>
          <w:rFonts w:cs="Times New Roman"/>
          <w:color w:val="000000"/>
          <w:lang w:val="ru-RU"/>
        </w:rPr>
        <w:lastRenderedPageBreak/>
        <w:t xml:space="preserve">који су по замолници сведочили у предметима ратних злочина је имало подршку </w:t>
      </w:r>
      <w:r w:rsidR="00E83EAB">
        <w:rPr>
          <w:rFonts w:cs="Times New Roman"/>
          <w:color w:val="000000"/>
          <w:lang w:val="ru-RU"/>
        </w:rPr>
        <w:t>ове с</w:t>
      </w:r>
      <w:r w:rsidRPr="00FD6B73">
        <w:rPr>
          <w:rFonts w:cs="Times New Roman"/>
          <w:color w:val="000000"/>
          <w:lang w:val="ru-RU"/>
        </w:rPr>
        <w:t>лужбе. За потребе судова и државних одвјетништва у Републици Хрватској пружена је подршка за 156 сведока, 142 сведока је сведочило по замолницама судова и тужилаштава Босне и Херцеговин</w:t>
      </w:r>
      <w:r w:rsidR="00E83EAB">
        <w:rPr>
          <w:rFonts w:cs="Times New Roman"/>
          <w:color w:val="000000"/>
          <w:lang w:val="ru-RU"/>
        </w:rPr>
        <w:t>е</w:t>
      </w:r>
      <w:r w:rsidRPr="00FD6B73">
        <w:rPr>
          <w:rFonts w:cs="Times New Roman"/>
          <w:color w:val="000000"/>
          <w:lang w:val="ru-RU"/>
        </w:rPr>
        <w:t xml:space="preserve">, а 15 сведока по замолницама државних органа Црне Горе. Служба је интензивно сарађивала са Одјелом за сведоке Министарства правде Републике Хрватске, Одјелом за сведоке Кантоналног суда у Бихаћу, Окружног суда у Бања Луци, Основног суда у Брчко дистрикту, </w:t>
      </w:r>
      <w:r w:rsidR="00E83EAB">
        <w:rPr>
          <w:rFonts w:cs="Times New Roman"/>
          <w:color w:val="000000"/>
          <w:lang w:val="ru-RU"/>
        </w:rPr>
        <w:t>као и са о</w:t>
      </w:r>
      <w:r w:rsidRPr="00FD6B73">
        <w:rPr>
          <w:rFonts w:cs="Times New Roman"/>
          <w:color w:val="000000"/>
          <w:lang w:val="ru-RU"/>
        </w:rPr>
        <w:t>кружним суд</w:t>
      </w:r>
      <w:r w:rsidR="00E83EAB">
        <w:rPr>
          <w:rFonts w:cs="Times New Roman"/>
          <w:color w:val="000000"/>
          <w:lang w:val="ru-RU"/>
        </w:rPr>
        <w:t>овима у Добоју, Приједору, Требињу и</w:t>
      </w:r>
      <w:r w:rsidRPr="00FD6B73">
        <w:rPr>
          <w:rFonts w:cs="Times New Roman"/>
          <w:color w:val="000000"/>
          <w:lang w:val="ru-RU"/>
        </w:rPr>
        <w:t xml:space="preserve"> Бијељини.</w:t>
      </w:r>
    </w:p>
    <w:p w14:paraId="69F25A4E" w14:textId="4A432707" w:rsidR="00AF1189" w:rsidRPr="00FD6B73" w:rsidRDefault="00AF1189" w:rsidP="00F10AC7">
      <w:pPr>
        <w:shd w:val="clear" w:color="auto" w:fill="FFFFFF"/>
        <w:spacing w:after="120" w:line="240" w:lineRule="auto"/>
        <w:rPr>
          <w:rFonts w:cs="Times New Roman"/>
          <w:color w:val="000000"/>
          <w:lang w:val="ru-RU"/>
        </w:rPr>
      </w:pPr>
      <w:r w:rsidRPr="00FD6B73">
        <w:rPr>
          <w:rFonts w:cs="Times New Roman"/>
          <w:color w:val="000000"/>
          <w:lang w:val="ru-RU"/>
        </w:rPr>
        <w:t>У оквиру „Регионалног пројекта о ратним злочинима</w:t>
      </w:r>
      <w:r w:rsidR="00586C7D">
        <w:rPr>
          <w:rFonts w:cs="Times New Roman"/>
          <w:color w:val="000000"/>
          <w:lang w:val="ru-RU"/>
        </w:rPr>
        <w:t>ˮ</w:t>
      </w:r>
      <w:r w:rsidRPr="00FD6B73">
        <w:rPr>
          <w:rFonts w:cs="Times New Roman"/>
          <w:color w:val="000000"/>
          <w:lang w:val="ru-RU"/>
        </w:rPr>
        <w:t xml:space="preserve"> </w:t>
      </w:r>
      <w:r w:rsidRPr="00CD46D4">
        <w:rPr>
          <w:rFonts w:cs="Times New Roman"/>
          <w:color w:val="000000"/>
        </w:rPr>
        <w:t>UNDP</w:t>
      </w:r>
      <w:r w:rsidRPr="00FD6B73">
        <w:rPr>
          <w:rFonts w:cs="Times New Roman"/>
          <w:color w:val="000000"/>
          <w:lang w:val="ru-RU"/>
        </w:rPr>
        <w:t>, који је подржала Влада Уједињеног Краљевства,</w:t>
      </w:r>
      <w:r w:rsidRPr="00CD46D4">
        <w:rPr>
          <w:rFonts w:cs="Times New Roman"/>
          <w:color w:val="000000"/>
        </w:rPr>
        <w:t>  </w:t>
      </w:r>
      <w:r w:rsidRPr="00FD6B73">
        <w:rPr>
          <w:rFonts w:cs="Times New Roman"/>
          <w:color w:val="000000"/>
          <w:lang w:val="ru-RU"/>
        </w:rPr>
        <w:t>у новембру 2019.</w:t>
      </w:r>
      <w:r w:rsidR="002B5935">
        <w:rPr>
          <w:rFonts w:cs="Times New Roman"/>
          <w:color w:val="000000"/>
          <w:lang w:val="ru-RU"/>
        </w:rPr>
        <w:t xml:space="preserve"> </w:t>
      </w:r>
      <w:r w:rsidRPr="00FD6B73">
        <w:rPr>
          <w:rFonts w:cs="Times New Roman"/>
          <w:color w:val="000000"/>
          <w:lang w:val="ru-RU"/>
        </w:rPr>
        <w:t>године и јуну 2020. године, одржана су два регионална састанака пружалаца подршке сведоцима којима су присуствовали представници служби/одјела/одјељења за подршку сведоцима из Босне и Херцеговине, Црне Горе, Хрватске и Србије.</w:t>
      </w:r>
    </w:p>
    <w:tbl>
      <w:tblPr>
        <w:tblStyle w:val="TableGrid"/>
        <w:tblW w:w="0" w:type="auto"/>
        <w:tblLook w:val="04A0" w:firstRow="1" w:lastRow="0" w:firstColumn="1" w:lastColumn="0" w:noHBand="0" w:noVBand="1"/>
      </w:tblPr>
      <w:tblGrid>
        <w:gridCol w:w="9350"/>
      </w:tblGrid>
      <w:tr w:rsidR="00AF1189" w:rsidRPr="00627105" w14:paraId="29747AFA" w14:textId="77777777" w:rsidTr="00AF1189">
        <w:tc>
          <w:tcPr>
            <w:tcW w:w="9350" w:type="dxa"/>
            <w:tcBorders>
              <w:top w:val="nil"/>
              <w:left w:val="nil"/>
              <w:bottom w:val="nil"/>
              <w:right w:val="nil"/>
            </w:tcBorders>
            <w:shd w:val="clear" w:color="auto" w:fill="DEEAF6" w:themeFill="accent1" w:themeFillTint="33"/>
          </w:tcPr>
          <w:p w14:paraId="117F4B50" w14:textId="77777777" w:rsidR="00AF1189" w:rsidRPr="00FD6B73" w:rsidRDefault="00AF1189" w:rsidP="00F10AC7">
            <w:pPr>
              <w:spacing w:after="120"/>
              <w:rPr>
                <w:rFonts w:cs="Times New Roman"/>
                <w:lang w:val="ru-RU"/>
              </w:rPr>
            </w:pPr>
            <w:r w:rsidRPr="00FD6B73">
              <w:rPr>
                <w:rFonts w:cs="Times New Roman"/>
                <w:lang w:val="ru-RU"/>
              </w:rPr>
              <w:t>Имајући у виду да је усвајањем Националне стратегије за остваривање права жртава и сведока кривичних дела у Ре</w:t>
            </w:r>
            <w:r w:rsidR="00464831" w:rsidRPr="00FD6B73">
              <w:rPr>
                <w:rFonts w:cs="Times New Roman"/>
                <w:lang w:val="ru-RU"/>
              </w:rPr>
              <w:t>публици Србији за период од 2020</w:t>
            </w:r>
            <w:r w:rsidRPr="00FD6B73">
              <w:rPr>
                <w:rFonts w:cs="Times New Roman"/>
                <w:lang w:val="ru-RU"/>
              </w:rPr>
              <w:t xml:space="preserve">-2025. године са пратећим Акционим планом за период 2020-2022. године, јасно дефинисан реформски пут у овој области, неопходно је у предстојећем периоду интензивно радити на спровођењу ових стратешких докумената. Поред тога, од великог значаја је обезбеђивање додатних ресурса за ангажовање професионалаца помагачких струка у службама подршке и помоћи оштећенима и сведоцима. Ово јачање административних капацитета, мора да буде пропраћено унапређењем инфраструктурних капацитета, у складу са међународним стандардима. </w:t>
            </w:r>
          </w:p>
          <w:p w14:paraId="5B7901E5" w14:textId="77777777" w:rsidR="00AF1189" w:rsidRPr="00FD6B73" w:rsidRDefault="00AF1189" w:rsidP="00F10AC7">
            <w:pPr>
              <w:spacing w:after="120"/>
              <w:rPr>
                <w:rFonts w:cs="Times New Roman"/>
                <w:lang w:val="ru-RU"/>
              </w:rPr>
            </w:pPr>
            <w:r w:rsidRPr="00FD6B73">
              <w:rPr>
                <w:rFonts w:cs="Times New Roman"/>
                <w:lang w:val="ru-RU"/>
              </w:rPr>
              <w:t xml:space="preserve">Неопходан сегмент је и стандардизација и институционализација обука у области права жртава. </w:t>
            </w:r>
          </w:p>
          <w:p w14:paraId="4C4A931F" w14:textId="77777777" w:rsidR="00AF1189" w:rsidRPr="00FD6B73" w:rsidRDefault="00AF1189" w:rsidP="00F10AC7">
            <w:pPr>
              <w:spacing w:after="120"/>
              <w:rPr>
                <w:rFonts w:cs="Times New Roman"/>
                <w:lang w:val="ru-RU"/>
              </w:rPr>
            </w:pPr>
            <w:r w:rsidRPr="00FD6B73">
              <w:rPr>
                <w:rFonts w:cs="Times New Roman"/>
                <w:lang w:val="ru-RU"/>
              </w:rPr>
              <w:t xml:space="preserve">Посебну пажњу потребно је посветити континуираној примени Смерница за унапређење судске праксе у поступцима за накнаду штете жртвама тешких кривичних дела у кривичном поступку, као и организацији обука носилаца правосудних функција који поступају у предметима ратних злочина на ову тему. </w:t>
            </w:r>
          </w:p>
          <w:p w14:paraId="63FAD970" w14:textId="77777777" w:rsidR="00AF1189" w:rsidRPr="00FD6B73" w:rsidRDefault="00AF1189" w:rsidP="00F10AC7">
            <w:pPr>
              <w:spacing w:after="120"/>
              <w:rPr>
                <w:rFonts w:cs="Times New Roman"/>
                <w:lang w:val="ru-RU"/>
              </w:rPr>
            </w:pPr>
            <w:r w:rsidRPr="00FD6B73">
              <w:rPr>
                <w:rFonts w:cs="Times New Roman"/>
                <w:lang w:val="ru-RU"/>
              </w:rPr>
              <w:t>Даље унапређење регионалне сарадње служби подршке жртвама и сведоцима, кроз прецизније уређење протокола који се примењују у овој сарадњи али и континуирану размену искустава, од пресудног је значаја за оснаживање жртава и сведока и квалитет исказа.</w:t>
            </w:r>
          </w:p>
        </w:tc>
      </w:tr>
    </w:tbl>
    <w:p w14:paraId="749E81C3" w14:textId="77777777" w:rsidR="00AF1189" w:rsidRPr="00FD6B73" w:rsidRDefault="00AF1189" w:rsidP="00F10AC7">
      <w:pPr>
        <w:spacing w:after="120" w:line="240" w:lineRule="auto"/>
        <w:rPr>
          <w:rFonts w:cs="Times New Roman"/>
          <w:lang w:val="ru-RU"/>
        </w:rPr>
      </w:pPr>
    </w:p>
    <w:p w14:paraId="7FE517D6" w14:textId="77777777" w:rsidR="00AF1189" w:rsidRPr="00CD46D4" w:rsidRDefault="00AF1189" w:rsidP="00F10AC7">
      <w:pPr>
        <w:pStyle w:val="Heading2"/>
        <w:numPr>
          <w:ilvl w:val="1"/>
          <w:numId w:val="1"/>
        </w:numPr>
        <w:spacing w:line="240" w:lineRule="auto"/>
        <w:rPr>
          <w:rFonts w:cs="Times New Roman"/>
        </w:rPr>
      </w:pPr>
      <w:bookmarkStart w:id="32" w:name="_Toc69325787"/>
      <w:bookmarkStart w:id="33" w:name="_Toc72932067"/>
      <w:bookmarkStart w:id="34" w:name="_Toc84580774"/>
      <w:r w:rsidRPr="00CD46D4">
        <w:rPr>
          <w:rStyle w:val="Heading1Char"/>
          <w:rFonts w:cs="Times New Roman"/>
          <w:caps w:val="0"/>
          <w:sz w:val="24"/>
          <w:szCs w:val="26"/>
        </w:rPr>
        <w:t>Одбрана окривљеног</w:t>
      </w:r>
      <w:bookmarkEnd w:id="32"/>
      <w:bookmarkEnd w:id="33"/>
      <w:bookmarkEnd w:id="34"/>
    </w:p>
    <w:p w14:paraId="12D072A4" w14:textId="77777777" w:rsidR="00AF1189" w:rsidRPr="00CD46D4" w:rsidRDefault="00AF1189" w:rsidP="00F10AC7">
      <w:pPr>
        <w:spacing w:after="120" w:line="240" w:lineRule="auto"/>
        <w:rPr>
          <w:rFonts w:cs="Times New Roman"/>
        </w:rPr>
      </w:pPr>
    </w:p>
    <w:p w14:paraId="61CAC7D5" w14:textId="030994DF" w:rsidR="00AF1189" w:rsidRPr="00FD6B73" w:rsidRDefault="00AF1189" w:rsidP="00F10AC7">
      <w:pPr>
        <w:spacing w:after="120" w:line="240" w:lineRule="auto"/>
        <w:rPr>
          <w:rFonts w:cs="Times New Roman"/>
          <w:lang w:val="ru-RU"/>
        </w:rPr>
      </w:pPr>
      <w:r w:rsidRPr="00FD6B73">
        <w:rPr>
          <w:rFonts w:cs="Times New Roman"/>
          <w:lang w:val="ru-RU"/>
        </w:rPr>
        <w:t xml:space="preserve">Када је реч о потреби за унапређењем, односно подизањем квалитета </w:t>
      </w:r>
      <w:r w:rsidRPr="00FD6B73">
        <w:rPr>
          <w:rFonts w:cs="Times New Roman"/>
          <w:bCs/>
          <w:lang w:val="ru-RU"/>
        </w:rPr>
        <w:t xml:space="preserve">службених и изабраних одбрана у поступцима за ратне злочине, </w:t>
      </w:r>
      <w:r w:rsidR="00CF22DF">
        <w:rPr>
          <w:rFonts w:cs="Times New Roman"/>
          <w:bCs/>
          <w:lang w:val="ru-RU"/>
        </w:rPr>
        <w:t>НСПРЗ</w:t>
      </w:r>
      <w:r w:rsidR="00B9743B" w:rsidRPr="00FD6B73">
        <w:rPr>
          <w:rFonts w:cs="Times New Roman"/>
          <w:bCs/>
          <w:lang w:val="ru-RU"/>
        </w:rPr>
        <w:t xml:space="preserve"> </w:t>
      </w:r>
      <w:r w:rsidRPr="00FD6B73">
        <w:rPr>
          <w:rFonts w:cs="Times New Roman"/>
          <w:bCs/>
          <w:lang w:val="ru-RU"/>
        </w:rPr>
        <w:t xml:space="preserve">је била предвиђена </w:t>
      </w:r>
      <w:r w:rsidRPr="00FD6B73">
        <w:rPr>
          <w:rFonts w:cs="Times New Roman"/>
          <w:lang w:val="ru-RU"/>
        </w:rPr>
        <w:t xml:space="preserve">израда програма, и спровођење иницијалне и континуиране обуке у области међународног хуманитарног и међународног кривичног права за адвокате који заступају окривљене у предметима ратних злочина, у сарадњи Адвокатске коморе Србије, </w:t>
      </w:r>
      <w:r w:rsidR="00CF22DF">
        <w:rPr>
          <w:rFonts w:cs="Times New Roman"/>
          <w:lang w:val="ru-RU"/>
        </w:rPr>
        <w:t>ТРЗ</w:t>
      </w:r>
      <w:r w:rsidRPr="00FD6B73">
        <w:rPr>
          <w:rFonts w:cs="Times New Roman"/>
          <w:lang w:val="ru-RU"/>
        </w:rPr>
        <w:t>, Одељења за ратне злочине Вишег суда у Београду и Правосудне академије, почев од 2016. године. Ова активност није реализована, а њен значај није умањен ни 2021. године.</w:t>
      </w:r>
    </w:p>
    <w:p w14:paraId="3B611071" w14:textId="17FC51A7" w:rsidR="00AF1189" w:rsidRPr="00FD6B73" w:rsidRDefault="00AF1189" w:rsidP="00F10AC7">
      <w:pPr>
        <w:spacing w:after="120" w:line="240" w:lineRule="auto"/>
        <w:rPr>
          <w:rFonts w:cs="Times New Roman"/>
          <w:lang w:val="ru-RU"/>
        </w:rPr>
      </w:pPr>
      <w:r w:rsidRPr="00FD6B73">
        <w:rPr>
          <w:rFonts w:cs="Times New Roman"/>
          <w:bCs/>
          <w:lang w:val="ru-RU"/>
        </w:rPr>
        <w:lastRenderedPageBreak/>
        <w:t xml:space="preserve">Поред наведеног, </w:t>
      </w:r>
      <w:r w:rsidR="00B9743B" w:rsidRPr="00FD6B73">
        <w:rPr>
          <w:rFonts w:eastAsiaTheme="majorEastAsia" w:cs="Times New Roman"/>
          <w:lang w:val="ru-RU"/>
        </w:rPr>
        <w:t>НСПРЗ</w:t>
      </w:r>
      <w:r w:rsidRPr="00FD6B73">
        <w:rPr>
          <w:rFonts w:cs="Times New Roman"/>
          <w:bCs/>
          <w:lang w:val="ru-RU"/>
        </w:rPr>
        <w:t xml:space="preserve"> је предвиђала и у</w:t>
      </w:r>
      <w:r w:rsidRPr="00FD6B73">
        <w:rPr>
          <w:rFonts w:cs="Times New Roman"/>
          <w:bCs/>
          <w:color w:val="000000"/>
          <w:lang w:val="ru-RU"/>
        </w:rPr>
        <w:t>напређење систе</w:t>
      </w:r>
      <w:r w:rsidRPr="00FD6B73">
        <w:rPr>
          <w:rFonts w:cs="Times New Roman"/>
          <w:bCs/>
          <w:lang w:val="ru-RU"/>
        </w:rPr>
        <w:t>ма</w:t>
      </w:r>
      <w:r w:rsidRPr="00FD6B73">
        <w:rPr>
          <w:rFonts w:cs="Times New Roman"/>
          <w:bCs/>
          <w:color w:val="000000"/>
          <w:lang w:val="ru-RU"/>
        </w:rPr>
        <w:t xml:space="preserve"> финансирања одбране по службеној дужности у предметима ратних злочина, при чему је конкретизација мера за долажење до овог резултата учињена зависном од исхода </w:t>
      </w:r>
      <w:r w:rsidRPr="00FD6B73">
        <w:rPr>
          <w:rFonts w:cs="Times New Roman"/>
          <w:lang w:val="ru-RU"/>
        </w:rPr>
        <w:t xml:space="preserve">анализе одредаба и резултата примене Правилника о висини накнаде за рад адвоката по службеној дужности у предметима ратних злочина која садржи препоруке за његове евентуалне измене, а за чију је израду била задужена радна група коју формира </w:t>
      </w:r>
      <w:r w:rsidRPr="00FD6B73">
        <w:rPr>
          <w:rFonts w:cs="Times New Roman"/>
          <w:color w:val="000000" w:themeColor="text1"/>
          <w:lang w:val="ru-RU"/>
        </w:rPr>
        <w:t>Министар</w:t>
      </w:r>
      <w:r w:rsidR="00B009B5" w:rsidRPr="00FD6B73">
        <w:rPr>
          <w:rFonts w:cs="Times New Roman"/>
          <w:color w:val="000000" w:themeColor="text1"/>
          <w:lang w:val="ru-RU"/>
        </w:rPr>
        <w:t>ство</w:t>
      </w:r>
      <w:r w:rsidRPr="00FD6B73">
        <w:rPr>
          <w:rFonts w:cs="Times New Roman"/>
          <w:color w:val="000000" w:themeColor="text1"/>
          <w:lang w:val="ru-RU"/>
        </w:rPr>
        <w:t xml:space="preserve"> правде. </w:t>
      </w:r>
      <w:r w:rsidRPr="00FD6B73">
        <w:rPr>
          <w:rFonts w:cs="Times New Roman"/>
          <w:lang w:val="ru-RU"/>
        </w:rPr>
        <w:t>Иако је спровођење ове анализе било планирано за 2016. годину, овај задатак је реализован 2017. године, када је радна група</w:t>
      </w:r>
      <w:r w:rsidRPr="00CD46D4">
        <w:rPr>
          <w:rStyle w:val="FootnoteReference"/>
          <w:rFonts w:cs="Times New Roman"/>
        </w:rPr>
        <w:footnoteReference w:id="49"/>
      </w:r>
      <w:r w:rsidRPr="00FD6B73">
        <w:rPr>
          <w:rFonts w:cs="Times New Roman"/>
          <w:lang w:val="ru-RU"/>
        </w:rPr>
        <w:t xml:space="preserve"> заузела став да  одредбе Правилника о висини накнаде за рад адвоката по службеној дужности у предметима ратних злочина не треба мењати, нарочито узимајући у обзир то да ће се у оквиру Преговарачког поглавља 3</w:t>
      </w:r>
      <w:r w:rsidR="002B5935">
        <w:rPr>
          <w:rFonts w:cs="Times New Roman"/>
          <w:lang w:val="ru-RU"/>
        </w:rPr>
        <w:t xml:space="preserve"> </w:t>
      </w:r>
      <w:r w:rsidRPr="00FD6B73">
        <w:rPr>
          <w:rFonts w:cs="Times New Roman"/>
          <w:lang w:val="ru-RU"/>
        </w:rPr>
        <w:t xml:space="preserve">вршити потребне измене свих прописа релевантних за адвокатуру, па да све измене у овој области треба направити обједињено. </w:t>
      </w:r>
    </w:p>
    <w:p w14:paraId="15C0A5A1" w14:textId="77777777" w:rsidR="00AF1189" w:rsidRPr="00FD6B73" w:rsidRDefault="00AF1189" w:rsidP="00F10AC7">
      <w:pPr>
        <w:spacing w:after="120" w:line="240" w:lineRule="auto"/>
        <w:rPr>
          <w:rFonts w:cs="Times New Roman"/>
          <w:lang w:val="ru-RU"/>
        </w:rPr>
      </w:pPr>
    </w:p>
    <w:p w14:paraId="1A9EDE84" w14:textId="77777777" w:rsidR="00AF1189" w:rsidRPr="00FD6B73" w:rsidRDefault="00AF1189" w:rsidP="00F10AC7">
      <w:pPr>
        <w:pStyle w:val="Heading2"/>
        <w:numPr>
          <w:ilvl w:val="1"/>
          <w:numId w:val="1"/>
        </w:numPr>
        <w:spacing w:line="240" w:lineRule="auto"/>
        <w:rPr>
          <w:rFonts w:cs="Times New Roman"/>
          <w:lang w:val="ru-RU"/>
        </w:rPr>
      </w:pPr>
      <w:bookmarkStart w:id="35" w:name="_Toc69325788"/>
      <w:bookmarkStart w:id="36" w:name="_Toc72932068"/>
      <w:bookmarkStart w:id="37" w:name="_Toc84580775"/>
      <w:r w:rsidRPr="00FD6B73">
        <w:rPr>
          <w:rFonts w:cs="Times New Roman"/>
          <w:lang w:val="ru-RU"/>
        </w:rPr>
        <w:t>Суђења за ратне злочине и питање несталих лица</w:t>
      </w:r>
      <w:bookmarkEnd w:id="35"/>
      <w:bookmarkEnd w:id="36"/>
      <w:bookmarkEnd w:id="37"/>
    </w:p>
    <w:p w14:paraId="5BCB3D4D" w14:textId="77777777" w:rsidR="00AF1189" w:rsidRPr="00FD6B73" w:rsidRDefault="00AF1189" w:rsidP="00F10AC7">
      <w:pPr>
        <w:spacing w:after="120" w:line="240" w:lineRule="auto"/>
        <w:rPr>
          <w:rFonts w:cs="Times New Roman"/>
          <w:lang w:val="ru-RU"/>
        </w:rPr>
      </w:pPr>
    </w:p>
    <w:p w14:paraId="1EFB9A87" w14:textId="386CF751" w:rsidR="00AF1189" w:rsidRPr="00FD6B73" w:rsidRDefault="00CF22DF" w:rsidP="00F10AC7">
      <w:pPr>
        <w:spacing w:after="120" w:line="240" w:lineRule="auto"/>
        <w:rPr>
          <w:rFonts w:cs="Times New Roman"/>
          <w:lang w:val="ru-RU"/>
        </w:rPr>
      </w:pPr>
      <w:r w:rsidRPr="00FD6B73">
        <w:rPr>
          <w:rFonts w:eastAsiaTheme="majorEastAsia" w:cs="Times New Roman"/>
          <w:lang w:val="ru-RU"/>
        </w:rPr>
        <w:t>НСПРЗ</w:t>
      </w:r>
      <w:r w:rsidRPr="00FD6B73">
        <w:rPr>
          <w:rFonts w:cs="Times New Roman"/>
          <w:bCs/>
          <w:lang w:val="ru-RU"/>
        </w:rPr>
        <w:t xml:space="preserve"> </w:t>
      </w:r>
      <w:r w:rsidR="00AF1189" w:rsidRPr="00FD6B73">
        <w:rPr>
          <w:rFonts w:cs="Times New Roman"/>
          <w:lang w:val="ru-RU"/>
        </w:rPr>
        <w:t xml:space="preserve">је питању несталих лица у контексту суђења за ратне злочине приступила из три стратешка правца: </w:t>
      </w:r>
      <w:r>
        <w:rPr>
          <w:rFonts w:cs="Times New Roman"/>
          <w:lang w:val="ru-RU"/>
        </w:rPr>
        <w:t xml:space="preserve"> </w:t>
      </w:r>
    </w:p>
    <w:p w14:paraId="3563E192" w14:textId="77777777" w:rsidR="00AF1189" w:rsidRPr="00FD6B73" w:rsidRDefault="00AF1189" w:rsidP="00F10AC7">
      <w:pPr>
        <w:pStyle w:val="ListParagraph"/>
        <w:numPr>
          <w:ilvl w:val="0"/>
          <w:numId w:val="30"/>
        </w:numPr>
        <w:spacing w:after="120"/>
        <w:rPr>
          <w:rFonts w:cs="Times New Roman"/>
          <w:bCs/>
          <w:lang w:val="ru-RU"/>
        </w:rPr>
      </w:pPr>
      <w:r w:rsidRPr="00FD6B73">
        <w:rPr>
          <w:rFonts w:cs="Times New Roman"/>
          <w:bCs/>
          <w:lang w:val="ru-RU"/>
        </w:rPr>
        <w:t>Кроз унапређење нормативног оквира од значаја за решавање судбине несталих лица (прецизније, кроз испуњење препорука Комитета за присилне нестанке и извештавање Комитета о постигнутим резултатима);</w:t>
      </w:r>
    </w:p>
    <w:p w14:paraId="53D15E2D" w14:textId="77777777" w:rsidR="00AF1189" w:rsidRPr="00FD6B73" w:rsidRDefault="00AF1189" w:rsidP="00F10AC7">
      <w:pPr>
        <w:pStyle w:val="ListParagraph"/>
        <w:numPr>
          <w:ilvl w:val="0"/>
          <w:numId w:val="30"/>
        </w:numPr>
        <w:spacing w:after="120"/>
        <w:rPr>
          <w:rFonts w:cs="Times New Roman"/>
          <w:bCs/>
          <w:szCs w:val="24"/>
          <w:lang w:val="ru-RU"/>
        </w:rPr>
      </w:pPr>
      <w:r w:rsidRPr="00FD6B73">
        <w:rPr>
          <w:rFonts w:cs="Times New Roman"/>
          <w:bCs/>
          <w:lang w:val="ru-RU"/>
        </w:rPr>
        <w:t xml:space="preserve">Унапређење институционалних и административних капацитета државних органа укључених у процес откривања судбине несталих лица, као и њихова </w:t>
      </w:r>
      <w:r w:rsidRPr="00FD6B73">
        <w:rPr>
          <w:rFonts w:cs="Times New Roman"/>
          <w:bCs/>
          <w:szCs w:val="24"/>
          <w:lang w:val="ru-RU"/>
        </w:rPr>
        <w:t>међусобн</w:t>
      </w:r>
      <w:r w:rsidR="00A558C9" w:rsidRPr="00FD6B73">
        <w:rPr>
          <w:rFonts w:cs="Times New Roman"/>
          <w:bCs/>
          <w:szCs w:val="24"/>
          <w:lang w:val="ru-RU"/>
        </w:rPr>
        <w:t>а</w:t>
      </w:r>
      <w:r w:rsidRPr="00FD6B73">
        <w:rPr>
          <w:rFonts w:cs="Times New Roman"/>
          <w:bCs/>
          <w:szCs w:val="24"/>
          <w:lang w:val="ru-RU"/>
        </w:rPr>
        <w:t xml:space="preserve"> сарадњ</w:t>
      </w:r>
      <w:r w:rsidR="00A558C9" w:rsidRPr="00FD6B73">
        <w:rPr>
          <w:rFonts w:cs="Times New Roman"/>
          <w:bCs/>
          <w:szCs w:val="24"/>
          <w:lang w:val="ru-RU"/>
        </w:rPr>
        <w:t>а</w:t>
      </w:r>
      <w:r w:rsidRPr="00FD6B73">
        <w:rPr>
          <w:rFonts w:cs="Times New Roman"/>
          <w:bCs/>
          <w:szCs w:val="24"/>
          <w:lang w:val="ru-RU"/>
        </w:rPr>
        <w:t>;</w:t>
      </w:r>
    </w:p>
    <w:p w14:paraId="2216D0C5" w14:textId="5C5DF291" w:rsidR="00AF1189" w:rsidRPr="00FD6B73" w:rsidRDefault="00AF1189" w:rsidP="00F10AC7">
      <w:pPr>
        <w:pStyle w:val="ListParagraph"/>
        <w:numPr>
          <w:ilvl w:val="0"/>
          <w:numId w:val="30"/>
        </w:numPr>
        <w:spacing w:after="120"/>
        <w:rPr>
          <w:rFonts w:cs="Times New Roman"/>
          <w:bCs/>
          <w:lang w:val="ru-RU"/>
        </w:rPr>
      </w:pPr>
      <w:r w:rsidRPr="00FD6B73">
        <w:rPr>
          <w:rFonts w:cs="Times New Roman"/>
          <w:bCs/>
          <w:lang w:val="ru-RU"/>
        </w:rPr>
        <w:t xml:space="preserve">Унапређење регионалне и шире међународне сарадње у области </w:t>
      </w:r>
      <w:r w:rsidR="005E0BCD">
        <w:rPr>
          <w:rFonts w:cs="Times New Roman"/>
          <w:bCs/>
          <w:lang w:val="ru-RU"/>
        </w:rPr>
        <w:t xml:space="preserve">решавања судбине несталих лица </w:t>
      </w:r>
      <w:r w:rsidRPr="00FD6B73">
        <w:rPr>
          <w:rFonts w:cs="Times New Roman"/>
          <w:bCs/>
          <w:lang w:val="ru-RU"/>
        </w:rPr>
        <w:t>у вези са статусом Међународне комисије за нес</w:t>
      </w:r>
      <w:r w:rsidR="005E0BCD">
        <w:rPr>
          <w:rFonts w:cs="Times New Roman"/>
          <w:bCs/>
          <w:lang w:val="ru-RU"/>
        </w:rPr>
        <w:t>тала лица (у даљем тексту: МКНЛ</w:t>
      </w:r>
      <w:r w:rsidRPr="00FD6B73">
        <w:rPr>
          <w:rFonts w:cs="Times New Roman"/>
          <w:bCs/>
          <w:lang w:val="ru-RU"/>
        </w:rPr>
        <w:t>).</w:t>
      </w:r>
    </w:p>
    <w:p w14:paraId="6053E909" w14:textId="77777777" w:rsidR="00AF1189" w:rsidRPr="00FD6B73" w:rsidRDefault="00AF1189" w:rsidP="00F10AC7">
      <w:pPr>
        <w:spacing w:after="120" w:line="240" w:lineRule="auto"/>
        <w:rPr>
          <w:rFonts w:cs="Times New Roman"/>
          <w:bCs/>
          <w:lang w:val="ru-RU"/>
        </w:rPr>
      </w:pPr>
      <w:r w:rsidRPr="00FD6B73">
        <w:rPr>
          <w:rFonts w:cs="Times New Roman"/>
          <w:bCs/>
          <w:color w:val="000000"/>
          <w:lang w:val="ru-RU"/>
        </w:rPr>
        <w:t xml:space="preserve">Када је реч о </w:t>
      </w:r>
      <w:r w:rsidRPr="005E0BCD">
        <w:rPr>
          <w:rFonts w:cs="Times New Roman"/>
          <w:color w:val="000000"/>
          <w:lang w:val="ru-RU"/>
        </w:rPr>
        <w:t>унапређењу нормативног оквира од значаја за решавање судбине несталих лица</w:t>
      </w:r>
      <w:r w:rsidRPr="00FD6B73">
        <w:rPr>
          <w:rFonts w:cs="Times New Roman"/>
          <w:b/>
          <w:color w:val="000000"/>
          <w:lang w:val="ru-RU"/>
        </w:rPr>
        <w:t xml:space="preserve"> </w:t>
      </w:r>
      <w:r w:rsidRPr="00FD6B73">
        <w:rPr>
          <w:rFonts w:cs="Times New Roman"/>
          <w:bCs/>
          <w:lang w:val="ru-RU"/>
        </w:rPr>
        <w:t>кроз испуњење препорука Комитета за присилне нестанке (у даљем тексту: Комитет) и извештавање Комитета о постигнутим резултатима, важно је имати у виду да је сам фокус препорука Комитета</w:t>
      </w:r>
      <w:r w:rsidRPr="00CD46D4">
        <w:rPr>
          <w:rStyle w:val="FootnoteReference"/>
          <w:rFonts w:cs="Times New Roman"/>
          <w:bCs/>
        </w:rPr>
        <w:footnoteReference w:id="50"/>
      </w:r>
      <w:r w:rsidRPr="00FD6B73">
        <w:rPr>
          <w:rFonts w:cs="Times New Roman"/>
          <w:bCs/>
          <w:lang w:val="ru-RU"/>
        </w:rPr>
        <w:t xml:space="preserve"> био на изменама и допунама Кривичног законика</w:t>
      </w:r>
      <w:r w:rsidR="00A558C9" w:rsidRPr="00FD6B73">
        <w:rPr>
          <w:rFonts w:cs="Times New Roman"/>
          <w:bCs/>
          <w:lang w:val="ru-RU"/>
        </w:rPr>
        <w:t>,</w:t>
      </w:r>
      <w:r w:rsidRPr="00FD6B73">
        <w:rPr>
          <w:rFonts w:cs="Times New Roman"/>
          <w:bCs/>
          <w:lang w:val="ru-RU"/>
        </w:rPr>
        <w:t xml:space="preserve"> у смислу усклађивања са чл. 2, 4, 5, 6, 7. и 8. Конвенције. </w:t>
      </w:r>
    </w:p>
    <w:p w14:paraId="0E1FE573" w14:textId="77777777" w:rsidR="00AF1189" w:rsidRPr="00FD6B73" w:rsidRDefault="00AF1189" w:rsidP="00F10AC7">
      <w:pPr>
        <w:spacing w:after="120" w:line="240" w:lineRule="auto"/>
        <w:rPr>
          <w:rFonts w:cs="Times New Roman"/>
          <w:bCs/>
          <w:lang w:val="ru-RU"/>
        </w:rPr>
      </w:pPr>
      <w:r w:rsidRPr="00FD6B73">
        <w:rPr>
          <w:rFonts w:cs="Times New Roman"/>
          <w:bCs/>
          <w:lang w:val="ru-RU"/>
        </w:rPr>
        <w:t>Ова обавеза испуњена је само</w:t>
      </w:r>
      <w:r w:rsidR="00A558C9" w:rsidRPr="00FD6B73">
        <w:rPr>
          <w:rFonts w:cs="Times New Roman"/>
          <w:bCs/>
          <w:lang w:val="ru-RU"/>
        </w:rPr>
        <w:t xml:space="preserve"> делимично, имајући у виду да </w:t>
      </w:r>
      <w:r w:rsidR="00A558C9" w:rsidRPr="00FD6B73">
        <w:rPr>
          <w:rFonts w:cs="Times New Roman"/>
          <w:bCs/>
          <w:szCs w:val="24"/>
          <w:lang w:val="ru-RU"/>
        </w:rPr>
        <w:t>су</w:t>
      </w:r>
      <w:r w:rsidRPr="00FD6B73">
        <w:rPr>
          <w:rFonts w:cs="Times New Roman"/>
          <w:bCs/>
          <w:lang w:val="ru-RU"/>
        </w:rPr>
        <w:t xml:space="preserve"> изменама члана 371. КЗ присилни нестанци препознати као радња извршења злочина против човечности али да није унета инкриминација основног облика присилног нестанка из члана 2. Конвенције</w:t>
      </w:r>
      <w:r w:rsidR="00A558C9" w:rsidRPr="00FD6B73">
        <w:rPr>
          <w:rFonts w:cs="Times New Roman"/>
          <w:bCs/>
          <w:szCs w:val="24"/>
          <w:lang w:val="ru-RU"/>
        </w:rPr>
        <w:t>,</w:t>
      </w:r>
      <w:r w:rsidRPr="00FD6B73">
        <w:rPr>
          <w:rFonts w:cs="Times New Roman"/>
          <w:bCs/>
          <w:lang w:val="ru-RU"/>
        </w:rPr>
        <w:t xml:space="preserve"> али ни дело присилног уклањања детета из члана 25. Конвенције.</w:t>
      </w:r>
    </w:p>
    <w:p w14:paraId="78B224D2" w14:textId="549DE31C" w:rsidR="00AF1189" w:rsidRPr="00FD6B73" w:rsidRDefault="00AF1189" w:rsidP="00F10AC7">
      <w:pPr>
        <w:spacing w:after="120" w:line="240" w:lineRule="auto"/>
        <w:rPr>
          <w:rFonts w:cs="Times New Roman"/>
          <w:bCs/>
          <w:lang w:val="ru-RU"/>
        </w:rPr>
      </w:pPr>
      <w:r w:rsidRPr="00FD6B73">
        <w:rPr>
          <w:rFonts w:cs="Times New Roman"/>
          <w:bCs/>
          <w:lang w:val="ru-RU"/>
        </w:rPr>
        <w:t xml:space="preserve">Осим тога, није испуњена ни препорука у вези са отклањањем обавезе прибављања потврде о смрти несталог лица као предуслова за остваривање </w:t>
      </w:r>
      <w:r w:rsidR="005E0BCD">
        <w:rPr>
          <w:rFonts w:cs="Times New Roman"/>
          <w:bCs/>
          <w:lang w:val="ru-RU"/>
        </w:rPr>
        <w:t xml:space="preserve">права чланова породице (члан 24. </w:t>
      </w:r>
      <w:r w:rsidRPr="00FD6B73">
        <w:rPr>
          <w:rFonts w:cs="Times New Roman"/>
          <w:bCs/>
          <w:lang w:val="ru-RU"/>
        </w:rPr>
        <w:t xml:space="preserve"> став 5. Конвенције).</w:t>
      </w:r>
    </w:p>
    <w:p w14:paraId="653B8765" w14:textId="77777777" w:rsidR="00AF1189" w:rsidRPr="00FD6B73" w:rsidRDefault="00AF1189" w:rsidP="00F10AC7">
      <w:pPr>
        <w:spacing w:after="120" w:line="240" w:lineRule="auto"/>
        <w:rPr>
          <w:rFonts w:cs="Times New Roman"/>
          <w:bCs/>
          <w:lang w:val="ru-RU"/>
        </w:rPr>
      </w:pPr>
      <w:r w:rsidRPr="00FD6B73">
        <w:rPr>
          <w:rFonts w:cs="Times New Roman"/>
          <w:bCs/>
          <w:lang w:val="ru-RU"/>
        </w:rPr>
        <w:lastRenderedPageBreak/>
        <w:t>Најзад и даље нису предузете мере за усклађивање дефиниције жртве у Кривичном законику и Законику о кривичном поступку са чланом 24. Конвенције.</w:t>
      </w:r>
    </w:p>
    <w:p w14:paraId="37C61851" w14:textId="5DE36947" w:rsidR="001F354F" w:rsidRPr="00FD6B73" w:rsidRDefault="00AF1189" w:rsidP="00F10AC7">
      <w:pPr>
        <w:spacing w:after="120" w:line="240" w:lineRule="auto"/>
        <w:rPr>
          <w:rFonts w:cs="Times New Roman"/>
          <w:color w:val="FF0000"/>
          <w:szCs w:val="24"/>
          <w:lang w:val="ru-RU"/>
        </w:rPr>
      </w:pPr>
      <w:r w:rsidRPr="00FD6B73">
        <w:rPr>
          <w:rFonts w:cs="Times New Roman"/>
          <w:lang w:val="ru-RU"/>
        </w:rPr>
        <w:t xml:space="preserve">Када је реч о </w:t>
      </w:r>
      <w:r w:rsidRPr="00FD6B73">
        <w:rPr>
          <w:rFonts w:cs="Times New Roman"/>
          <w:bCs/>
          <w:lang w:val="ru-RU"/>
        </w:rPr>
        <w:t>јачању капацитета и унапређењу унутрашње и регионалне сарадње у процесу откривања судбине несталих лица</w:t>
      </w:r>
      <w:r w:rsidRPr="00FD6B73">
        <w:rPr>
          <w:rFonts w:cs="Times New Roman"/>
          <w:lang w:val="ru-RU"/>
        </w:rPr>
        <w:t>,</w:t>
      </w:r>
      <w:r w:rsidR="002B5935">
        <w:rPr>
          <w:rFonts w:cs="Times New Roman"/>
          <w:lang w:val="ru-RU"/>
        </w:rPr>
        <w:t xml:space="preserve"> </w:t>
      </w:r>
      <w:r w:rsidR="001F354F" w:rsidRPr="00FD6B73">
        <w:rPr>
          <w:rFonts w:cs="Times New Roman"/>
          <w:lang w:val="ru-RU"/>
        </w:rPr>
        <w:t xml:space="preserve">треба нагласити </w:t>
      </w:r>
      <w:r w:rsidR="001F354F" w:rsidRPr="00FD6B73">
        <w:rPr>
          <w:rFonts w:cs="Times New Roman"/>
          <w:szCs w:val="24"/>
          <w:lang w:val="ru-RU"/>
        </w:rPr>
        <w:t xml:space="preserve">да се у континуитету настављају активности претходних владиних тела која су образована од 1991. године ради решавања проблема несталих, заробљених и погинулих лица у оружаним сукобима на простору бивше СФРЈ. </w:t>
      </w:r>
      <w:r w:rsidR="00503226" w:rsidRPr="00FD6B73">
        <w:rPr>
          <w:rFonts w:cs="Times New Roman"/>
          <w:szCs w:val="24"/>
          <w:lang w:val="ru-RU"/>
        </w:rPr>
        <w:t xml:space="preserve">Са тим у вези, </w:t>
      </w:r>
      <w:r w:rsidR="001F354F" w:rsidRPr="00FD6B73">
        <w:rPr>
          <w:rFonts w:cs="Times New Roman"/>
          <w:szCs w:val="24"/>
          <w:lang w:val="ru-RU"/>
        </w:rPr>
        <w:t xml:space="preserve">1991. године основана </w:t>
      </w:r>
      <w:r w:rsidR="00503226" w:rsidRPr="00FD6B73">
        <w:rPr>
          <w:rFonts w:cs="Times New Roman"/>
          <w:szCs w:val="24"/>
          <w:lang w:val="ru-RU"/>
        </w:rPr>
        <w:t xml:space="preserve">је </w:t>
      </w:r>
      <w:r w:rsidR="001F354F" w:rsidRPr="00FD6B73">
        <w:rPr>
          <w:rFonts w:cs="Times New Roman"/>
          <w:szCs w:val="24"/>
          <w:lang w:val="ru-RU"/>
        </w:rPr>
        <w:t xml:space="preserve">Мешовита комисија са мадантом да </w:t>
      </w:r>
      <w:r w:rsidR="00503226" w:rsidRPr="00FD6B73">
        <w:rPr>
          <w:rFonts w:cs="Times New Roman"/>
          <w:szCs w:val="24"/>
          <w:lang w:val="ru-RU"/>
        </w:rPr>
        <w:t xml:space="preserve">координира активности Службе тражења МКСК-а, а 1994. године је образована прва Комисија Савезне владе СРЈ за хуманитарна питања и нестала лица. По питању сарадње са Републиком Хрватском, тј. надлежним телом за тражење несталих лица, иста је остварена потписивањем Споразума о сарадњи у тражењу несталих лица 1995. године у Дејтону, као и потписивањем Протокола о сарадњи 1996. године у Загребу. </w:t>
      </w:r>
      <w:r w:rsidR="00F56B21" w:rsidRPr="00FD6B73">
        <w:rPr>
          <w:rFonts w:cs="Times New Roman"/>
          <w:szCs w:val="24"/>
          <w:lang w:val="ru-RU"/>
        </w:rPr>
        <w:t xml:space="preserve">Сарадња са Босном и Херцеговином одвијала се континуирано, али званично је потврђена потписивањем Протокола о сарадњи у тражења несталих лица између Владе Републике Србије и Савета министара </w:t>
      </w:r>
      <w:r w:rsidR="005E0BCD">
        <w:rPr>
          <w:rFonts w:cs="Times New Roman"/>
          <w:szCs w:val="24"/>
          <w:lang w:val="ru-RU"/>
        </w:rPr>
        <w:t>Босне и Херцеговине</w:t>
      </w:r>
      <w:r w:rsidR="00F56B21" w:rsidRPr="00FD6B73">
        <w:rPr>
          <w:rFonts w:cs="Times New Roman"/>
          <w:szCs w:val="24"/>
          <w:lang w:val="ru-RU"/>
        </w:rPr>
        <w:t xml:space="preserve"> 2015. године у Сарајеву. </w:t>
      </w:r>
      <w:r w:rsidR="00503226" w:rsidRPr="00FD6B73">
        <w:rPr>
          <w:rFonts w:cs="Times New Roman"/>
          <w:szCs w:val="24"/>
          <w:lang w:val="ru-RU"/>
        </w:rPr>
        <w:t>С</w:t>
      </w:r>
      <w:r w:rsidRPr="00FD6B73">
        <w:rPr>
          <w:rFonts w:cs="Times New Roman"/>
          <w:lang w:val="ru-RU" w:eastAsia="sr-Cyrl-CS"/>
        </w:rPr>
        <w:t xml:space="preserve">арадња са привременим институцијама самоуправе на простору АП </w:t>
      </w:r>
      <w:r w:rsidR="005E0BCD">
        <w:rPr>
          <w:rFonts w:cs="Times New Roman"/>
          <w:lang w:val="sr-Cyrl-RS" w:eastAsia="sr-Cyrl-CS"/>
        </w:rPr>
        <w:t>Косово и Метохија</w:t>
      </w:r>
      <w:r w:rsidRPr="00FD6B73">
        <w:rPr>
          <w:rFonts w:cs="Times New Roman"/>
          <w:lang w:val="ru-RU" w:eastAsia="sr-Cyrl-CS"/>
        </w:rPr>
        <w:t xml:space="preserve">, у решавању проблематике несталих лица одвија се од 2004. године кроз механизам рада Радне групе за лица која се воде као нестала у вези са догађајима на </w:t>
      </w:r>
      <w:r w:rsidR="005E0BCD">
        <w:rPr>
          <w:rFonts w:cs="Times New Roman"/>
          <w:lang w:val="ru-RU" w:eastAsia="sr-Cyrl-CS"/>
        </w:rPr>
        <w:t xml:space="preserve">простору </w:t>
      </w:r>
      <w:r w:rsidR="005E0BCD" w:rsidRPr="00FD6B73">
        <w:rPr>
          <w:rFonts w:cs="Times New Roman"/>
          <w:lang w:val="ru-RU" w:eastAsia="sr-Cyrl-CS"/>
        </w:rPr>
        <w:t xml:space="preserve">АП </w:t>
      </w:r>
      <w:r w:rsidR="005E0BCD">
        <w:rPr>
          <w:rFonts w:cs="Times New Roman"/>
          <w:lang w:val="sr-Cyrl-RS" w:eastAsia="sr-Cyrl-CS"/>
        </w:rPr>
        <w:t>Косово и Метохија</w:t>
      </w:r>
      <w:r w:rsidRPr="00FD6B73">
        <w:rPr>
          <w:rFonts w:cs="Times New Roman"/>
          <w:lang w:val="ru-RU" w:eastAsia="sr-Cyrl-CS"/>
        </w:rPr>
        <w:t>, у оквиру дијалога Београд – Приштина. Састанци Радне групе се одржавају под покровитељством Специјалног представника генералног секретара УН (даље: СПГС) у контексту Резолуције 1244 (1999) Савета безбедности. Радном групом председава Међународни комитет Црвеног крста (МКЦК), а у њеном саставу су  београдска и приштинска делегација. У раду Радне групе учествују представници Међународне комисије за нестала лица (МКНЛ), а у својству посматрача чланови дипломатског кора земаља које имају своје мисије на АП КиМ, ОЕБС и представници удружења породица несталих лица са АП КиМ. У складу са Радним правилима Радне групе, 2005. године формирана је Радна подгрупа за форензичка питања, а 2017. године Тим за анализу. Радна група представља једини и незамењив механизам решавања проблематике несталих лица на АП Косову и Метохији, јер је омогућен заједнички рад и сарадња Београда и Приштине у решавању случајева свих несталих лица.</w:t>
      </w:r>
    </w:p>
    <w:p w14:paraId="459FA11C" w14:textId="70DC4D1B" w:rsidR="00AF1189" w:rsidRPr="00FD6B73" w:rsidRDefault="00AF1189" w:rsidP="00F10AC7">
      <w:pPr>
        <w:tabs>
          <w:tab w:val="left" w:pos="709"/>
        </w:tabs>
        <w:spacing w:after="120" w:line="240" w:lineRule="auto"/>
        <w:rPr>
          <w:rFonts w:eastAsia="Calibri" w:cs="Times New Roman"/>
          <w:lang w:val="ru-RU"/>
        </w:rPr>
      </w:pPr>
      <w:r w:rsidRPr="00FD6B73">
        <w:rPr>
          <w:rFonts w:eastAsia="Calibri" w:cs="Times New Roman"/>
          <w:lang w:val="ru-RU"/>
        </w:rPr>
        <w:t>У посматраном периоду одржано је једанаест седница</w:t>
      </w:r>
      <w:r w:rsidR="002B5935">
        <w:rPr>
          <w:rFonts w:eastAsia="Calibri" w:cs="Times New Roman"/>
          <w:lang w:val="ru-RU"/>
        </w:rPr>
        <w:t xml:space="preserve"> </w:t>
      </w:r>
      <w:r w:rsidRPr="00FD6B73">
        <w:rPr>
          <w:rFonts w:eastAsia="Calibri" w:cs="Times New Roman"/>
          <w:lang w:val="ru-RU"/>
        </w:rPr>
        <w:t xml:space="preserve">Радне групе за нестала лица у оквиру дијалога Београд – Приштина,  осам седница Радне подгрупе за форензичка питања и шест састанака </w:t>
      </w:r>
      <w:r w:rsidR="005E0BCD">
        <w:rPr>
          <w:rFonts w:eastAsia="Calibri" w:cs="Times New Roman"/>
          <w:lang w:val="ru-RU"/>
        </w:rPr>
        <w:t>т</w:t>
      </w:r>
      <w:r w:rsidRPr="00FD6B73">
        <w:rPr>
          <w:rFonts w:eastAsia="Calibri" w:cs="Times New Roman"/>
          <w:lang w:val="ru-RU"/>
        </w:rPr>
        <w:t xml:space="preserve">има за анализу. </w:t>
      </w:r>
    </w:p>
    <w:p w14:paraId="17F4862B" w14:textId="2B0D893A" w:rsidR="00AF1189" w:rsidRPr="00FD6B73" w:rsidRDefault="00AF1189" w:rsidP="00F10AC7">
      <w:pPr>
        <w:tabs>
          <w:tab w:val="left" w:pos="709"/>
        </w:tabs>
        <w:spacing w:after="120" w:line="240" w:lineRule="auto"/>
        <w:rPr>
          <w:rFonts w:cs="Times New Roman"/>
          <w:lang w:val="ru-RU"/>
        </w:rPr>
      </w:pPr>
      <w:r w:rsidRPr="00FD6B73">
        <w:rPr>
          <w:rFonts w:eastAsia="Calibri" w:cs="Times New Roman"/>
          <w:lang w:val="ru-RU"/>
        </w:rPr>
        <w:t xml:space="preserve">Реализоване заједничке активности </w:t>
      </w:r>
      <w:r w:rsidR="007505C9" w:rsidRPr="00FD6B73">
        <w:rPr>
          <w:rFonts w:eastAsia="Calibri" w:cs="Times New Roman"/>
          <w:lang w:val="ru-RU"/>
        </w:rPr>
        <w:t xml:space="preserve">београдске </w:t>
      </w:r>
      <w:r w:rsidRPr="00FD6B73">
        <w:rPr>
          <w:rFonts w:eastAsia="Calibri" w:cs="Times New Roman"/>
          <w:lang w:val="ru-RU"/>
        </w:rPr>
        <w:t xml:space="preserve">и </w:t>
      </w:r>
      <w:r w:rsidR="007505C9" w:rsidRPr="00FD6B73">
        <w:rPr>
          <w:rFonts w:eastAsia="Calibri" w:cs="Times New Roman"/>
          <w:lang w:val="ru-RU"/>
        </w:rPr>
        <w:t xml:space="preserve">приштинске </w:t>
      </w:r>
      <w:r w:rsidRPr="00FD6B73">
        <w:rPr>
          <w:rFonts w:eastAsia="Calibri" w:cs="Times New Roman"/>
          <w:lang w:val="ru-RU"/>
        </w:rPr>
        <w:t xml:space="preserve">делегације, у вези теренских истраживања и ексхумација посмртних остатака лица која се воде као нестала </w:t>
      </w:r>
      <w:r w:rsidR="00AC7C10">
        <w:rPr>
          <w:rFonts w:eastAsia="Calibri" w:cs="Times New Roman"/>
          <w:lang w:val="ru-RU"/>
        </w:rPr>
        <w:t xml:space="preserve">са </w:t>
      </w:r>
      <w:r w:rsidRPr="00FD6B73">
        <w:rPr>
          <w:rFonts w:eastAsia="Calibri" w:cs="Times New Roman"/>
          <w:lang w:val="ru-RU"/>
        </w:rPr>
        <w:t xml:space="preserve"> </w:t>
      </w:r>
      <w:r w:rsidR="00AC7C10">
        <w:rPr>
          <w:rFonts w:eastAsia="Calibri" w:cs="Times New Roman"/>
          <w:lang w:val="ru-RU"/>
        </w:rPr>
        <w:t xml:space="preserve">територије </w:t>
      </w:r>
      <w:r w:rsidRPr="00FD6B73">
        <w:rPr>
          <w:rFonts w:eastAsia="Calibri" w:cs="Times New Roman"/>
          <w:lang w:val="ru-RU"/>
        </w:rPr>
        <w:t xml:space="preserve">АП КиМ, на следећим локацијама: у близини џамије у Косовској Митровици; православно гробље у Призрену; </w:t>
      </w:r>
      <w:r w:rsidRPr="00FD6B73">
        <w:rPr>
          <w:rFonts w:cs="Times New Roman"/>
          <w:lang w:val="ru-RU"/>
        </w:rPr>
        <w:t xml:space="preserve">у рејону села Коваче, општина Зубин Поток; бункер у Ђаковици; </w:t>
      </w:r>
      <w:r w:rsidRPr="00CD46D4">
        <w:rPr>
          <w:rFonts w:cs="Times New Roman"/>
        </w:rPr>
        <w:t>GPR</w:t>
      </w:r>
      <w:r w:rsidRPr="00FD6B73">
        <w:rPr>
          <w:rFonts w:cs="Times New Roman"/>
          <w:lang w:val="ru-RU"/>
        </w:rPr>
        <w:t xml:space="preserve"> истраживање са којим је руковало стручно лице УН глобалног сервис центра (Кижевак и Јаловиште, Качаник, Кишница и Угљаре); у близини села Медевце, општина Медвеђа; Карадак, код Руднице; Тусус, општина Призрен; муслиманско гробље у Косовској Митровици;</w:t>
      </w:r>
      <w:r w:rsidR="002B5935">
        <w:rPr>
          <w:rFonts w:cs="Times New Roman"/>
          <w:lang w:val="ru-RU"/>
        </w:rPr>
        <w:t xml:space="preserve"> </w:t>
      </w:r>
      <w:r w:rsidRPr="00FD6B73">
        <w:rPr>
          <w:rFonts w:cs="Times New Roman"/>
          <w:lang w:val="ru-RU"/>
        </w:rPr>
        <w:t>Јаловиште, општина Рашка; у месту Будисавце, општина Клина; рудник Кижевак, општина Рашка;</w:t>
      </w:r>
      <w:r w:rsidR="002B5935">
        <w:rPr>
          <w:rFonts w:cs="Times New Roman"/>
          <w:lang w:val="ru-RU"/>
        </w:rPr>
        <w:t xml:space="preserve"> </w:t>
      </w:r>
      <w:r w:rsidRPr="00FD6B73">
        <w:rPr>
          <w:rFonts w:cs="Times New Roman"/>
          <w:lang w:val="ru-RU"/>
        </w:rPr>
        <w:t>Кошаре (извиђање); Козарево, Нови Пазар.</w:t>
      </w:r>
    </w:p>
    <w:p w14:paraId="1ACBCEAE" w14:textId="3554352A" w:rsidR="00AF1189" w:rsidRPr="00FD6B73" w:rsidRDefault="00AF1189" w:rsidP="00F10AC7">
      <w:pPr>
        <w:spacing w:after="120" w:line="240" w:lineRule="auto"/>
        <w:rPr>
          <w:rFonts w:cs="Times New Roman"/>
          <w:color w:val="0000FF"/>
          <w:lang w:val="ru-RU"/>
        </w:rPr>
      </w:pPr>
      <w:r w:rsidRPr="00FD6B73">
        <w:rPr>
          <w:rFonts w:cs="Times New Roman"/>
          <w:lang w:val="ru-RU"/>
        </w:rPr>
        <w:t>У анализираном периоду Комисија је учествовала у ексхумацијама, реексхумацијама, обдукциј</w:t>
      </w:r>
      <w:r w:rsidRPr="00CD46D4">
        <w:rPr>
          <w:rFonts w:cs="Times New Roman"/>
        </w:rPr>
        <w:t>a</w:t>
      </w:r>
      <w:r w:rsidRPr="00FD6B73">
        <w:rPr>
          <w:rFonts w:cs="Times New Roman"/>
          <w:lang w:val="ru-RU"/>
        </w:rPr>
        <w:t xml:space="preserve">ма, реасоцијацијама, идентификацијама и примопредајама посмртних остатака 43 лица у вези конфликта на </w:t>
      </w:r>
      <w:r w:rsidR="00AC7C10">
        <w:rPr>
          <w:rFonts w:cs="Times New Roman"/>
          <w:lang w:val="ru-RU"/>
        </w:rPr>
        <w:t xml:space="preserve">простору </w:t>
      </w:r>
      <w:r w:rsidRPr="00FD6B73">
        <w:rPr>
          <w:rFonts w:cs="Times New Roman"/>
          <w:lang w:val="ru-RU"/>
        </w:rPr>
        <w:t>АП КиМ</w:t>
      </w:r>
      <w:r w:rsidRPr="00FD6B73">
        <w:rPr>
          <w:rFonts w:cs="Times New Roman"/>
          <w:color w:val="0000FF"/>
          <w:lang w:val="ru-RU"/>
        </w:rPr>
        <w:t>.</w:t>
      </w:r>
    </w:p>
    <w:p w14:paraId="17C49F63" w14:textId="39C2D092" w:rsidR="00AF1189" w:rsidRPr="00FD6B73" w:rsidRDefault="00AF1189" w:rsidP="00F10AC7">
      <w:pPr>
        <w:tabs>
          <w:tab w:val="left" w:pos="709"/>
        </w:tabs>
        <w:spacing w:after="120" w:line="240" w:lineRule="auto"/>
        <w:rPr>
          <w:rFonts w:cs="Times New Roman"/>
          <w:color w:val="0000FF"/>
          <w:lang w:val="ru-RU"/>
        </w:rPr>
      </w:pPr>
      <w:r w:rsidRPr="00FD6B73">
        <w:rPr>
          <w:rFonts w:cs="Times New Roman"/>
          <w:lang w:val="ru-RU"/>
        </w:rPr>
        <w:lastRenderedPageBreak/>
        <w:t xml:space="preserve">Дана 10. јула 2018. године у Лондону, земље Европске уније и учеснице Самита Западног Балкана, у оквиру берлинског процеса, на нивоу премијера потписале су Заједничку декларацију о несталим лицима, из које је проистекао Оквирни план за решавање питања несталих лица из сукоба на подручју бивше Југославије, који је потписан на нивоу надлежних тела за тражење несталих лица (Република Србија, Република Хрватска, </w:t>
      </w:r>
      <w:r w:rsidR="00AC7C10">
        <w:rPr>
          <w:rFonts w:cs="Times New Roman"/>
          <w:lang w:val="ru-RU"/>
        </w:rPr>
        <w:t>Босна и Херцеговина</w:t>
      </w:r>
      <w:r w:rsidRPr="00FD6B73">
        <w:rPr>
          <w:rFonts w:cs="Times New Roman"/>
          <w:lang w:val="ru-RU"/>
        </w:rPr>
        <w:t xml:space="preserve">, </w:t>
      </w:r>
      <w:r w:rsidR="002B5935">
        <w:rPr>
          <w:rFonts w:cs="Times New Roman"/>
          <w:lang w:val="ru-RU"/>
        </w:rPr>
        <w:t xml:space="preserve">тзв. </w:t>
      </w:r>
      <w:r w:rsidRPr="00FD6B73">
        <w:rPr>
          <w:rFonts w:cs="Times New Roman"/>
          <w:lang w:val="ru-RU"/>
        </w:rPr>
        <w:t>Косово</w:t>
      </w:r>
      <w:r w:rsidRPr="00CD46D4">
        <w:rPr>
          <w:rStyle w:val="FootnoteReference"/>
          <w:rFonts w:cs="Times New Roman"/>
        </w:rPr>
        <w:footnoteReference w:id="51"/>
      </w:r>
      <w:r w:rsidRPr="00FD6B73">
        <w:rPr>
          <w:rFonts w:cs="Times New Roman"/>
          <w:lang w:val="ru-RU"/>
        </w:rPr>
        <w:t xml:space="preserve"> и Црна Гора). Ради спровођења активности предвиђених Оквирним планом, формирана је Група за нестала лица (у даљем тексту: ГНЛ), Оперативна група за решавање неидентификованих случајева (у даљем тексту: ННОГ) и Оперативна група за базу података (у даљем тексту: ОГ за базу података). Укупно је одржано четири састанка ГНЛ, четири састанка ННОГ и три састанка ОГ за базу података.</w:t>
      </w:r>
    </w:p>
    <w:p w14:paraId="6D2358F4" w14:textId="626BEB43" w:rsidR="00AF1189" w:rsidRPr="00FD6B73" w:rsidRDefault="00AF1189" w:rsidP="00F10AC7">
      <w:pPr>
        <w:shd w:val="clear" w:color="auto" w:fill="FFFFFF"/>
        <w:spacing w:after="120" w:line="240" w:lineRule="auto"/>
        <w:rPr>
          <w:rFonts w:cs="Times New Roman"/>
          <w:lang w:val="ru-RU"/>
        </w:rPr>
      </w:pPr>
      <w:r w:rsidRPr="00FD6B73">
        <w:rPr>
          <w:rFonts w:eastAsia="Calibri" w:cs="Times New Roman"/>
          <w:lang w:val="ru-RU"/>
        </w:rPr>
        <w:t xml:space="preserve">На основу потписаних </w:t>
      </w:r>
      <w:r w:rsidR="00AC7C10">
        <w:rPr>
          <w:rFonts w:eastAsia="Calibri" w:cs="Times New Roman"/>
          <w:lang w:val="ru-RU"/>
        </w:rPr>
        <w:t>с</w:t>
      </w:r>
      <w:r w:rsidRPr="00FD6B73">
        <w:rPr>
          <w:rFonts w:eastAsia="Calibri" w:cs="Times New Roman"/>
          <w:lang w:val="ru-RU"/>
        </w:rPr>
        <w:t xml:space="preserve">поразума и </w:t>
      </w:r>
      <w:r w:rsidR="00AC7C10">
        <w:rPr>
          <w:rFonts w:eastAsia="Calibri" w:cs="Times New Roman"/>
          <w:lang w:val="ru-RU"/>
        </w:rPr>
        <w:t>п</w:t>
      </w:r>
      <w:r w:rsidRPr="00FD6B73">
        <w:rPr>
          <w:rFonts w:eastAsia="Calibri" w:cs="Times New Roman"/>
          <w:lang w:val="ru-RU"/>
        </w:rPr>
        <w:t xml:space="preserve">ротокола о сарадњи у тражењу несталих лица са Републиком Хрватском у анализираном периоду одржан је један билатерални </w:t>
      </w:r>
      <w:r w:rsidR="00CD46D4" w:rsidRPr="00FD6B73">
        <w:rPr>
          <w:rFonts w:eastAsia="Calibri" w:cs="Times New Roman"/>
          <w:lang w:val="ru-RU"/>
        </w:rPr>
        <w:t>састанак</w:t>
      </w:r>
      <w:r w:rsidRPr="00FD6B73">
        <w:rPr>
          <w:rFonts w:eastAsia="Calibri" w:cs="Times New Roman"/>
          <w:lang w:val="ru-RU"/>
        </w:rPr>
        <w:t xml:space="preserve"> и два радна састанка. У Заводу за судску медицину и криминалистику Медицинског факултета, у Загребу, Република Хрватска, уз присуство чланова породица, обављена је идентификација посмртних остатака </w:t>
      </w:r>
      <w:r w:rsidR="00AC7C10">
        <w:rPr>
          <w:rFonts w:eastAsia="Calibri" w:cs="Times New Roman"/>
          <w:lang w:val="ru-RU"/>
        </w:rPr>
        <w:t>33</w:t>
      </w:r>
      <w:r w:rsidRPr="00FD6B73">
        <w:rPr>
          <w:rFonts w:eastAsia="Calibri" w:cs="Times New Roman"/>
          <w:lang w:val="ru-RU"/>
        </w:rPr>
        <w:t xml:space="preserve"> жртве српске националности, страдалих током оружаних сукоба на простору бивше Југославије, у периоду 1991 - 1995. године, на подручју Републике Хрватске.</w:t>
      </w:r>
      <w:r w:rsidRPr="00FD6B73">
        <w:rPr>
          <w:rFonts w:cs="Times New Roman"/>
          <w:lang w:val="ru-RU"/>
        </w:rPr>
        <w:t xml:space="preserve"> На подручју Личко-сењске и Карловачке жупаније, надлежни органи Републике Хрватске, спровели су процес ексхумације, са преосталих регистрованих гробних места, на којима су покопани посмртни остаци жртава српске националности које су страдале у акцији хрватске војске и полиције „Олуја”. Том приликом ексхумирани су посмртни остаци 24 лица. На захтев хрватске стране извршено је теренско извиђање на простору некадашње кудељаре и на локалном гробљу у Богојеву и на месним гробљима дуж реке Дунав низводно од Смедерева.</w:t>
      </w:r>
    </w:p>
    <w:p w14:paraId="00186721" w14:textId="31E8DA36" w:rsidR="00AF1189" w:rsidRPr="00FD6B73" w:rsidRDefault="00AF1189" w:rsidP="00F10AC7">
      <w:pPr>
        <w:shd w:val="clear" w:color="auto" w:fill="FFFFFF"/>
        <w:spacing w:after="120" w:line="240" w:lineRule="auto"/>
        <w:rPr>
          <w:rFonts w:cs="Times New Roman"/>
          <w:lang w:val="ru-RU"/>
        </w:rPr>
      </w:pPr>
      <w:r w:rsidRPr="00FD6B73">
        <w:rPr>
          <w:rFonts w:cs="Times New Roman"/>
          <w:lang w:val="ru-RU"/>
        </w:rPr>
        <w:t xml:space="preserve">На основу потписаног Протокола о сарадњи у тражењу несталих лица са </w:t>
      </w:r>
      <w:r w:rsidR="00AC7C10">
        <w:rPr>
          <w:rFonts w:cs="Times New Roman"/>
          <w:lang w:val="ru-RU"/>
        </w:rPr>
        <w:t>Босном и Херцеговином</w:t>
      </w:r>
      <w:r w:rsidRPr="00FD6B73">
        <w:rPr>
          <w:rFonts w:cs="Times New Roman"/>
          <w:lang w:val="ru-RU"/>
        </w:rPr>
        <w:t xml:space="preserve"> у извештајном периоду одржан је један билатерални састанак. Потписана су </w:t>
      </w:r>
      <w:r w:rsidRPr="00FD6B73">
        <w:rPr>
          <w:rFonts w:eastAsia="Calibri" w:cs="Times New Roman"/>
          <w:lang w:val="ru-RU"/>
        </w:rPr>
        <w:t>Радна правила и процедуре за реализацију Протокола о сарадњи у тражењу несталих лица између Владе Републике Србије и Савета министара Босне и Херцеговине.</w:t>
      </w:r>
      <w:r w:rsidRPr="00FD6B73">
        <w:rPr>
          <w:rFonts w:cs="Times New Roman"/>
          <w:lang w:val="ru-RU"/>
        </w:rPr>
        <w:t xml:space="preserve"> На градским гробљима у Ковину и Новој Бежанији ексхумирани су посмртни остаци три лица и предата су Институту за нестале особе </w:t>
      </w:r>
      <w:r w:rsidR="00AC7C10" w:rsidRPr="00FD6B73">
        <w:rPr>
          <w:rFonts w:eastAsia="Calibri" w:cs="Times New Roman"/>
          <w:lang w:val="ru-RU"/>
        </w:rPr>
        <w:t>Босне и Херцеговине</w:t>
      </w:r>
      <w:r w:rsidRPr="00FD6B73">
        <w:rPr>
          <w:rFonts w:cs="Times New Roman"/>
          <w:lang w:val="ru-RU"/>
        </w:rPr>
        <w:t xml:space="preserve"> ради коначне идентификације. </w:t>
      </w:r>
      <w:r w:rsidR="00AC7C10">
        <w:rPr>
          <w:rFonts w:cs="Times New Roman"/>
          <w:lang w:val="ru-RU"/>
        </w:rPr>
        <w:t xml:space="preserve"> </w:t>
      </w:r>
    </w:p>
    <w:p w14:paraId="4339126A" w14:textId="4685F255" w:rsidR="00AF1189" w:rsidRPr="00FD6B73" w:rsidRDefault="00AF1189" w:rsidP="00F10AC7">
      <w:pPr>
        <w:spacing w:after="120" w:line="240" w:lineRule="auto"/>
        <w:rPr>
          <w:rFonts w:eastAsia="Calibri" w:cs="Times New Roman"/>
          <w:lang w:val="ru-RU"/>
        </w:rPr>
      </w:pPr>
      <w:r w:rsidRPr="00FD6B73">
        <w:rPr>
          <w:rFonts w:eastAsia="Calibri" w:cs="Times New Roman"/>
          <w:lang w:val="ru-RU"/>
        </w:rPr>
        <w:t>Имајући у виду обим, сложеност и специфичност послова који се обављају у Комесаријату за избеглице и миграције за потребе рада Комисије за нестала лица, а све у циљу обезбеђивања свеобухватног, професионалног и системског приступа у решавању овог питања, спроведена је анализа организационе структуре и положаја стручне службе, те је у складу са Правилником о унутрашњем уређењу и систематизацији радних места 2019. године, уместо Одсека за нестала лица, који је до тада био у Сектору за прихват, збрињавање, реадмисију и трајна решења, образовано Одељење за нестала лица, као ужа унутрашња јединица изван састава сектора, које има две уже унутрашње јединице и то: Група за нестала лица на простору АП КИМ и Група за нестала лица на територији бивше СФРЈ.</w:t>
      </w:r>
      <w:r w:rsidR="002B5935">
        <w:rPr>
          <w:rFonts w:eastAsia="Calibri" w:cs="Times New Roman"/>
          <w:lang w:val="ru-RU"/>
        </w:rPr>
        <w:t xml:space="preserve"> </w:t>
      </w:r>
      <w:r w:rsidRPr="00FD6B73">
        <w:rPr>
          <w:rFonts w:eastAsia="Calibri" w:cs="Times New Roman"/>
          <w:lang w:val="ru-RU"/>
        </w:rPr>
        <w:t xml:space="preserve">Одељење за нестала лица се састоји од 9 извршилачких радних места. Имајући у виду да је повећан број извршилаца, следећи корак је да се за нова радна места, Законом о </w:t>
      </w:r>
      <w:r w:rsidRPr="00FD6B73">
        <w:rPr>
          <w:rFonts w:eastAsia="Calibri" w:cs="Times New Roman"/>
          <w:lang w:val="ru-RU"/>
        </w:rPr>
        <w:lastRenderedPageBreak/>
        <w:t>буџету обезбеде финансијска средства, како би се стекли законски услови за спровођење конкурса за пријем у радни однос.</w:t>
      </w:r>
    </w:p>
    <w:p w14:paraId="7F84338A" w14:textId="73DFB102" w:rsidR="00AF1189" w:rsidRPr="00FD6B73" w:rsidRDefault="00AF1189" w:rsidP="00F10AC7">
      <w:pPr>
        <w:tabs>
          <w:tab w:val="left" w:pos="709"/>
        </w:tabs>
        <w:spacing w:after="120" w:line="240" w:lineRule="auto"/>
        <w:rPr>
          <w:rFonts w:eastAsia="Calibri" w:cs="Times New Roman"/>
          <w:lang w:val="ru-RU"/>
        </w:rPr>
      </w:pPr>
      <w:r w:rsidRPr="00FD6B73">
        <w:rPr>
          <w:rFonts w:eastAsia="Calibri" w:cs="Times New Roman"/>
          <w:lang w:val="ru-RU"/>
        </w:rPr>
        <w:t xml:space="preserve">У циљу унапређења сарадње државних органа укључених у процес истраге и процесуирања ратних злочина, а ради убрзања размене података који су од значаја за откривање судбине несталих лица, формирана је Експертска група за решавање случајева несталих лица на простору бивше СФРЈ и у извештајном периоду одржана су четири састанка. Дана 12. јуна 2018. године у Београду, председник Комисије за нестала лица и тужилац </w:t>
      </w:r>
      <w:r w:rsidRPr="00FD6B73">
        <w:rPr>
          <w:rFonts w:cs="Times New Roman"/>
          <w:kern w:val="3"/>
          <w:lang w:val="ru-RU"/>
        </w:rPr>
        <w:t>за ратне злочине</w:t>
      </w:r>
      <w:r w:rsidRPr="00FD6B73">
        <w:rPr>
          <w:rFonts w:eastAsia="Calibri" w:cs="Times New Roman"/>
          <w:lang w:val="ru-RU"/>
        </w:rPr>
        <w:t xml:space="preserve"> потписали су Меморандум о сарадњи.</w:t>
      </w:r>
    </w:p>
    <w:p w14:paraId="0DBA241B" w14:textId="0B7B252B" w:rsidR="00AF1189" w:rsidRPr="00FD6B73" w:rsidRDefault="00AF1189" w:rsidP="00F10AC7">
      <w:pPr>
        <w:tabs>
          <w:tab w:val="left" w:pos="709"/>
        </w:tabs>
        <w:spacing w:after="120" w:line="240" w:lineRule="auto"/>
        <w:rPr>
          <w:rFonts w:eastAsia="Calibri" w:cs="Times New Roman"/>
          <w:lang w:val="ru-RU"/>
        </w:rPr>
      </w:pPr>
      <w:r w:rsidRPr="00FD6B73">
        <w:rPr>
          <w:rFonts w:eastAsia="Calibri" w:cs="Times New Roman"/>
          <w:lang w:val="ru-RU"/>
        </w:rPr>
        <w:t xml:space="preserve">Одбор за Косово и Метохију Народне скупштине, на Десетој седници одржаној 19. октобра 2015. године, донео је Одлуку о образовању Радне групе за прикупљање чињеница и доказа у расветљавању злочина над припадницима српског народа и осталих националних заједница на </w:t>
      </w:r>
      <w:r w:rsidR="00AC7C10">
        <w:rPr>
          <w:rFonts w:eastAsia="Calibri" w:cs="Times New Roman"/>
          <w:lang w:val="ru-RU"/>
        </w:rPr>
        <w:t>Косову и Метохији</w:t>
      </w:r>
      <w:r w:rsidRPr="00FD6B73">
        <w:rPr>
          <w:rFonts w:eastAsia="Calibri" w:cs="Times New Roman"/>
          <w:lang w:val="ru-RU"/>
        </w:rPr>
        <w:t xml:space="preserve"> и у посматраном периоду укупно је одржано шест седница.</w:t>
      </w:r>
    </w:p>
    <w:p w14:paraId="3907D3BC" w14:textId="2A6B3430" w:rsidR="00AF1189" w:rsidRPr="00FD6B73" w:rsidRDefault="00AF1189" w:rsidP="00F10AC7">
      <w:pPr>
        <w:spacing w:after="120" w:line="240" w:lineRule="auto"/>
        <w:rPr>
          <w:rFonts w:eastAsia="Calibri" w:cs="Times New Roman"/>
          <w:lang w:val="ru-RU"/>
        </w:rPr>
      </w:pPr>
      <w:r w:rsidRPr="00FD6B73">
        <w:rPr>
          <w:rFonts w:eastAsia="Calibri" w:cs="Times New Roman"/>
          <w:lang w:val="ru-RU"/>
        </w:rPr>
        <w:t xml:space="preserve">Дана 16. децембра 2015. године у Хагу, амбасадор Републике Србије у Холандији, у име Владе, као заступник Републике Србије, потписао је Споразум између Републике Србије и Међународне комисије за нестала лица о статусу и функцијама МКНЛ и исти је </w:t>
      </w:r>
      <w:r w:rsidR="00AC7C10">
        <w:rPr>
          <w:rFonts w:eastAsia="Calibri" w:cs="Times New Roman"/>
          <w:lang w:val="ru-RU"/>
        </w:rPr>
        <w:t>потврђен</w:t>
      </w:r>
      <w:r w:rsidRPr="00FD6B73">
        <w:rPr>
          <w:rFonts w:eastAsia="Calibri" w:cs="Times New Roman"/>
          <w:lang w:val="ru-RU"/>
        </w:rPr>
        <w:t xml:space="preserve"> у Народној скупштини 29. маја 2017. године и за Републику Србију ступио је на снагу 20. августа 2017. године.</w:t>
      </w:r>
    </w:p>
    <w:p w14:paraId="7C52A869" w14:textId="09D27E0E" w:rsidR="00AF1189" w:rsidRPr="00FD6B73" w:rsidRDefault="00AF1189" w:rsidP="00F10AC7">
      <w:pPr>
        <w:spacing w:after="120" w:line="240" w:lineRule="auto"/>
        <w:rPr>
          <w:rFonts w:eastAsia="Calibri" w:cs="Times New Roman"/>
          <w:lang w:val="ru-RU"/>
        </w:rPr>
      </w:pPr>
      <w:r w:rsidRPr="00FD6B73">
        <w:rPr>
          <w:rFonts w:eastAsia="Calibri" w:cs="Times New Roman"/>
          <w:lang w:val="ru-RU"/>
        </w:rPr>
        <w:t xml:space="preserve">Претраге терена и ексхумације посмртних остатака на простору </w:t>
      </w:r>
      <w:r w:rsidR="00AC7C10">
        <w:rPr>
          <w:rFonts w:eastAsia="Calibri" w:cs="Times New Roman"/>
          <w:lang w:val="ru-RU"/>
        </w:rPr>
        <w:t>ц</w:t>
      </w:r>
      <w:r w:rsidRPr="00FD6B73">
        <w:rPr>
          <w:rFonts w:eastAsia="Calibri" w:cs="Times New Roman"/>
          <w:lang w:val="ru-RU"/>
        </w:rPr>
        <w:t xml:space="preserve">ентралне Србије спроводе се по наредби </w:t>
      </w:r>
      <w:r w:rsidR="00AC7C10">
        <w:rPr>
          <w:rFonts w:eastAsia="Calibri" w:cs="Times New Roman"/>
          <w:lang w:val="ru-RU"/>
        </w:rPr>
        <w:t>ТРЗ</w:t>
      </w:r>
      <w:r w:rsidRPr="00FD6B73">
        <w:rPr>
          <w:rFonts w:eastAsia="Calibri" w:cs="Times New Roman"/>
          <w:lang w:val="ru-RU"/>
        </w:rPr>
        <w:t xml:space="preserve"> и Вишег суда, Одељењ</w:t>
      </w:r>
      <w:r w:rsidR="0070172A" w:rsidRPr="00FD6B73">
        <w:rPr>
          <w:rFonts w:eastAsia="Calibri" w:cs="Times New Roman"/>
          <w:lang w:val="ru-RU"/>
        </w:rPr>
        <w:t>а</w:t>
      </w:r>
      <w:r w:rsidRPr="00FD6B73">
        <w:rPr>
          <w:rFonts w:eastAsia="Calibri" w:cs="Times New Roman"/>
          <w:lang w:val="ru-RU"/>
        </w:rPr>
        <w:t xml:space="preserve"> за ратне злочине. Комисија за нестала лица за ове активнос</w:t>
      </w:r>
      <w:r w:rsidR="005538E0" w:rsidRPr="00FD6B73">
        <w:rPr>
          <w:rFonts w:eastAsia="Calibri" w:cs="Times New Roman"/>
          <w:lang w:val="ru-RU"/>
        </w:rPr>
        <w:t>ти пружа сву логистичку подршку</w:t>
      </w:r>
      <w:r w:rsidRPr="00FD6B73">
        <w:rPr>
          <w:rFonts w:eastAsia="Calibri" w:cs="Times New Roman"/>
          <w:lang w:val="ru-RU"/>
        </w:rPr>
        <w:t xml:space="preserve"> и врши рефундацију свих трошкова, како из буџетских средстава опредељених за рад </w:t>
      </w:r>
      <w:r w:rsidR="00AC7C10">
        <w:rPr>
          <w:rFonts w:eastAsia="Calibri" w:cs="Times New Roman"/>
          <w:lang w:val="ru-RU"/>
        </w:rPr>
        <w:t>ове комисије</w:t>
      </w:r>
      <w:r w:rsidRPr="00FD6B73">
        <w:rPr>
          <w:rFonts w:eastAsia="Calibri" w:cs="Times New Roman"/>
          <w:lang w:val="ru-RU"/>
        </w:rPr>
        <w:t>, тако и из донаторских средстава кроз одобрене пројекте.</w:t>
      </w:r>
    </w:p>
    <w:p w14:paraId="0A13D18A" w14:textId="77777777" w:rsidR="00AF1189" w:rsidRPr="00FD6B73" w:rsidRDefault="00AF1189" w:rsidP="00F10AC7">
      <w:pPr>
        <w:spacing w:after="120" w:line="240" w:lineRule="auto"/>
        <w:rPr>
          <w:rFonts w:eastAsia="Calibri" w:cs="Times New Roman"/>
          <w:lang w:val="ru-RU"/>
        </w:rPr>
      </w:pPr>
      <w:r w:rsidRPr="00FD6B73">
        <w:rPr>
          <w:rFonts w:eastAsia="Calibri" w:cs="Times New Roman"/>
          <w:lang w:val="ru-RU"/>
        </w:rPr>
        <w:t>Када је у питању оснивање посебног фонда за подршку надлежним органима у прибављању свих расположивих података о гробним локацијама лица која се још увек воде као нестала, Комисија за нестала лица врши консултације и припрему одређене документације, како би у складу са законским процедурама ове активности реализовала.</w:t>
      </w:r>
    </w:p>
    <w:tbl>
      <w:tblPr>
        <w:tblStyle w:val="TableGrid"/>
        <w:tblW w:w="0" w:type="auto"/>
        <w:shd w:val="clear" w:color="auto" w:fill="DEEAF6" w:themeFill="accent1" w:themeFillTint="33"/>
        <w:tblLook w:val="04A0" w:firstRow="1" w:lastRow="0" w:firstColumn="1" w:lastColumn="0" w:noHBand="0" w:noVBand="1"/>
      </w:tblPr>
      <w:tblGrid>
        <w:gridCol w:w="9350"/>
      </w:tblGrid>
      <w:tr w:rsidR="00AF1189" w:rsidRPr="00627105" w14:paraId="75496BA0" w14:textId="77777777" w:rsidTr="00AF1189">
        <w:tc>
          <w:tcPr>
            <w:tcW w:w="9350" w:type="dxa"/>
            <w:tcBorders>
              <w:top w:val="nil"/>
              <w:left w:val="nil"/>
              <w:bottom w:val="nil"/>
              <w:right w:val="nil"/>
            </w:tcBorders>
            <w:shd w:val="clear" w:color="auto" w:fill="DEEAF6" w:themeFill="accent1" w:themeFillTint="33"/>
          </w:tcPr>
          <w:p w14:paraId="355A4552" w14:textId="77777777" w:rsidR="00AF1189" w:rsidRPr="00FD6B73" w:rsidRDefault="00AF1189" w:rsidP="00F10AC7">
            <w:pPr>
              <w:tabs>
                <w:tab w:val="left" w:pos="3998"/>
              </w:tabs>
              <w:spacing w:after="120"/>
              <w:rPr>
                <w:rFonts w:cs="Times New Roman"/>
                <w:bCs/>
                <w:lang w:val="ru-RU"/>
              </w:rPr>
            </w:pPr>
            <w:r w:rsidRPr="00FD6B73">
              <w:rPr>
                <w:rFonts w:cs="Times New Roman"/>
                <w:bCs/>
                <w:lang w:val="ru-RU"/>
              </w:rPr>
              <w:t>Имајући у виду све наведено, у предстојећем периоду неопходно је наставити усклађивање нормативног оквира са одредбама Међународне конвенције о заштити свих лица од присилних нестанака и то кроз:</w:t>
            </w:r>
          </w:p>
          <w:p w14:paraId="63221861" w14:textId="77777777" w:rsidR="00AF1189" w:rsidRPr="00FD6B73" w:rsidRDefault="00AF1189" w:rsidP="00F10AC7">
            <w:pPr>
              <w:pStyle w:val="ListParagraph"/>
              <w:numPr>
                <w:ilvl w:val="0"/>
                <w:numId w:val="31"/>
              </w:numPr>
              <w:tabs>
                <w:tab w:val="left" w:pos="3998"/>
              </w:tabs>
              <w:spacing w:after="120"/>
              <w:rPr>
                <w:rFonts w:cs="Times New Roman"/>
                <w:bCs/>
                <w:lang w:val="ru-RU"/>
              </w:rPr>
            </w:pPr>
            <w:r w:rsidRPr="00FD6B73">
              <w:rPr>
                <w:rFonts w:cs="Times New Roman"/>
                <w:bCs/>
                <w:lang w:val="ru-RU"/>
              </w:rPr>
              <w:t>Измене и допуне Кривичног законика;</w:t>
            </w:r>
          </w:p>
          <w:p w14:paraId="2E0E26EB" w14:textId="77777777" w:rsidR="00AF1189" w:rsidRPr="00FD6B73" w:rsidRDefault="00AF1189" w:rsidP="00F10AC7">
            <w:pPr>
              <w:pStyle w:val="ListParagraph"/>
              <w:numPr>
                <w:ilvl w:val="0"/>
                <w:numId w:val="31"/>
              </w:numPr>
              <w:tabs>
                <w:tab w:val="left" w:pos="3998"/>
              </w:tabs>
              <w:spacing w:after="120"/>
              <w:rPr>
                <w:rFonts w:cs="Times New Roman"/>
                <w:bCs/>
                <w:lang w:val="ru-RU"/>
              </w:rPr>
            </w:pPr>
            <w:r w:rsidRPr="00FD6B73">
              <w:rPr>
                <w:rFonts w:cs="Times New Roman"/>
                <w:bCs/>
                <w:lang w:val="ru-RU"/>
              </w:rPr>
              <w:t>Доношење Закона о несталим лицима;</w:t>
            </w:r>
          </w:p>
          <w:p w14:paraId="6FF7CB80" w14:textId="374C8EED" w:rsidR="00AF1189" w:rsidRPr="00FD6B73" w:rsidRDefault="00AF1189" w:rsidP="00F10AC7">
            <w:pPr>
              <w:pStyle w:val="ListParagraph"/>
              <w:numPr>
                <w:ilvl w:val="0"/>
                <w:numId w:val="31"/>
              </w:numPr>
              <w:tabs>
                <w:tab w:val="left" w:pos="3998"/>
              </w:tabs>
              <w:spacing w:after="120"/>
              <w:rPr>
                <w:rFonts w:cs="Times New Roman"/>
                <w:bCs/>
                <w:lang w:val="ru-RU"/>
              </w:rPr>
            </w:pPr>
            <w:r w:rsidRPr="00FD6B73">
              <w:rPr>
                <w:rFonts w:cs="Times New Roman"/>
                <w:bCs/>
                <w:lang w:val="ru-RU"/>
              </w:rPr>
              <w:t xml:space="preserve">Измене и допуне </w:t>
            </w:r>
            <w:r w:rsidR="00E2134C">
              <w:rPr>
                <w:rFonts w:cs="Times New Roman"/>
                <w:bCs/>
                <w:lang w:val="sr-Cyrl-RS"/>
              </w:rPr>
              <w:t>других релевантних прописа</w:t>
            </w:r>
            <w:r w:rsidRPr="00FD6B73">
              <w:rPr>
                <w:rFonts w:cs="Times New Roman"/>
                <w:bCs/>
                <w:color w:val="000000"/>
                <w:lang w:val="ru-RU"/>
              </w:rPr>
              <w:t xml:space="preserve">; </w:t>
            </w:r>
          </w:p>
          <w:p w14:paraId="1046EE4E" w14:textId="77777777" w:rsidR="00AF1189" w:rsidRPr="00FD6B73" w:rsidRDefault="00AF1189" w:rsidP="00F10AC7">
            <w:pPr>
              <w:pStyle w:val="ListParagraph"/>
              <w:numPr>
                <w:ilvl w:val="0"/>
                <w:numId w:val="31"/>
              </w:numPr>
              <w:tabs>
                <w:tab w:val="left" w:pos="3998"/>
              </w:tabs>
              <w:spacing w:after="120"/>
              <w:rPr>
                <w:rFonts w:cs="Times New Roman"/>
                <w:bCs/>
                <w:lang w:val="ru-RU"/>
              </w:rPr>
            </w:pPr>
            <w:r w:rsidRPr="00FD6B73">
              <w:rPr>
                <w:rFonts w:cs="Times New Roman"/>
                <w:bCs/>
                <w:lang w:val="ru-RU"/>
              </w:rPr>
              <w:t>Доследну примену Националне стратегије за остваривање права жртава и сведока кривичних дела у Републици Србији за период 2020-2025. и пратећег Акционог плана.</w:t>
            </w:r>
          </w:p>
          <w:p w14:paraId="0C30E31B" w14:textId="12CE609E" w:rsidR="00AF1189" w:rsidRPr="00FD6B73" w:rsidRDefault="00AF1189" w:rsidP="00F10AC7">
            <w:pPr>
              <w:tabs>
                <w:tab w:val="left" w:pos="3998"/>
              </w:tabs>
              <w:spacing w:after="120"/>
              <w:rPr>
                <w:rFonts w:cs="Times New Roman"/>
                <w:bCs/>
                <w:lang w:val="ru-RU"/>
              </w:rPr>
            </w:pPr>
            <w:r w:rsidRPr="00FD6B73">
              <w:rPr>
                <w:rFonts w:cs="Times New Roman"/>
                <w:bCs/>
                <w:lang w:val="ru-RU"/>
              </w:rPr>
              <w:t xml:space="preserve">Поред наведеног, неопходно је коначно решавање институционалног статуса Стручне службе Комисије за нестала лица, чиме би се постигао склад између </w:t>
            </w:r>
            <w:r w:rsidR="00AC7C10">
              <w:rPr>
                <w:rFonts w:cs="Times New Roman"/>
                <w:bCs/>
                <w:lang w:val="ru-RU"/>
              </w:rPr>
              <w:t>з</w:t>
            </w:r>
            <w:r w:rsidRPr="00FD6B73">
              <w:rPr>
                <w:rFonts w:cs="Times New Roman"/>
                <w:bCs/>
                <w:lang w:val="ru-RU"/>
              </w:rPr>
              <w:t>аконских овлашћења, административних капацитета и улоге коју Комисија има у пракси.</w:t>
            </w:r>
          </w:p>
          <w:p w14:paraId="4A854233" w14:textId="77777777" w:rsidR="00AF1189" w:rsidRPr="00FD6B73" w:rsidRDefault="00AF1189" w:rsidP="00F10AC7">
            <w:pPr>
              <w:tabs>
                <w:tab w:val="left" w:pos="3998"/>
              </w:tabs>
              <w:spacing w:after="120"/>
              <w:rPr>
                <w:rFonts w:cs="Times New Roman"/>
                <w:bCs/>
                <w:lang w:val="ru-RU"/>
              </w:rPr>
            </w:pPr>
            <w:r w:rsidRPr="00FD6B73">
              <w:rPr>
                <w:rFonts w:cs="Times New Roman"/>
                <w:bCs/>
                <w:lang w:val="ru-RU"/>
              </w:rPr>
              <w:t xml:space="preserve">У складу са </w:t>
            </w:r>
            <w:r w:rsidR="00A20FDD" w:rsidRPr="00FD6B73">
              <w:rPr>
                <w:rFonts w:cs="Times New Roman"/>
                <w:bCs/>
                <w:lang w:val="ru-RU"/>
              </w:rPr>
              <w:t>успостављеним</w:t>
            </w:r>
            <w:r w:rsidRPr="00FD6B73">
              <w:rPr>
                <w:rFonts w:cs="Times New Roman"/>
                <w:bCs/>
                <w:lang w:val="ru-RU"/>
              </w:rPr>
              <w:t xml:space="preserve"> механизмима сарадње </w:t>
            </w:r>
            <w:r w:rsidR="00A20FDD" w:rsidRPr="00FD6B73">
              <w:rPr>
                <w:rFonts w:cs="Times New Roman"/>
                <w:bCs/>
                <w:lang w:val="ru-RU"/>
              </w:rPr>
              <w:t xml:space="preserve">и </w:t>
            </w:r>
            <w:r w:rsidRPr="00FD6B73">
              <w:rPr>
                <w:rFonts w:cs="Times New Roman"/>
                <w:bCs/>
                <w:lang w:val="ru-RU"/>
              </w:rPr>
              <w:t xml:space="preserve">одредбама </w:t>
            </w:r>
            <w:r w:rsidRPr="00FD6B73">
              <w:rPr>
                <w:rFonts w:cs="Times New Roman"/>
                <w:lang w:val="ru-RU"/>
              </w:rPr>
              <w:t>Оквирног плана који проистиче из</w:t>
            </w:r>
            <w:r w:rsidRPr="00FD6B73">
              <w:rPr>
                <w:rFonts w:cs="Times New Roman"/>
                <w:bCs/>
                <w:lang w:val="ru-RU"/>
              </w:rPr>
              <w:t xml:space="preserve"> Лондонске декларације, потребно је наставити са ефикасном сарадњом у откривању судбине несталих лица.</w:t>
            </w:r>
          </w:p>
        </w:tc>
      </w:tr>
    </w:tbl>
    <w:p w14:paraId="1CB2D5CF" w14:textId="77777777" w:rsidR="00AF1189" w:rsidRPr="00FD6B73" w:rsidRDefault="00AF1189" w:rsidP="00F10AC7">
      <w:pPr>
        <w:tabs>
          <w:tab w:val="left" w:pos="3998"/>
        </w:tabs>
        <w:spacing w:after="120" w:line="240" w:lineRule="auto"/>
        <w:rPr>
          <w:rFonts w:cs="Times New Roman"/>
          <w:b/>
          <w:lang w:val="ru-RU"/>
        </w:rPr>
      </w:pPr>
    </w:p>
    <w:p w14:paraId="13C12345" w14:textId="77777777" w:rsidR="00AF1189" w:rsidRPr="00FD6B73" w:rsidRDefault="00AF1189" w:rsidP="00F10AC7">
      <w:pPr>
        <w:pStyle w:val="Heading2"/>
        <w:numPr>
          <w:ilvl w:val="1"/>
          <w:numId w:val="1"/>
        </w:numPr>
        <w:spacing w:line="240" w:lineRule="auto"/>
        <w:rPr>
          <w:rFonts w:cs="Times New Roman"/>
          <w:lang w:val="ru-RU"/>
        </w:rPr>
      </w:pPr>
      <w:bookmarkStart w:id="38" w:name="_Toc69325789"/>
      <w:bookmarkStart w:id="39" w:name="_Toc72932069"/>
      <w:bookmarkStart w:id="40" w:name="_Toc84580776"/>
      <w:r w:rsidRPr="00FD6B73">
        <w:rPr>
          <w:rFonts w:cs="Times New Roman"/>
          <w:lang w:val="ru-RU"/>
        </w:rPr>
        <w:t xml:space="preserve">Сарадња са Међународним кривичним трибуналом за бившу </w:t>
      </w:r>
      <w:r w:rsidR="00036EF3" w:rsidRPr="00FD6B73">
        <w:rPr>
          <w:rFonts w:cs="Times New Roman"/>
          <w:lang w:val="ru-RU"/>
        </w:rPr>
        <w:t>Ј</w:t>
      </w:r>
      <w:r w:rsidRPr="00FD6B73">
        <w:rPr>
          <w:rFonts w:cs="Times New Roman"/>
          <w:lang w:val="ru-RU"/>
        </w:rPr>
        <w:t>угославију</w:t>
      </w:r>
      <w:bookmarkEnd w:id="38"/>
      <w:bookmarkEnd w:id="39"/>
      <w:bookmarkEnd w:id="40"/>
    </w:p>
    <w:p w14:paraId="7372C2F7" w14:textId="77777777" w:rsidR="00AF1189" w:rsidRPr="00FD6B73" w:rsidRDefault="00AF1189" w:rsidP="00F10AC7">
      <w:pPr>
        <w:spacing w:after="120" w:line="240" w:lineRule="auto"/>
        <w:rPr>
          <w:rFonts w:cs="Times New Roman"/>
          <w:lang w:val="ru-RU"/>
        </w:rPr>
      </w:pPr>
    </w:p>
    <w:p w14:paraId="14AE60B7" w14:textId="77777777" w:rsidR="00AF1189" w:rsidRPr="00CD46D4" w:rsidRDefault="00AF1189" w:rsidP="00F10AC7">
      <w:pPr>
        <w:pStyle w:val="Heading3"/>
        <w:numPr>
          <w:ilvl w:val="2"/>
          <w:numId w:val="1"/>
        </w:numPr>
        <w:spacing w:line="240" w:lineRule="auto"/>
        <w:rPr>
          <w:rFonts w:cs="Times New Roman"/>
        </w:rPr>
      </w:pPr>
      <w:bookmarkStart w:id="41" w:name="_Toc69325790"/>
      <w:bookmarkStart w:id="42" w:name="_Toc72932070"/>
      <w:bookmarkStart w:id="43" w:name="_Toc84580777"/>
      <w:r w:rsidRPr="00CD46D4">
        <w:rPr>
          <w:rFonts w:cs="Times New Roman"/>
        </w:rPr>
        <w:t xml:space="preserve">Преглед испуњености мера из </w:t>
      </w:r>
      <w:bookmarkEnd w:id="41"/>
      <w:r w:rsidR="00B9743B" w:rsidRPr="00CD46D4">
        <w:rPr>
          <w:rFonts w:cs="Times New Roman"/>
        </w:rPr>
        <w:t>НСПРЗ</w:t>
      </w:r>
      <w:bookmarkEnd w:id="42"/>
      <w:bookmarkEnd w:id="43"/>
    </w:p>
    <w:p w14:paraId="00C0FE03" w14:textId="77777777" w:rsidR="00AF1189" w:rsidRPr="00CD46D4" w:rsidRDefault="00AF1189" w:rsidP="00F10AC7">
      <w:pPr>
        <w:spacing w:after="120" w:line="240" w:lineRule="auto"/>
        <w:rPr>
          <w:rFonts w:cs="Times New Roman"/>
        </w:rPr>
      </w:pPr>
    </w:p>
    <w:p w14:paraId="06DD6F0B" w14:textId="733795FF" w:rsidR="00AF1189" w:rsidRPr="00FD6B73" w:rsidRDefault="00AC7C10" w:rsidP="00F10AC7">
      <w:pPr>
        <w:spacing w:after="120" w:line="240" w:lineRule="auto"/>
        <w:rPr>
          <w:rFonts w:cs="Times New Roman"/>
          <w:lang w:val="ru-RU"/>
        </w:rPr>
      </w:pPr>
      <w:r>
        <w:rPr>
          <w:rFonts w:cs="Times New Roman"/>
          <w:lang w:val="ru-RU"/>
        </w:rPr>
        <w:t>НСПРЗ</w:t>
      </w:r>
      <w:r w:rsidR="00AF1189" w:rsidRPr="00FD6B73">
        <w:rPr>
          <w:rFonts w:cs="Times New Roman"/>
          <w:lang w:val="ru-RU"/>
        </w:rPr>
        <w:t xml:space="preserve"> је предвидела обавезу </w:t>
      </w:r>
      <w:r>
        <w:rPr>
          <w:rFonts w:cs="Times New Roman"/>
          <w:lang w:val="ru-RU"/>
        </w:rPr>
        <w:t>Републике Србије</w:t>
      </w:r>
      <w:r w:rsidR="00AF1189" w:rsidRPr="00FD6B73">
        <w:rPr>
          <w:rFonts w:cs="Times New Roman"/>
          <w:lang w:val="ru-RU"/>
        </w:rPr>
        <w:t xml:space="preserve"> да настави сарадњу како са </w:t>
      </w:r>
      <w:r>
        <w:rPr>
          <w:rFonts w:cs="Times New Roman"/>
          <w:lang w:val="ru-RU"/>
        </w:rPr>
        <w:t>МК</w:t>
      </w:r>
      <w:r w:rsidR="00E32577">
        <w:rPr>
          <w:rFonts w:cs="Times New Roman"/>
          <w:lang w:val="ru-RU"/>
        </w:rPr>
        <w:t>Т</w:t>
      </w:r>
      <w:r>
        <w:rPr>
          <w:rFonts w:cs="Times New Roman"/>
          <w:lang w:val="ru-RU"/>
        </w:rPr>
        <w:t>Ј</w:t>
      </w:r>
      <w:r w:rsidR="00AF1189" w:rsidRPr="00FD6B73">
        <w:rPr>
          <w:rFonts w:cs="Times New Roman"/>
          <w:lang w:val="ru-RU"/>
        </w:rPr>
        <w:t xml:space="preserve">, </w:t>
      </w:r>
      <w:r>
        <w:rPr>
          <w:rFonts w:cs="Times New Roman"/>
          <w:lang w:val="ru-RU"/>
        </w:rPr>
        <w:t xml:space="preserve">тако и са </w:t>
      </w:r>
      <w:r w:rsidR="00AF1189" w:rsidRPr="00FD6B73">
        <w:rPr>
          <w:rFonts w:cs="Times New Roman"/>
          <w:lang w:val="ru-RU"/>
        </w:rPr>
        <w:t>МРМК</w:t>
      </w:r>
      <w:r w:rsidR="00C15136" w:rsidRPr="00FD6B73">
        <w:rPr>
          <w:rFonts w:cs="Times New Roman"/>
          <w:lang w:val="ru-RU"/>
        </w:rPr>
        <w:t>С</w:t>
      </w:r>
      <w:r w:rsidR="00AF1189" w:rsidRPr="00FD6B73">
        <w:rPr>
          <w:rFonts w:cs="Times New Roman"/>
          <w:lang w:val="ru-RU"/>
        </w:rPr>
        <w:t xml:space="preserve">. </w:t>
      </w:r>
    </w:p>
    <w:p w14:paraId="77F9A414" w14:textId="471DE623" w:rsidR="00AF1189" w:rsidRPr="00FD6B73" w:rsidRDefault="00AF1189" w:rsidP="00F10AC7">
      <w:pPr>
        <w:spacing w:after="120" w:line="240" w:lineRule="auto"/>
        <w:rPr>
          <w:rFonts w:cs="Times New Roman"/>
          <w:sz w:val="32"/>
          <w:szCs w:val="32"/>
          <w:lang w:val="ru-RU"/>
        </w:rPr>
      </w:pPr>
      <w:r w:rsidRPr="00FD6B73">
        <w:rPr>
          <w:rFonts w:cs="Times New Roman"/>
          <w:bCs/>
          <w:lang w:val="ru-RU"/>
        </w:rPr>
        <w:t>У духу мера предвиђених</w:t>
      </w:r>
      <w:r w:rsidR="002B5935">
        <w:rPr>
          <w:rFonts w:cs="Times New Roman"/>
          <w:bCs/>
          <w:lang w:val="ru-RU"/>
        </w:rPr>
        <w:t xml:space="preserve"> </w:t>
      </w:r>
      <w:r w:rsidR="00AC7C10">
        <w:rPr>
          <w:rFonts w:cs="Times New Roman"/>
          <w:lang w:val="ru-RU"/>
        </w:rPr>
        <w:t>НСПРЗ</w:t>
      </w:r>
      <w:r w:rsidRPr="00FD6B73">
        <w:rPr>
          <w:rFonts w:cs="Times New Roman"/>
          <w:bCs/>
          <w:lang w:val="ru-RU"/>
        </w:rPr>
        <w:t xml:space="preserve">, и Прелазно мерило број 21 из Преговарачке позиције за Поглавље 23 предвиђа обавезу </w:t>
      </w:r>
      <w:r w:rsidR="00AC7C10">
        <w:rPr>
          <w:rFonts w:cs="Times New Roman"/>
          <w:bCs/>
          <w:lang w:val="ru-RU"/>
        </w:rPr>
        <w:t xml:space="preserve">Републике </w:t>
      </w:r>
      <w:r w:rsidRPr="00FD6B73">
        <w:rPr>
          <w:rFonts w:cs="Times New Roman"/>
          <w:bCs/>
          <w:lang w:val="ru-RU"/>
        </w:rPr>
        <w:t>Србије да</w:t>
      </w:r>
      <w:r w:rsidRPr="00FD6B73">
        <w:rPr>
          <w:rFonts w:cs="Times New Roman"/>
          <w:lang w:val="ru-RU"/>
        </w:rPr>
        <w:t xml:space="preserve"> у потпуности сарађује са </w:t>
      </w:r>
      <w:r w:rsidR="00AC7C10">
        <w:rPr>
          <w:rFonts w:cs="Times New Roman"/>
          <w:lang w:val="ru-RU"/>
        </w:rPr>
        <w:t>МК</w:t>
      </w:r>
      <w:r w:rsidR="00E32577">
        <w:rPr>
          <w:rFonts w:cs="Times New Roman"/>
          <w:lang w:val="ru-RU"/>
        </w:rPr>
        <w:t>Т</w:t>
      </w:r>
      <w:r w:rsidR="00AC7C10">
        <w:rPr>
          <w:rFonts w:cs="Times New Roman"/>
          <w:lang w:val="ru-RU"/>
        </w:rPr>
        <w:t>Ј</w:t>
      </w:r>
      <w:r w:rsidR="00AC7C10" w:rsidRPr="00FD6B73">
        <w:rPr>
          <w:rFonts w:cs="Times New Roman"/>
          <w:lang w:val="ru-RU"/>
        </w:rPr>
        <w:t xml:space="preserve"> </w:t>
      </w:r>
      <w:r w:rsidRPr="00FD6B73">
        <w:rPr>
          <w:rFonts w:cs="Times New Roman"/>
          <w:lang w:val="ru-RU"/>
        </w:rPr>
        <w:t xml:space="preserve">(укључујући потпуно прихватање и примену свих пресуда и одлука) као и са </w:t>
      </w:r>
      <w:r w:rsidR="00AC7C10" w:rsidRPr="00FD6B73">
        <w:rPr>
          <w:rFonts w:cs="Times New Roman"/>
          <w:lang w:val="ru-RU"/>
        </w:rPr>
        <w:t>МРМКС</w:t>
      </w:r>
      <w:r w:rsidRPr="00FD6B73">
        <w:rPr>
          <w:rFonts w:cs="Times New Roman"/>
          <w:lang w:val="ru-RU"/>
        </w:rPr>
        <w:t xml:space="preserve">. </w:t>
      </w:r>
      <w:r w:rsidR="00AC7C10">
        <w:rPr>
          <w:rFonts w:cs="Times New Roman"/>
          <w:lang w:val="ru-RU"/>
        </w:rPr>
        <w:t xml:space="preserve">  </w:t>
      </w:r>
    </w:p>
    <w:p w14:paraId="3F18899E" w14:textId="65EE6E40" w:rsidR="00AF1189" w:rsidRPr="00FD6B73" w:rsidRDefault="00AF1189" w:rsidP="00F10AC7">
      <w:pPr>
        <w:spacing w:after="120" w:line="240" w:lineRule="auto"/>
        <w:rPr>
          <w:rFonts w:cs="Times New Roman"/>
          <w:lang w:val="ru-RU"/>
        </w:rPr>
      </w:pPr>
      <w:r w:rsidRPr="00FD6B73">
        <w:rPr>
          <w:rFonts w:cs="Times New Roman"/>
          <w:color w:val="000000"/>
          <w:lang w:val="ru-RU"/>
        </w:rPr>
        <w:t xml:space="preserve">Облици сарадње са </w:t>
      </w:r>
      <w:r w:rsidR="00AC7C10" w:rsidRPr="00FD6B73">
        <w:rPr>
          <w:rFonts w:cs="Times New Roman"/>
          <w:lang w:val="ru-RU"/>
        </w:rPr>
        <w:t>МРМКС</w:t>
      </w:r>
      <w:r w:rsidR="00AC7C10" w:rsidRPr="00FD6B73">
        <w:rPr>
          <w:rFonts w:cs="Times New Roman"/>
          <w:color w:val="000000"/>
          <w:lang w:val="ru-RU"/>
        </w:rPr>
        <w:t xml:space="preserve"> </w:t>
      </w:r>
      <w:r w:rsidRPr="00FD6B73">
        <w:rPr>
          <w:rFonts w:cs="Times New Roman"/>
          <w:color w:val="000000"/>
          <w:lang w:val="ru-RU"/>
        </w:rPr>
        <w:t xml:space="preserve">у великој мери су конкретизовани Акционим планом за Поглавље 23 и </w:t>
      </w:r>
      <w:r w:rsidR="00AC7C10">
        <w:rPr>
          <w:rFonts w:cs="Times New Roman"/>
          <w:lang w:val="ru-RU"/>
        </w:rPr>
        <w:t>НСПРЗ</w:t>
      </w:r>
      <w:r w:rsidRPr="00FD6B73">
        <w:rPr>
          <w:rFonts w:cs="Times New Roman"/>
          <w:color w:val="000000"/>
          <w:lang w:val="ru-RU"/>
        </w:rPr>
        <w:t>.</w:t>
      </w:r>
      <w:r w:rsidR="00AC7C10">
        <w:rPr>
          <w:rFonts w:cs="Times New Roman"/>
          <w:color w:val="000000"/>
          <w:lang w:val="ru-RU"/>
        </w:rPr>
        <w:t xml:space="preserve"> </w:t>
      </w:r>
    </w:p>
    <w:p w14:paraId="2B643550" w14:textId="2D70D9F3" w:rsidR="00AF1189" w:rsidRPr="00FD6B73" w:rsidRDefault="00AF1189" w:rsidP="00F10AC7">
      <w:pPr>
        <w:spacing w:before="100" w:after="120" w:line="240" w:lineRule="auto"/>
        <w:rPr>
          <w:rFonts w:cs="Times New Roman"/>
          <w:lang w:val="ru-RU"/>
        </w:rPr>
      </w:pPr>
      <w:r w:rsidRPr="00FD6B73">
        <w:rPr>
          <w:rFonts w:cs="Times New Roman"/>
          <w:color w:val="000000"/>
          <w:lang w:val="ru-RU"/>
        </w:rPr>
        <w:t xml:space="preserve">Тужилаштво </w:t>
      </w:r>
      <w:r w:rsidR="00AC7C10" w:rsidRPr="00FD6B73">
        <w:rPr>
          <w:rFonts w:cs="Times New Roman"/>
          <w:lang w:val="ru-RU"/>
        </w:rPr>
        <w:t>МРМКС</w:t>
      </w:r>
      <w:r w:rsidR="00AC7C10" w:rsidRPr="00FD6B73">
        <w:rPr>
          <w:rFonts w:cs="Times New Roman"/>
          <w:color w:val="000000"/>
          <w:lang w:val="ru-RU"/>
        </w:rPr>
        <w:t xml:space="preserve"> </w:t>
      </w:r>
      <w:r w:rsidRPr="00FD6B73">
        <w:rPr>
          <w:rFonts w:cs="Times New Roman"/>
          <w:color w:val="000000"/>
          <w:lang w:val="ru-RU"/>
        </w:rPr>
        <w:t>је у више наврата ТРЗ уступило обимне истражне материјале који су без одлагања достављени заменицима тужиоца на разматрање и обраду, што је дало резултате јер је више поступака започето на основу те документације, посебно у току 2020. године, између осталог и у односу на високорангиране починиоце кривичних дела ратних злочина.</w:t>
      </w:r>
      <w:r w:rsidR="00AC7C10">
        <w:rPr>
          <w:rFonts w:cs="Times New Roman"/>
          <w:color w:val="000000"/>
          <w:lang w:val="ru-RU"/>
        </w:rPr>
        <w:t xml:space="preserve"> </w:t>
      </w:r>
    </w:p>
    <w:p w14:paraId="3E5DF968" w14:textId="77777777" w:rsidR="00AF1189" w:rsidRPr="00FD6B73" w:rsidRDefault="00AF1189" w:rsidP="00F10AC7">
      <w:pPr>
        <w:spacing w:before="100" w:after="120" w:line="240" w:lineRule="auto"/>
        <w:rPr>
          <w:rFonts w:cs="Times New Roman"/>
          <w:lang w:val="ru-RU"/>
        </w:rPr>
      </w:pPr>
      <w:r w:rsidRPr="00FD6B73">
        <w:rPr>
          <w:rFonts w:cs="Times New Roman"/>
          <w:color w:val="000000"/>
          <w:lang w:val="ru-RU"/>
        </w:rPr>
        <w:t xml:space="preserve">Један од облика остваривања сарадње између ова два тужилаштва обавља се путем размене захтева за </w:t>
      </w:r>
      <w:r w:rsidRPr="00FD6B73">
        <w:rPr>
          <w:rFonts w:cs="Times New Roman"/>
          <w:lang w:val="ru-RU"/>
        </w:rPr>
        <w:t xml:space="preserve">међународну правну </w:t>
      </w:r>
      <w:r w:rsidRPr="00FD6B73">
        <w:rPr>
          <w:rFonts w:cs="Times New Roman"/>
          <w:color w:val="000000"/>
          <w:lang w:val="ru-RU"/>
        </w:rPr>
        <w:t>помоћ.</w:t>
      </w:r>
      <w:r w:rsidRPr="00CD46D4">
        <w:rPr>
          <w:rFonts w:cs="Times New Roman"/>
          <w:color w:val="000000"/>
        </w:rPr>
        <w:t> </w:t>
      </w:r>
    </w:p>
    <w:p w14:paraId="3635DF3A" w14:textId="74F0C1CC" w:rsidR="00AF1189" w:rsidRPr="00FD6B73" w:rsidRDefault="00AF1189" w:rsidP="00F10AC7">
      <w:pPr>
        <w:spacing w:before="100" w:after="120" w:line="240" w:lineRule="auto"/>
        <w:rPr>
          <w:rFonts w:cs="Times New Roman"/>
          <w:lang w:val="ru-RU"/>
        </w:rPr>
      </w:pPr>
      <w:r w:rsidRPr="00FD6B73">
        <w:rPr>
          <w:rFonts w:cs="Times New Roman"/>
          <w:color w:val="000000"/>
          <w:lang w:val="ru-RU"/>
        </w:rPr>
        <w:t>У посматраном периоду настављено је са реализацијом заједничког пројекта МК</w:t>
      </w:r>
      <w:r w:rsidR="00E32577">
        <w:rPr>
          <w:rFonts w:cs="Times New Roman"/>
          <w:color w:val="000000"/>
          <w:lang w:val="ru-RU"/>
        </w:rPr>
        <w:t>Т</w:t>
      </w:r>
      <w:r w:rsidRPr="00FD6B73">
        <w:rPr>
          <w:rFonts w:cs="Times New Roman"/>
          <w:color w:val="000000"/>
          <w:lang w:val="ru-RU"/>
        </w:rPr>
        <w:t>Ј/</w:t>
      </w:r>
      <w:r w:rsidR="00C15136" w:rsidRPr="00FD6B73">
        <w:rPr>
          <w:rFonts w:cs="Times New Roman"/>
          <w:color w:val="000000"/>
          <w:lang w:val="ru-RU"/>
        </w:rPr>
        <w:t>МРМКС</w:t>
      </w:r>
      <w:r w:rsidRPr="00FD6B73">
        <w:rPr>
          <w:rFonts w:cs="Times New Roman"/>
          <w:color w:val="000000"/>
          <w:lang w:val="ru-RU"/>
        </w:rPr>
        <w:t xml:space="preserve"> и Европске комисије </w:t>
      </w:r>
      <w:r w:rsidR="005538E0" w:rsidRPr="00FD6B73">
        <w:rPr>
          <w:rFonts w:cs="Times New Roman"/>
          <w:color w:val="000000"/>
          <w:lang w:val="ru-RU"/>
        </w:rPr>
        <w:t>„</w:t>
      </w:r>
      <w:r w:rsidRPr="00FD6B73">
        <w:rPr>
          <w:rFonts w:cs="Times New Roman"/>
          <w:color w:val="000000"/>
          <w:lang w:val="ru-RU"/>
        </w:rPr>
        <w:t>Национални тужиоци у посети”, који омогућује боравак и рад представника ТРЗ при Тужилаштву МК</w:t>
      </w:r>
      <w:r w:rsidR="00E32577">
        <w:rPr>
          <w:rFonts w:cs="Times New Roman"/>
          <w:color w:val="000000"/>
          <w:lang w:val="ru-RU"/>
        </w:rPr>
        <w:t>Т</w:t>
      </w:r>
      <w:r w:rsidRPr="00FD6B73">
        <w:rPr>
          <w:rFonts w:cs="Times New Roman"/>
          <w:color w:val="000000"/>
          <w:lang w:val="ru-RU"/>
        </w:rPr>
        <w:t>Ј/</w:t>
      </w:r>
      <w:r w:rsidR="00C15136" w:rsidRPr="00FD6B73">
        <w:rPr>
          <w:rFonts w:cs="Times New Roman"/>
          <w:color w:val="000000"/>
          <w:lang w:val="ru-RU"/>
        </w:rPr>
        <w:t>МРМКС</w:t>
      </w:r>
      <w:r w:rsidRPr="00FD6B73">
        <w:rPr>
          <w:rFonts w:cs="Times New Roman"/>
          <w:color w:val="000000"/>
          <w:lang w:val="ru-RU"/>
        </w:rPr>
        <w:t xml:space="preserve">, тзв. </w:t>
      </w:r>
      <w:r w:rsidR="005538E0" w:rsidRPr="00FD6B73">
        <w:rPr>
          <w:rFonts w:cs="Times New Roman"/>
          <w:color w:val="000000"/>
          <w:lang w:val="ru-RU"/>
        </w:rPr>
        <w:t>„</w:t>
      </w:r>
      <w:r w:rsidRPr="00FD6B73">
        <w:rPr>
          <w:rFonts w:cs="Times New Roman"/>
          <w:color w:val="000000"/>
          <w:lang w:val="ru-RU"/>
        </w:rPr>
        <w:t>официра за везу”, који је самоиницијативно или по захтеву обрађивача предмета, континуирано претраживао базу података Тужилаштва МК</w:t>
      </w:r>
      <w:r w:rsidR="00E32577">
        <w:rPr>
          <w:rFonts w:cs="Times New Roman"/>
          <w:color w:val="000000"/>
          <w:lang w:val="ru-RU"/>
        </w:rPr>
        <w:t>Т</w:t>
      </w:r>
      <w:r w:rsidRPr="00FD6B73">
        <w:rPr>
          <w:rFonts w:cs="Times New Roman"/>
          <w:color w:val="000000"/>
          <w:lang w:val="ru-RU"/>
        </w:rPr>
        <w:t>Ј/</w:t>
      </w:r>
      <w:r w:rsidR="00C15136" w:rsidRPr="00FD6B73">
        <w:rPr>
          <w:rFonts w:cs="Times New Roman"/>
          <w:color w:val="000000"/>
          <w:lang w:val="ru-RU"/>
        </w:rPr>
        <w:t>МРМКС</w:t>
      </w:r>
      <w:r w:rsidRPr="00FD6B73">
        <w:rPr>
          <w:rFonts w:cs="Times New Roman"/>
          <w:color w:val="000000"/>
          <w:lang w:val="ru-RU"/>
        </w:rPr>
        <w:t>, издвајао и достављао документацију и доказе релевантне за поступке из надлежности ТРЗ. Осим тога, и обрађивачи предмета редовно су за потребе поступака које воде приступали ЕДС бази података Тужилаштва МК</w:t>
      </w:r>
      <w:r w:rsidR="00E32577">
        <w:rPr>
          <w:rFonts w:cs="Times New Roman"/>
          <w:color w:val="000000"/>
          <w:lang w:val="ru-RU"/>
        </w:rPr>
        <w:t>Т</w:t>
      </w:r>
      <w:r w:rsidRPr="00FD6B73">
        <w:rPr>
          <w:rFonts w:cs="Times New Roman"/>
          <w:color w:val="000000"/>
          <w:lang w:val="ru-RU"/>
        </w:rPr>
        <w:t xml:space="preserve">Ј и </w:t>
      </w:r>
      <w:r w:rsidR="00C15136" w:rsidRPr="00FD6B73">
        <w:rPr>
          <w:rFonts w:cs="Times New Roman"/>
          <w:color w:val="000000"/>
          <w:lang w:val="ru-RU"/>
        </w:rPr>
        <w:t>МРМКС</w:t>
      </w:r>
      <w:r w:rsidRPr="00FD6B73">
        <w:rPr>
          <w:rFonts w:cs="Times New Roman"/>
          <w:color w:val="000000"/>
          <w:lang w:val="ru-RU"/>
        </w:rPr>
        <w:t>.</w:t>
      </w:r>
      <w:r w:rsidRPr="00CD46D4">
        <w:rPr>
          <w:rFonts w:cs="Times New Roman"/>
          <w:color w:val="000000"/>
        </w:rPr>
        <w:t> </w:t>
      </w:r>
    </w:p>
    <w:p w14:paraId="4BC182BF" w14:textId="77777777" w:rsidR="00AF1189" w:rsidRPr="00FD6B73" w:rsidRDefault="00AF1189" w:rsidP="00F10AC7">
      <w:pPr>
        <w:spacing w:before="280" w:after="120" w:line="240" w:lineRule="auto"/>
        <w:rPr>
          <w:rFonts w:cs="Times New Roman"/>
          <w:lang w:val="ru-RU"/>
        </w:rPr>
      </w:pPr>
      <w:r w:rsidRPr="00FD6B73">
        <w:rPr>
          <w:rFonts w:cs="Times New Roman"/>
          <w:color w:val="000000"/>
          <w:lang w:val="ru-RU"/>
        </w:rPr>
        <w:t>У континуитету су одржавани периодични радни састанци током којих се дефинишу конкретни кораци у даљој сарадњи и усаглашава динамика активности. Настављена је сарадња одржавањем састанака на нивоу главних тужилаца и других представника ових институција. Састанци су одржавани најмање два пута годишње у склопу припрема полугодишњих извештаја које главни тужилац подноси Савету безбедности УН.</w:t>
      </w:r>
      <w:r w:rsidRPr="00CD46D4">
        <w:rPr>
          <w:rFonts w:cs="Times New Roman"/>
          <w:color w:val="000000"/>
        </w:rPr>
        <w:t>   </w:t>
      </w:r>
    </w:p>
    <w:p w14:paraId="59C1A896" w14:textId="0A86C2E5" w:rsidR="00AF1189" w:rsidRPr="00E32577" w:rsidRDefault="00AF1189" w:rsidP="00F10AC7">
      <w:pPr>
        <w:spacing w:after="120" w:line="240" w:lineRule="auto"/>
        <w:rPr>
          <w:rFonts w:cs="Times New Roman"/>
          <w:lang w:val="sr-Cyrl-RS"/>
        </w:rPr>
      </w:pPr>
      <w:r w:rsidRPr="00FD6B73">
        <w:rPr>
          <w:rFonts w:cs="Times New Roman"/>
          <w:color w:val="000000"/>
          <w:lang w:val="ru-RU"/>
        </w:rPr>
        <w:t>На последњем састанку на нивоу главних тужилаца одржаном у октобру 2020. године фокус је био на предметима категорије 2, о чему је расправљано још током последње регионалне конференције тужилаца одржане у Сарајеву 2019. године.</w:t>
      </w:r>
      <w:r w:rsidRPr="00CD46D4">
        <w:rPr>
          <w:rFonts w:cs="Times New Roman"/>
          <w:color w:val="000000"/>
        </w:rPr>
        <w:t> </w:t>
      </w:r>
      <w:r w:rsidR="00E32577">
        <w:rPr>
          <w:rFonts w:cs="Times New Roman"/>
          <w:color w:val="000000"/>
          <w:lang w:val="sr-Cyrl-RS"/>
        </w:rPr>
        <w:t xml:space="preserve"> </w:t>
      </w:r>
    </w:p>
    <w:p w14:paraId="756D5C1A" w14:textId="11A4651B" w:rsidR="00AF1189" w:rsidRPr="00FD6B73" w:rsidRDefault="00AF1189" w:rsidP="00F10AC7">
      <w:pPr>
        <w:spacing w:before="100" w:after="120" w:line="240" w:lineRule="auto"/>
        <w:rPr>
          <w:rFonts w:cs="Times New Roman"/>
          <w:lang w:val="ru-RU"/>
        </w:rPr>
      </w:pPr>
      <w:r w:rsidRPr="00FD6B73">
        <w:rPr>
          <w:rFonts w:cs="Times New Roman"/>
          <w:color w:val="000000"/>
          <w:lang w:val="ru-RU"/>
        </w:rPr>
        <w:t xml:space="preserve">Сарадња са </w:t>
      </w:r>
      <w:r w:rsidR="00E32577" w:rsidRPr="00FD6B73">
        <w:rPr>
          <w:rFonts w:cs="Times New Roman"/>
          <w:color w:val="000000"/>
          <w:lang w:val="ru-RU"/>
        </w:rPr>
        <w:t xml:space="preserve">МРМКС </w:t>
      </w:r>
      <w:r w:rsidRPr="00FD6B73">
        <w:rPr>
          <w:rFonts w:cs="Times New Roman"/>
          <w:color w:val="000000"/>
          <w:lang w:val="ru-RU"/>
        </w:rPr>
        <w:t>подразумева и преношење општег и посебног знања у погледу конкретних случајева, искуства и стратегија тужилаца МК</w:t>
      </w:r>
      <w:r w:rsidR="00E32577">
        <w:rPr>
          <w:rFonts w:cs="Times New Roman"/>
          <w:color w:val="000000"/>
          <w:lang w:val="ru-RU"/>
        </w:rPr>
        <w:t>Т</w:t>
      </w:r>
      <w:r w:rsidRPr="00FD6B73">
        <w:rPr>
          <w:rFonts w:cs="Times New Roman"/>
          <w:color w:val="000000"/>
          <w:lang w:val="ru-RU"/>
        </w:rPr>
        <w:t xml:space="preserve">Ј и </w:t>
      </w:r>
      <w:r w:rsidR="00C15136" w:rsidRPr="00FD6B73">
        <w:rPr>
          <w:rFonts w:cs="Times New Roman"/>
          <w:color w:val="000000"/>
          <w:lang w:val="ru-RU"/>
        </w:rPr>
        <w:t>МРМКС</w:t>
      </w:r>
      <w:r w:rsidRPr="00FD6B73">
        <w:rPr>
          <w:rFonts w:cs="Times New Roman"/>
          <w:color w:val="000000"/>
          <w:lang w:val="ru-RU"/>
        </w:rPr>
        <w:t xml:space="preserve"> о прикупљеним доказима и методама њихове употребе. У одређеном броју предмета који се воде пред </w:t>
      </w:r>
      <w:r w:rsidR="00E32577">
        <w:rPr>
          <w:rFonts w:cs="Times New Roman"/>
          <w:color w:val="000000"/>
          <w:lang w:val="ru-RU"/>
        </w:rPr>
        <w:t>ТРЗ</w:t>
      </w:r>
      <w:r w:rsidRPr="00FD6B73">
        <w:rPr>
          <w:rFonts w:cs="Times New Roman"/>
          <w:color w:val="000000"/>
          <w:lang w:val="ru-RU"/>
        </w:rPr>
        <w:t xml:space="preserve"> у којима се користи уступљена документација од </w:t>
      </w:r>
      <w:r w:rsidR="00E32577" w:rsidRPr="00FD6B73">
        <w:rPr>
          <w:rFonts w:cs="Times New Roman"/>
          <w:color w:val="000000"/>
          <w:lang w:val="ru-RU"/>
        </w:rPr>
        <w:t xml:space="preserve">МРМКС </w:t>
      </w:r>
      <w:r w:rsidRPr="00FD6B73">
        <w:rPr>
          <w:rFonts w:cs="Times New Roman"/>
          <w:color w:val="000000"/>
          <w:lang w:val="ru-RU"/>
        </w:rPr>
        <w:t>или МК</w:t>
      </w:r>
      <w:r w:rsidR="00E32577">
        <w:rPr>
          <w:rFonts w:cs="Times New Roman"/>
          <w:color w:val="000000"/>
          <w:lang w:val="ru-RU"/>
        </w:rPr>
        <w:t>Т</w:t>
      </w:r>
      <w:r w:rsidRPr="00FD6B73">
        <w:rPr>
          <w:rFonts w:cs="Times New Roman"/>
          <w:color w:val="000000"/>
          <w:lang w:val="ru-RU"/>
        </w:rPr>
        <w:t xml:space="preserve">Ј, достављене су изјаве и транскрипти сведочења сведока и жртава према којима су примењене мере заштите, али су одређени делови докумената затамњени или избрисани ради заштите </w:t>
      </w:r>
      <w:r w:rsidRPr="00FD6B73">
        <w:rPr>
          <w:rFonts w:cs="Times New Roman"/>
          <w:color w:val="000000"/>
          <w:lang w:val="ru-RU"/>
        </w:rPr>
        <w:lastRenderedPageBreak/>
        <w:t>идентитета тих лица. С обзиром на значај ових материјала, заменици тужиоца су у извештајном периоду у више предмета у којима поступају подносили захтеве за измену, односно укидање заштитних мера и достављање транскрипата и изјава у изворном облику, чему је претходила њихова детаљна процена о значају тих материјала за доказивање у конкретном предмету.</w:t>
      </w:r>
      <w:r w:rsidR="00E32577">
        <w:rPr>
          <w:rFonts w:cs="Times New Roman"/>
          <w:color w:val="000000"/>
          <w:lang w:val="ru-RU"/>
        </w:rPr>
        <w:t xml:space="preserve"> </w:t>
      </w:r>
    </w:p>
    <w:p w14:paraId="7F735AEF" w14:textId="3D312CBC" w:rsidR="00AF1189" w:rsidRPr="00E32577" w:rsidRDefault="00E32577" w:rsidP="00F10AC7">
      <w:pPr>
        <w:spacing w:before="280" w:after="120" w:line="240" w:lineRule="auto"/>
        <w:rPr>
          <w:rFonts w:cs="Times New Roman"/>
          <w:lang w:val="sr-Cyrl-RS"/>
        </w:rPr>
      </w:pPr>
      <w:r>
        <w:rPr>
          <w:rFonts w:cs="Times New Roman"/>
          <w:color w:val="000000"/>
          <w:lang w:val="ru-RU"/>
        </w:rPr>
        <w:t>НСПРЗ</w:t>
      </w:r>
      <w:r w:rsidR="00AF1189" w:rsidRPr="00FD6B73">
        <w:rPr>
          <w:rFonts w:cs="Times New Roman"/>
          <w:color w:val="000000"/>
          <w:lang w:val="ru-RU"/>
        </w:rPr>
        <w:t xml:space="preserve"> предвиђа и подршку у реализацији обука у области процесуирања сексуалног насиља као начина извршења кривичних дела из надлежности ТРЗ, као и у погледу примене мера заштите сведока, с обзиром да је у пракси уочен проблем у погледу реализације таквих захтева поднетих од стране ТРЗ, те су у складу са том обавезом, такве обуке и организоване током 2019. и 2020. године у више наврата, како у Србији, тако и у Холандији. Током обуке одржане у Хагу, полазници су се ближе упозн</w:t>
      </w:r>
      <w:r w:rsidR="00AF1189" w:rsidRPr="00FD6B73">
        <w:rPr>
          <w:rFonts w:cs="Times New Roman"/>
          <w:lang w:val="ru-RU"/>
        </w:rPr>
        <w:t>али</w:t>
      </w:r>
      <w:r w:rsidR="00AF1189" w:rsidRPr="00FD6B73">
        <w:rPr>
          <w:rFonts w:cs="Times New Roman"/>
          <w:color w:val="000000"/>
          <w:lang w:val="ru-RU"/>
        </w:rPr>
        <w:t xml:space="preserve"> са начином рада </w:t>
      </w:r>
      <w:r w:rsidRPr="00FD6B73">
        <w:rPr>
          <w:rFonts w:cs="Times New Roman"/>
          <w:color w:val="000000"/>
          <w:lang w:val="ru-RU"/>
        </w:rPr>
        <w:t>МРМКС</w:t>
      </w:r>
      <w:r w:rsidR="00AF1189" w:rsidRPr="00FD6B73">
        <w:rPr>
          <w:rFonts w:cs="Times New Roman"/>
          <w:color w:val="000000"/>
          <w:lang w:val="ru-RU"/>
        </w:rPr>
        <w:t>,</w:t>
      </w:r>
      <w:r w:rsidR="002B5935">
        <w:rPr>
          <w:rFonts w:cs="Times New Roman"/>
          <w:color w:val="000000"/>
          <w:lang w:val="ru-RU"/>
        </w:rPr>
        <w:t xml:space="preserve"> </w:t>
      </w:r>
      <w:r w:rsidR="00AF1189" w:rsidRPr="00FD6B73">
        <w:rPr>
          <w:rFonts w:cs="Times New Roman"/>
          <w:color w:val="000000"/>
          <w:lang w:val="ru-RU"/>
        </w:rPr>
        <w:t xml:space="preserve">припремом сложених предмета у пракси, поступању по захтевима за помоћ и приступу решавању важнијих процесних питања са којима су се у пракси сусретали предавачи, са циљем да приближе рад </w:t>
      </w:r>
      <w:r>
        <w:rPr>
          <w:rFonts w:cs="Times New Roman"/>
          <w:color w:val="000000"/>
          <w:lang w:val="ru-RU"/>
        </w:rPr>
        <w:t>т</w:t>
      </w:r>
      <w:r w:rsidR="00AF1189" w:rsidRPr="00FD6B73">
        <w:rPr>
          <w:rFonts w:cs="Times New Roman"/>
          <w:color w:val="000000"/>
          <w:lang w:val="ru-RU"/>
        </w:rPr>
        <w:t>ужилаштва</w:t>
      </w:r>
      <w:r>
        <w:rPr>
          <w:rFonts w:cs="Times New Roman"/>
          <w:color w:val="000000"/>
          <w:lang w:val="ru-RU"/>
        </w:rPr>
        <w:t xml:space="preserve"> </w:t>
      </w:r>
      <w:r w:rsidRPr="00FD6B73">
        <w:rPr>
          <w:rFonts w:cs="Times New Roman"/>
          <w:color w:val="000000"/>
          <w:lang w:val="ru-RU"/>
        </w:rPr>
        <w:t>МРМКС</w:t>
      </w:r>
      <w:r w:rsidR="00AF1189" w:rsidRPr="00FD6B73">
        <w:rPr>
          <w:rFonts w:cs="Times New Roman"/>
          <w:color w:val="000000"/>
          <w:lang w:val="ru-RU"/>
        </w:rPr>
        <w:t>.</w:t>
      </w:r>
      <w:r w:rsidR="00AF1189" w:rsidRPr="00CD46D4">
        <w:rPr>
          <w:rFonts w:cs="Times New Roman"/>
          <w:color w:val="000000"/>
        </w:rPr>
        <w:t>  </w:t>
      </w:r>
      <w:r>
        <w:rPr>
          <w:rFonts w:cs="Times New Roman"/>
          <w:color w:val="000000"/>
          <w:lang w:val="sr-Cyrl-RS"/>
        </w:rPr>
        <w:t xml:space="preserve"> </w:t>
      </w:r>
    </w:p>
    <w:p w14:paraId="07748F05" w14:textId="1F45DE37" w:rsidR="00AF1189" w:rsidRPr="00FD6B73" w:rsidRDefault="00AF1189" w:rsidP="00F10AC7">
      <w:pPr>
        <w:spacing w:before="280" w:after="120" w:line="240" w:lineRule="auto"/>
        <w:rPr>
          <w:rFonts w:cs="Times New Roman"/>
          <w:lang w:val="ru-RU"/>
        </w:rPr>
      </w:pPr>
      <w:r w:rsidRPr="00FD6B73">
        <w:rPr>
          <w:rFonts w:cs="Times New Roman"/>
          <w:color w:val="000000"/>
          <w:lang w:val="ru-RU"/>
        </w:rPr>
        <w:t xml:space="preserve">Током 2020. године услед пандемије узроковане вирусом </w:t>
      </w:r>
      <w:r w:rsidRPr="00CD46D4">
        <w:rPr>
          <w:rFonts w:cs="Times New Roman"/>
          <w:color w:val="000000"/>
        </w:rPr>
        <w:t>COVID</w:t>
      </w:r>
      <w:r w:rsidRPr="00FD6B73">
        <w:rPr>
          <w:rFonts w:cs="Times New Roman"/>
          <w:color w:val="000000"/>
          <w:lang w:val="ru-RU"/>
        </w:rPr>
        <w:t xml:space="preserve">-19 није било организованих обука у којима су учествовали представници </w:t>
      </w:r>
      <w:r w:rsidR="00E32577" w:rsidRPr="00FD6B73">
        <w:rPr>
          <w:rFonts w:cs="Times New Roman"/>
          <w:color w:val="000000"/>
          <w:lang w:val="ru-RU"/>
        </w:rPr>
        <w:t>МРМКС</w:t>
      </w:r>
      <w:r w:rsidRPr="00FD6B73">
        <w:rPr>
          <w:rFonts w:cs="Times New Roman"/>
          <w:color w:val="000000"/>
          <w:lang w:val="ru-RU"/>
        </w:rPr>
        <w:t>.</w:t>
      </w:r>
      <w:r w:rsidRPr="00CD46D4">
        <w:rPr>
          <w:rFonts w:cs="Times New Roman"/>
          <w:color w:val="000000"/>
        </w:rPr>
        <w:t> </w:t>
      </w:r>
    </w:p>
    <w:p w14:paraId="1D9F609A" w14:textId="17AB3B38" w:rsidR="00AF1189" w:rsidRPr="00FD6B73" w:rsidRDefault="00AF1189" w:rsidP="00F10AC7">
      <w:pPr>
        <w:spacing w:before="280" w:after="120" w:line="240" w:lineRule="auto"/>
        <w:rPr>
          <w:rFonts w:cs="Times New Roman"/>
          <w:lang w:val="ru-RU"/>
        </w:rPr>
      </w:pPr>
      <w:r w:rsidRPr="00FD6B73">
        <w:rPr>
          <w:rFonts w:cs="Times New Roman"/>
          <w:color w:val="000000"/>
          <w:lang w:val="ru-RU"/>
        </w:rPr>
        <w:t xml:space="preserve">Све обуке које су држали </w:t>
      </w:r>
      <w:r w:rsidR="00E32577">
        <w:rPr>
          <w:rFonts w:cs="Times New Roman"/>
          <w:color w:val="000000"/>
          <w:lang w:val="ru-RU"/>
        </w:rPr>
        <w:t>т</w:t>
      </w:r>
      <w:r w:rsidRPr="00FD6B73">
        <w:rPr>
          <w:rFonts w:cs="Times New Roman"/>
          <w:color w:val="000000"/>
          <w:lang w:val="ru-RU"/>
        </w:rPr>
        <w:t>ужиоци МК</w:t>
      </w:r>
      <w:r w:rsidR="00E32577">
        <w:rPr>
          <w:rFonts w:cs="Times New Roman"/>
          <w:color w:val="000000"/>
          <w:lang w:val="ru-RU"/>
        </w:rPr>
        <w:t>Т</w:t>
      </w:r>
      <w:r w:rsidRPr="00FD6B73">
        <w:rPr>
          <w:rFonts w:cs="Times New Roman"/>
          <w:color w:val="000000"/>
          <w:lang w:val="ru-RU"/>
        </w:rPr>
        <w:t xml:space="preserve">Ј, односно </w:t>
      </w:r>
      <w:r w:rsidR="00C15136" w:rsidRPr="00FD6B73">
        <w:rPr>
          <w:rFonts w:cs="Times New Roman"/>
          <w:color w:val="000000"/>
          <w:lang w:val="ru-RU"/>
        </w:rPr>
        <w:t>МРМКС</w:t>
      </w:r>
      <w:r w:rsidRPr="00FD6B73">
        <w:rPr>
          <w:rFonts w:cs="Times New Roman"/>
          <w:color w:val="000000"/>
          <w:lang w:val="ru-RU"/>
        </w:rPr>
        <w:t xml:space="preserve"> од изузетног су значаја за унапређење рада </w:t>
      </w:r>
      <w:r w:rsidR="00E32577">
        <w:rPr>
          <w:rFonts w:cs="Times New Roman"/>
          <w:color w:val="000000"/>
          <w:lang w:val="ru-RU"/>
        </w:rPr>
        <w:t>ТРЗ</w:t>
      </w:r>
      <w:r w:rsidRPr="00FD6B73">
        <w:rPr>
          <w:rFonts w:cs="Times New Roman"/>
          <w:color w:val="000000"/>
          <w:lang w:val="ru-RU"/>
        </w:rPr>
        <w:t>.</w:t>
      </w:r>
      <w:r w:rsidRPr="00CD46D4">
        <w:rPr>
          <w:rFonts w:cs="Times New Roman"/>
          <w:color w:val="000000"/>
        </w:rPr>
        <w:t>   </w:t>
      </w:r>
    </w:p>
    <w:p w14:paraId="0649A6C0" w14:textId="5EAFBCF5" w:rsidR="00AF1189" w:rsidRPr="00FD6B73" w:rsidRDefault="00AF1189" w:rsidP="00F10AC7">
      <w:pPr>
        <w:spacing w:before="280" w:after="120" w:line="240" w:lineRule="auto"/>
        <w:rPr>
          <w:rFonts w:cs="Times New Roman"/>
          <w:lang w:val="ru-RU"/>
        </w:rPr>
      </w:pPr>
      <w:r w:rsidRPr="00FD6B73">
        <w:rPr>
          <w:rFonts w:cs="Times New Roman"/>
          <w:color w:val="000000"/>
          <w:lang w:val="ru-RU"/>
        </w:rPr>
        <w:t xml:space="preserve">Почетком новембра ове године отпочет је заједнички пројекат у коме учествује више запослених у </w:t>
      </w:r>
      <w:r w:rsidR="00E32577">
        <w:rPr>
          <w:rFonts w:cs="Times New Roman"/>
          <w:color w:val="000000"/>
          <w:lang w:val="ru-RU"/>
        </w:rPr>
        <w:t>ТРЗ</w:t>
      </w:r>
      <w:r w:rsidRPr="00FD6B73">
        <w:rPr>
          <w:rFonts w:cs="Times New Roman"/>
          <w:color w:val="000000"/>
          <w:lang w:val="ru-RU"/>
        </w:rPr>
        <w:t xml:space="preserve"> и </w:t>
      </w:r>
      <w:r w:rsidR="00C15136" w:rsidRPr="00FD6B73">
        <w:rPr>
          <w:rFonts w:cs="Times New Roman"/>
          <w:color w:val="000000"/>
          <w:lang w:val="ru-RU"/>
        </w:rPr>
        <w:t>МРМКС</w:t>
      </w:r>
      <w:r w:rsidRPr="00FD6B73">
        <w:rPr>
          <w:rFonts w:cs="Times New Roman"/>
          <w:color w:val="000000"/>
          <w:lang w:val="ru-RU"/>
        </w:rPr>
        <w:t xml:space="preserve"> који обухвата детаљну анализу свих случајева позитивне сарадње тужилаштава у погледу анализе предмета категорије 2, захтева за помоћ, предмета који се тичу регионалне сарадње, предмета где су уступљени докази, документи и информације, као и предмета у којима су обезбеђени сведоци.</w:t>
      </w:r>
      <w:r w:rsidRPr="00CD46D4">
        <w:rPr>
          <w:rFonts w:cs="Times New Roman"/>
          <w:color w:val="000000"/>
        </w:rPr>
        <w:t> </w:t>
      </w:r>
    </w:p>
    <w:p w14:paraId="528ECD12" w14:textId="7451585A" w:rsidR="00AF1189" w:rsidRPr="00FD6B73" w:rsidRDefault="00AF1189" w:rsidP="00637400">
      <w:pPr>
        <w:spacing w:before="100" w:after="0" w:line="240" w:lineRule="auto"/>
        <w:rPr>
          <w:rFonts w:cs="Times New Roman"/>
          <w:color w:val="000000"/>
          <w:lang w:val="ru-RU"/>
        </w:rPr>
      </w:pPr>
      <w:r w:rsidRPr="00FD6B73">
        <w:rPr>
          <w:rFonts w:cs="Times New Roman"/>
          <w:color w:val="000000"/>
          <w:lang w:val="ru-RU"/>
        </w:rPr>
        <w:t>Велики број транскрипата сачињених пред МК</w:t>
      </w:r>
      <w:r w:rsidR="00E32577">
        <w:rPr>
          <w:rFonts w:cs="Times New Roman"/>
          <w:color w:val="000000"/>
          <w:lang w:val="ru-RU"/>
        </w:rPr>
        <w:t>Т</w:t>
      </w:r>
      <w:r w:rsidRPr="00FD6B73">
        <w:rPr>
          <w:rFonts w:cs="Times New Roman"/>
          <w:color w:val="000000"/>
          <w:lang w:val="ru-RU"/>
        </w:rPr>
        <w:t xml:space="preserve">Ј и </w:t>
      </w:r>
      <w:r w:rsidR="00C15136" w:rsidRPr="00FD6B73">
        <w:rPr>
          <w:rFonts w:cs="Times New Roman"/>
          <w:color w:val="000000"/>
          <w:lang w:val="ru-RU"/>
        </w:rPr>
        <w:t>МРМКС</w:t>
      </w:r>
      <w:r w:rsidRPr="00FD6B73">
        <w:rPr>
          <w:rFonts w:cs="Times New Roman"/>
          <w:color w:val="000000"/>
          <w:lang w:val="ru-RU"/>
        </w:rPr>
        <w:t xml:space="preserve"> могу имати непроцењив значај за предмете који се воде пред </w:t>
      </w:r>
      <w:r w:rsidR="00E32577">
        <w:rPr>
          <w:rFonts w:cs="Times New Roman"/>
          <w:color w:val="000000"/>
          <w:lang w:val="ru-RU"/>
        </w:rPr>
        <w:t>ТРЗ</w:t>
      </w:r>
      <w:r w:rsidRPr="00FD6B73">
        <w:rPr>
          <w:rFonts w:cs="Times New Roman"/>
          <w:color w:val="000000"/>
          <w:lang w:val="ru-RU"/>
        </w:rPr>
        <w:t xml:space="preserve">, јер обилују великим бројем информација и поред података о предмету сведочења и пружају формалне податке о доказним предметима. У наредном периоду планирано је да тужилац за ратне злочине поново покрене питање </w:t>
      </w:r>
      <w:r w:rsidRPr="00E32577">
        <w:rPr>
          <w:rFonts w:cs="Times New Roman"/>
          <w:bCs/>
          <w:color w:val="000000"/>
          <w:lang w:val="ru-RU"/>
        </w:rPr>
        <w:t>превода тих транскрипата</w:t>
      </w:r>
      <w:r w:rsidRPr="00FD6B73">
        <w:rPr>
          <w:rFonts w:cs="Times New Roman"/>
          <w:color w:val="000000"/>
          <w:lang w:val="ru-RU"/>
        </w:rPr>
        <w:t xml:space="preserve"> на српски језик, како би се у што скорије време омогућило њихово коришћење у поступцима у Републици Србији.</w:t>
      </w:r>
      <w:r w:rsidRPr="00CD46D4">
        <w:rPr>
          <w:rFonts w:cs="Times New Roman"/>
          <w:color w:val="000000"/>
        </w:rPr>
        <w:t> </w:t>
      </w:r>
    </w:p>
    <w:p w14:paraId="4B5E03A8" w14:textId="77777777" w:rsidR="00AF1189" w:rsidRPr="00FD6B73" w:rsidRDefault="00AF1189" w:rsidP="00F10AC7">
      <w:pPr>
        <w:spacing w:before="100" w:after="120" w:line="240" w:lineRule="auto"/>
        <w:rPr>
          <w:rFonts w:cs="Times New Roman"/>
          <w:lang w:val="ru-RU"/>
        </w:rPr>
      </w:pPr>
    </w:p>
    <w:p w14:paraId="70BF0EE2" w14:textId="77777777" w:rsidR="00AF1189" w:rsidRPr="00FD6B73" w:rsidRDefault="00AF1189" w:rsidP="00F10AC7">
      <w:pPr>
        <w:pStyle w:val="Heading3"/>
        <w:numPr>
          <w:ilvl w:val="2"/>
          <w:numId w:val="1"/>
        </w:numPr>
        <w:spacing w:after="240" w:line="240" w:lineRule="auto"/>
        <w:rPr>
          <w:rFonts w:cs="Times New Roman"/>
          <w:lang w:val="ru-RU"/>
        </w:rPr>
      </w:pPr>
      <w:bookmarkStart w:id="44" w:name="_Toc69325791"/>
      <w:bookmarkStart w:id="45" w:name="_Toc72932071"/>
      <w:bookmarkStart w:id="46" w:name="_Toc84580778"/>
      <w:r w:rsidRPr="00FD6B73">
        <w:rPr>
          <w:rFonts w:cs="Times New Roman"/>
          <w:lang w:val="ru-RU"/>
        </w:rPr>
        <w:t xml:space="preserve">Статистички параметри ефикасности сарадње са </w:t>
      </w:r>
      <w:r w:rsidR="00C15136" w:rsidRPr="00FD6B73">
        <w:rPr>
          <w:rFonts w:cs="Times New Roman"/>
          <w:lang w:val="ru-RU"/>
        </w:rPr>
        <w:t>МРМКС</w:t>
      </w:r>
      <w:bookmarkEnd w:id="44"/>
      <w:bookmarkEnd w:id="45"/>
      <w:bookmarkEnd w:id="46"/>
    </w:p>
    <w:p w14:paraId="6CAADF8C" w14:textId="0744E57F" w:rsidR="00AF1189" w:rsidRPr="00FD6B73" w:rsidRDefault="00AF1189" w:rsidP="00F10AC7">
      <w:pPr>
        <w:spacing w:after="120" w:line="240" w:lineRule="auto"/>
        <w:rPr>
          <w:rFonts w:cs="Times New Roman"/>
          <w:lang w:val="ru-RU"/>
        </w:rPr>
      </w:pPr>
      <w:r w:rsidRPr="00FD6B73">
        <w:rPr>
          <w:rFonts w:cs="Times New Roman"/>
          <w:lang w:val="ru-RU"/>
        </w:rPr>
        <w:t>Током 2016</w:t>
      </w:r>
      <w:r w:rsidR="002B5935">
        <w:rPr>
          <w:rFonts w:cs="Times New Roman"/>
          <w:lang w:val="ru-RU"/>
        </w:rPr>
        <w:t>.</w:t>
      </w:r>
      <w:r w:rsidRPr="00FD6B73">
        <w:rPr>
          <w:rFonts w:cs="Times New Roman"/>
          <w:lang w:val="ru-RU"/>
        </w:rPr>
        <w:t xml:space="preserve"> године ТРЗ је упутило МРМКС-у </w:t>
      </w:r>
      <w:r w:rsidR="00E32577">
        <w:rPr>
          <w:rFonts w:cs="Times New Roman"/>
          <w:lang w:val="ru-RU"/>
        </w:rPr>
        <w:t>осам</w:t>
      </w:r>
      <w:r w:rsidRPr="00FD6B73">
        <w:rPr>
          <w:rFonts w:cs="Times New Roman"/>
          <w:lang w:val="ru-RU"/>
        </w:rPr>
        <w:t xml:space="preserve"> захтева за помоћ, од чега је удовољено свим захтевима. У периоду од 2017. до краја 2019. године ТРЗ је упутило МРМКС</w:t>
      </w:r>
      <w:r w:rsidR="00F0690F" w:rsidRPr="00FD6B73">
        <w:rPr>
          <w:rFonts w:cs="Times New Roman"/>
          <w:lang w:val="ru-RU"/>
        </w:rPr>
        <w:t>-у</w:t>
      </w:r>
      <w:r w:rsidRPr="00FD6B73">
        <w:rPr>
          <w:rFonts w:cs="Times New Roman"/>
          <w:lang w:val="ru-RU"/>
        </w:rPr>
        <w:t xml:space="preserve"> 52 захтева за помоћ, од чега је већини захтева удовољено. </w:t>
      </w:r>
      <w:r w:rsidRPr="00CD46D4">
        <w:rPr>
          <w:rFonts w:cs="Times New Roman"/>
        </w:rPr>
        <w:t>T</w:t>
      </w:r>
      <w:r w:rsidRPr="00FD6B73">
        <w:rPr>
          <w:rFonts w:cs="Times New Roman"/>
          <w:lang w:val="ru-RU"/>
        </w:rPr>
        <w:t xml:space="preserve">оком 2020. године ТРЗ је упутило МРМКС-у 13 захтева од чега је удовољено на </w:t>
      </w:r>
      <w:r w:rsidR="00E75027">
        <w:rPr>
          <w:rFonts w:cs="Times New Roman"/>
          <w:lang w:val="ru-RU"/>
        </w:rPr>
        <w:t>девет</w:t>
      </w:r>
      <w:r w:rsidRPr="00FD6B73">
        <w:rPr>
          <w:rFonts w:cs="Times New Roman"/>
          <w:lang w:val="ru-RU"/>
        </w:rPr>
        <w:t xml:space="preserve"> за</w:t>
      </w:r>
      <w:r w:rsidR="00E75027">
        <w:rPr>
          <w:rFonts w:cs="Times New Roman"/>
          <w:lang w:val="ru-RU"/>
        </w:rPr>
        <w:t>хтева, а није удовољено на четири</w:t>
      </w:r>
      <w:r w:rsidRPr="00FD6B73">
        <w:rPr>
          <w:rFonts w:cs="Times New Roman"/>
          <w:lang w:val="ru-RU"/>
        </w:rPr>
        <w:t xml:space="preserve"> захтева.</w:t>
      </w:r>
    </w:p>
    <w:p w14:paraId="53A7DCAF" w14:textId="3DCB61D3" w:rsidR="00504BCE" w:rsidRPr="00FD6B73" w:rsidRDefault="00504BCE" w:rsidP="00504BCE">
      <w:pPr>
        <w:pStyle w:val="NormalWeb"/>
        <w:rPr>
          <w:bCs/>
          <w:lang w:val="ru-RU"/>
        </w:rPr>
      </w:pPr>
      <w:r w:rsidRPr="00FD6B73">
        <w:rPr>
          <w:bCs/>
          <w:lang w:val="ru-RU"/>
        </w:rPr>
        <w:t xml:space="preserve">Подаци о пруженој правној помоћи </w:t>
      </w:r>
      <w:r w:rsidR="00E75027">
        <w:rPr>
          <w:bCs/>
          <w:lang w:val="ru-RU"/>
        </w:rPr>
        <w:t>ТРЗ</w:t>
      </w:r>
      <w:r w:rsidRPr="00FD6B73">
        <w:rPr>
          <w:bCs/>
          <w:lang w:val="ru-RU"/>
        </w:rPr>
        <w:t xml:space="preserve"> према </w:t>
      </w:r>
      <w:r w:rsidR="00E75027" w:rsidRPr="00FD6B73">
        <w:rPr>
          <w:lang w:val="ru-RU"/>
        </w:rPr>
        <w:t>МРМКС</w:t>
      </w:r>
      <w:r w:rsidRPr="00FD6B73">
        <w:rPr>
          <w:bCs/>
          <w:lang w:val="ru-RU"/>
        </w:rPr>
        <w:t>, приказани су у Табели 7, која показује да је ТРЗ удовољило свим захтевима МРМКС-а примљеним у по</w:t>
      </w:r>
      <w:r w:rsidR="00E75027">
        <w:rPr>
          <w:bCs/>
          <w:lang w:val="ru-RU"/>
        </w:rPr>
        <w:t>сматраном периоду.</w:t>
      </w:r>
    </w:p>
    <w:p w14:paraId="69CA0555" w14:textId="710EA6FB" w:rsidR="00AF1189" w:rsidRPr="00FD6B73" w:rsidRDefault="00AF1189" w:rsidP="00F10AC7">
      <w:pPr>
        <w:spacing w:after="120" w:line="240" w:lineRule="auto"/>
        <w:jc w:val="center"/>
        <w:rPr>
          <w:rFonts w:cs="Times New Roman"/>
          <w:color w:val="000000"/>
          <w:sz w:val="20"/>
          <w:szCs w:val="20"/>
          <w:lang w:val="ru-RU"/>
        </w:rPr>
      </w:pPr>
      <w:r w:rsidRPr="00FD6B73">
        <w:rPr>
          <w:rFonts w:cs="Times New Roman"/>
          <w:color w:val="000000"/>
          <w:sz w:val="20"/>
          <w:szCs w:val="20"/>
          <w:lang w:val="ru-RU"/>
        </w:rPr>
        <w:lastRenderedPageBreak/>
        <w:t>Табела 7: Подаци о пруженој правној помоћи</w:t>
      </w:r>
      <w:r w:rsidRPr="00CD46D4">
        <w:rPr>
          <w:rFonts w:cs="Times New Roman"/>
          <w:color w:val="000000"/>
          <w:sz w:val="20"/>
          <w:szCs w:val="20"/>
        </w:rPr>
        <w:t> </w:t>
      </w:r>
      <w:r w:rsidRPr="00FD6B73">
        <w:rPr>
          <w:rFonts w:cs="Times New Roman"/>
          <w:color w:val="000000"/>
          <w:sz w:val="20"/>
          <w:szCs w:val="20"/>
          <w:lang w:val="ru-RU"/>
        </w:rPr>
        <w:t xml:space="preserve">Тужилаштва за ратне злочине према </w:t>
      </w:r>
      <w:r w:rsidR="00C15136" w:rsidRPr="00FD6B73">
        <w:rPr>
          <w:rFonts w:cs="Times New Roman"/>
          <w:color w:val="000000"/>
          <w:sz w:val="20"/>
          <w:szCs w:val="20"/>
          <w:lang w:val="ru-RU"/>
        </w:rPr>
        <w:t>МРМКС</w:t>
      </w:r>
      <w:r w:rsidRPr="00FD6B73">
        <w:rPr>
          <w:rFonts w:cs="Times New Roman"/>
          <w:color w:val="000000"/>
          <w:sz w:val="20"/>
          <w:szCs w:val="20"/>
          <w:lang w:val="ru-RU"/>
        </w:rPr>
        <w:t>-у</w:t>
      </w:r>
      <w:r w:rsidR="002B5935">
        <w:rPr>
          <w:rFonts w:cs="Times New Roman"/>
          <w:color w:val="000000"/>
          <w:sz w:val="20"/>
          <w:szCs w:val="20"/>
          <w:lang w:val="ru-RU"/>
        </w:rPr>
        <w:t xml:space="preserve"> </w:t>
      </w:r>
      <w:r w:rsidRPr="00FD6B73">
        <w:rPr>
          <w:rFonts w:cs="Times New Roman"/>
          <w:color w:val="000000"/>
          <w:sz w:val="20"/>
          <w:szCs w:val="20"/>
          <w:lang w:val="ru-RU"/>
        </w:rPr>
        <w:t>за период од 01.01.2016. до 31.12.2020. године</w:t>
      </w:r>
    </w:p>
    <w:p w14:paraId="063B6CF7" w14:textId="77777777" w:rsidR="00504BCE" w:rsidRPr="00FD6B73" w:rsidRDefault="00504BCE" w:rsidP="00F10AC7">
      <w:pPr>
        <w:spacing w:after="120" w:line="240" w:lineRule="auto"/>
        <w:jc w:val="center"/>
        <w:rPr>
          <w:rFonts w:cs="Times New Roman"/>
          <w:color w:val="000000"/>
          <w:sz w:val="20"/>
          <w:szCs w:val="2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509"/>
        <w:gridCol w:w="2280"/>
        <w:gridCol w:w="2280"/>
        <w:gridCol w:w="2281"/>
      </w:tblGrid>
      <w:tr w:rsidR="00AF1189" w:rsidRPr="00627105" w14:paraId="3794C8B1" w14:textId="77777777" w:rsidTr="00AF1189">
        <w:trPr>
          <w:trHeight w:val="290"/>
        </w:trPr>
        <w:tc>
          <w:tcPr>
            <w:tcW w:w="5000" w:type="pct"/>
            <w:gridSpan w:val="4"/>
            <w:shd w:val="clear" w:color="auto" w:fill="BDD6EE" w:themeFill="accent1" w:themeFillTint="66"/>
          </w:tcPr>
          <w:p w14:paraId="30D00677" w14:textId="77777777" w:rsidR="00AF1189" w:rsidRPr="00FD6B73" w:rsidRDefault="00AF1189" w:rsidP="00F10AC7">
            <w:pPr>
              <w:autoSpaceDE w:val="0"/>
              <w:autoSpaceDN w:val="0"/>
              <w:adjustRightInd w:val="0"/>
              <w:spacing w:after="120" w:line="240" w:lineRule="auto"/>
              <w:jc w:val="center"/>
              <w:rPr>
                <w:rFonts w:cs="Times New Roman"/>
                <w:b/>
                <w:bCs/>
                <w:color w:val="000000"/>
                <w:szCs w:val="24"/>
                <w:lang w:val="ru-RU"/>
              </w:rPr>
            </w:pPr>
            <w:r w:rsidRPr="00FD6B73">
              <w:rPr>
                <w:rFonts w:cs="Times New Roman"/>
                <w:b/>
                <w:bCs/>
                <w:color w:val="000000"/>
                <w:szCs w:val="24"/>
                <w:lang w:val="ru-RU"/>
              </w:rPr>
              <w:t>Подаци о пруженој правној помоћи ТРЗ-а</w:t>
            </w:r>
          </w:p>
        </w:tc>
      </w:tr>
      <w:tr w:rsidR="00AF1189" w:rsidRPr="00CD46D4" w14:paraId="0C1ACB96" w14:textId="77777777" w:rsidTr="00AF1189">
        <w:trPr>
          <w:trHeight w:val="290"/>
        </w:trPr>
        <w:tc>
          <w:tcPr>
            <w:tcW w:w="1342" w:type="pct"/>
            <w:shd w:val="clear" w:color="auto" w:fill="DEEAF6" w:themeFill="accent1" w:themeFillTint="33"/>
          </w:tcPr>
          <w:p w14:paraId="61E3F063"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Година</w:t>
            </w:r>
          </w:p>
        </w:tc>
        <w:tc>
          <w:tcPr>
            <w:tcW w:w="1219" w:type="pct"/>
            <w:shd w:val="clear" w:color="auto" w:fill="DEEAF6" w:themeFill="accent1" w:themeFillTint="33"/>
          </w:tcPr>
          <w:p w14:paraId="0089E7C0"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Затражено</w:t>
            </w:r>
          </w:p>
        </w:tc>
        <w:tc>
          <w:tcPr>
            <w:tcW w:w="1219" w:type="pct"/>
            <w:shd w:val="clear" w:color="auto" w:fill="DEEAF6" w:themeFill="accent1" w:themeFillTint="33"/>
          </w:tcPr>
          <w:p w14:paraId="458C65CD"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Удовољено</w:t>
            </w:r>
          </w:p>
        </w:tc>
        <w:tc>
          <w:tcPr>
            <w:tcW w:w="1220" w:type="pct"/>
            <w:shd w:val="clear" w:color="auto" w:fill="DEEAF6" w:themeFill="accent1" w:themeFillTint="33"/>
          </w:tcPr>
          <w:p w14:paraId="362A3407"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Предмети у раду</w:t>
            </w:r>
          </w:p>
        </w:tc>
      </w:tr>
      <w:tr w:rsidR="00AF1189" w:rsidRPr="00CD46D4" w14:paraId="2412C1FF" w14:textId="77777777" w:rsidTr="00AF1189">
        <w:trPr>
          <w:trHeight w:val="290"/>
        </w:trPr>
        <w:tc>
          <w:tcPr>
            <w:tcW w:w="1342" w:type="pct"/>
          </w:tcPr>
          <w:p w14:paraId="7B00E133"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2016</w:t>
            </w:r>
          </w:p>
        </w:tc>
        <w:tc>
          <w:tcPr>
            <w:tcW w:w="1219" w:type="pct"/>
          </w:tcPr>
          <w:p w14:paraId="6BCC6C11"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1</w:t>
            </w:r>
          </w:p>
        </w:tc>
        <w:tc>
          <w:tcPr>
            <w:tcW w:w="1219" w:type="pct"/>
          </w:tcPr>
          <w:p w14:paraId="1C5AC2D6"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1</w:t>
            </w:r>
          </w:p>
        </w:tc>
        <w:tc>
          <w:tcPr>
            <w:tcW w:w="1220" w:type="pct"/>
          </w:tcPr>
          <w:p w14:paraId="60F14C8E"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r>
      <w:tr w:rsidR="00AF1189" w:rsidRPr="00CD46D4" w14:paraId="0FD223FE" w14:textId="77777777" w:rsidTr="00AF1189">
        <w:trPr>
          <w:trHeight w:val="290"/>
        </w:trPr>
        <w:tc>
          <w:tcPr>
            <w:tcW w:w="1342" w:type="pct"/>
          </w:tcPr>
          <w:p w14:paraId="7EA92861"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2017</w:t>
            </w:r>
          </w:p>
        </w:tc>
        <w:tc>
          <w:tcPr>
            <w:tcW w:w="1219" w:type="pct"/>
          </w:tcPr>
          <w:p w14:paraId="3A7EFBC9"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c>
          <w:tcPr>
            <w:tcW w:w="1219" w:type="pct"/>
          </w:tcPr>
          <w:p w14:paraId="348E3340"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c>
          <w:tcPr>
            <w:tcW w:w="1220" w:type="pct"/>
          </w:tcPr>
          <w:p w14:paraId="4E50E0F0"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r>
      <w:tr w:rsidR="00AF1189" w:rsidRPr="00CD46D4" w14:paraId="433502C4" w14:textId="77777777" w:rsidTr="00AF1189">
        <w:trPr>
          <w:trHeight w:val="290"/>
        </w:trPr>
        <w:tc>
          <w:tcPr>
            <w:tcW w:w="1342" w:type="pct"/>
          </w:tcPr>
          <w:p w14:paraId="0BBB81B9"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2018</w:t>
            </w:r>
          </w:p>
        </w:tc>
        <w:tc>
          <w:tcPr>
            <w:tcW w:w="1219" w:type="pct"/>
          </w:tcPr>
          <w:p w14:paraId="336C3D65"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c>
          <w:tcPr>
            <w:tcW w:w="1219" w:type="pct"/>
          </w:tcPr>
          <w:p w14:paraId="5A7C2574"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c>
          <w:tcPr>
            <w:tcW w:w="1220" w:type="pct"/>
          </w:tcPr>
          <w:p w14:paraId="67B5C435"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r>
      <w:tr w:rsidR="00AF1189" w:rsidRPr="00CD46D4" w14:paraId="56A48CA3" w14:textId="77777777" w:rsidTr="00AF1189">
        <w:trPr>
          <w:trHeight w:val="290"/>
        </w:trPr>
        <w:tc>
          <w:tcPr>
            <w:tcW w:w="1342" w:type="pct"/>
          </w:tcPr>
          <w:p w14:paraId="63B7E70D"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2019</w:t>
            </w:r>
          </w:p>
        </w:tc>
        <w:tc>
          <w:tcPr>
            <w:tcW w:w="1219" w:type="pct"/>
          </w:tcPr>
          <w:p w14:paraId="2127D35D"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12</w:t>
            </w:r>
          </w:p>
        </w:tc>
        <w:tc>
          <w:tcPr>
            <w:tcW w:w="1219" w:type="pct"/>
          </w:tcPr>
          <w:p w14:paraId="0FE45102"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12</w:t>
            </w:r>
          </w:p>
        </w:tc>
        <w:tc>
          <w:tcPr>
            <w:tcW w:w="1220" w:type="pct"/>
          </w:tcPr>
          <w:p w14:paraId="4504725F"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r>
      <w:tr w:rsidR="00AF1189" w:rsidRPr="00CD46D4" w14:paraId="5E0D1526" w14:textId="77777777" w:rsidTr="00AF1189">
        <w:trPr>
          <w:trHeight w:val="290"/>
        </w:trPr>
        <w:tc>
          <w:tcPr>
            <w:tcW w:w="1342" w:type="pct"/>
          </w:tcPr>
          <w:p w14:paraId="01B43929"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2020</w:t>
            </w:r>
          </w:p>
        </w:tc>
        <w:tc>
          <w:tcPr>
            <w:tcW w:w="1219" w:type="pct"/>
          </w:tcPr>
          <w:p w14:paraId="7A019B9A"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8</w:t>
            </w:r>
          </w:p>
        </w:tc>
        <w:tc>
          <w:tcPr>
            <w:tcW w:w="1219" w:type="pct"/>
          </w:tcPr>
          <w:p w14:paraId="2ABB6E9E"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8</w:t>
            </w:r>
          </w:p>
        </w:tc>
        <w:tc>
          <w:tcPr>
            <w:tcW w:w="1220" w:type="pct"/>
          </w:tcPr>
          <w:p w14:paraId="738F5DC4" w14:textId="77777777" w:rsidR="00AF1189" w:rsidRPr="00CD46D4" w:rsidRDefault="00AF1189" w:rsidP="00637400">
            <w:pPr>
              <w:autoSpaceDE w:val="0"/>
              <w:autoSpaceDN w:val="0"/>
              <w:adjustRightInd w:val="0"/>
              <w:spacing w:after="120" w:line="240" w:lineRule="auto"/>
              <w:jc w:val="center"/>
              <w:rPr>
                <w:rFonts w:cs="Times New Roman"/>
                <w:color w:val="000000"/>
                <w:szCs w:val="24"/>
              </w:rPr>
            </w:pPr>
            <w:r w:rsidRPr="00CD46D4">
              <w:rPr>
                <w:rFonts w:cs="Times New Roman"/>
                <w:color w:val="000000"/>
                <w:szCs w:val="24"/>
              </w:rPr>
              <w:t>0</w:t>
            </w:r>
          </w:p>
        </w:tc>
      </w:tr>
    </w:tbl>
    <w:p w14:paraId="36F130D7" w14:textId="77777777" w:rsidR="00AF1189" w:rsidRPr="00CD46D4" w:rsidRDefault="00AF1189" w:rsidP="00F10AC7">
      <w:pPr>
        <w:spacing w:after="120" w:line="240" w:lineRule="auto"/>
        <w:jc w:val="center"/>
        <w:rPr>
          <w:rFonts w:cs="Times New Roman"/>
          <w:b/>
          <w:bCs/>
          <w:color w:val="000000"/>
        </w:rPr>
      </w:pPr>
    </w:p>
    <w:tbl>
      <w:tblPr>
        <w:tblStyle w:val="TableGrid"/>
        <w:tblW w:w="0" w:type="auto"/>
        <w:tblLook w:val="04A0" w:firstRow="1" w:lastRow="0" w:firstColumn="1" w:lastColumn="0" w:noHBand="0" w:noVBand="1"/>
      </w:tblPr>
      <w:tblGrid>
        <w:gridCol w:w="9350"/>
      </w:tblGrid>
      <w:tr w:rsidR="00AF1189" w:rsidRPr="00627105" w14:paraId="567F4111" w14:textId="77777777" w:rsidTr="00AF1189">
        <w:tc>
          <w:tcPr>
            <w:tcW w:w="9350" w:type="dxa"/>
            <w:tcBorders>
              <w:top w:val="nil"/>
              <w:left w:val="nil"/>
              <w:bottom w:val="nil"/>
              <w:right w:val="nil"/>
            </w:tcBorders>
            <w:shd w:val="clear" w:color="auto" w:fill="DEEAF6" w:themeFill="accent1" w:themeFillTint="33"/>
          </w:tcPr>
          <w:p w14:paraId="5DEB805F" w14:textId="5527CA88" w:rsidR="00AF1189" w:rsidRPr="00FD6B73" w:rsidRDefault="00AF1189" w:rsidP="00F10AC7">
            <w:pPr>
              <w:spacing w:after="120"/>
              <w:rPr>
                <w:rFonts w:cs="Times New Roman"/>
                <w:color w:val="000000"/>
                <w:lang w:val="ru-RU"/>
              </w:rPr>
            </w:pPr>
            <w:r w:rsidRPr="00FD6B73">
              <w:rPr>
                <w:rFonts w:cs="Times New Roman"/>
                <w:color w:val="000000"/>
                <w:lang w:val="ru-RU"/>
              </w:rPr>
              <w:t>У посматраном периоду настављена је интензивн</w:t>
            </w:r>
            <w:r w:rsidR="00E32577">
              <w:rPr>
                <w:rFonts w:cs="Times New Roman"/>
                <w:color w:val="000000"/>
                <w:lang w:val="ru-RU"/>
              </w:rPr>
              <w:t>а сарадња ТРЗ са Тужилаштвом МКТ</w:t>
            </w:r>
            <w:r w:rsidRPr="00FD6B73">
              <w:rPr>
                <w:rFonts w:cs="Times New Roman"/>
                <w:color w:val="000000"/>
                <w:lang w:val="ru-RU"/>
              </w:rPr>
              <w:t xml:space="preserve">Ј и </w:t>
            </w:r>
            <w:r w:rsidR="00C15136" w:rsidRPr="00FD6B73">
              <w:rPr>
                <w:rFonts w:cs="Times New Roman"/>
                <w:color w:val="000000"/>
                <w:lang w:val="ru-RU"/>
              </w:rPr>
              <w:t>МРМКС</w:t>
            </w:r>
            <w:r w:rsidRPr="00FD6B73">
              <w:rPr>
                <w:rFonts w:cs="Times New Roman"/>
                <w:color w:val="000000"/>
                <w:lang w:val="ru-RU"/>
              </w:rPr>
              <w:t>, како кроз програм официра за везу, приступ архивама тако и кроз обуке и правну помоћ.</w:t>
            </w:r>
          </w:p>
          <w:p w14:paraId="2EA8954E" w14:textId="6CB7B54B" w:rsidR="00AF1189" w:rsidRPr="00FD6B73" w:rsidRDefault="00AF1189" w:rsidP="00F10AC7">
            <w:pPr>
              <w:spacing w:after="120"/>
              <w:rPr>
                <w:rFonts w:cs="Times New Roman"/>
                <w:color w:val="000000"/>
                <w:lang w:val="ru-RU"/>
              </w:rPr>
            </w:pPr>
            <w:r w:rsidRPr="00FD6B73">
              <w:rPr>
                <w:rFonts w:cs="Times New Roman"/>
                <w:color w:val="000000"/>
                <w:lang w:val="ru-RU"/>
              </w:rPr>
              <w:t>У периоду који предстоји, потребно је наставити и по могућности интензивирати ову сарадњу, нарочито у погледу обезбеђивања превода транскрипата МК</w:t>
            </w:r>
            <w:r w:rsidR="00E32577">
              <w:rPr>
                <w:rFonts w:cs="Times New Roman"/>
                <w:color w:val="000000"/>
                <w:lang w:val="ru-RU"/>
              </w:rPr>
              <w:t>Т</w:t>
            </w:r>
            <w:r w:rsidRPr="00FD6B73">
              <w:rPr>
                <w:rFonts w:cs="Times New Roman"/>
                <w:color w:val="000000"/>
                <w:lang w:val="ru-RU"/>
              </w:rPr>
              <w:t xml:space="preserve">Ј који би били коришћени у поступцима који се воде пред правосудним органима </w:t>
            </w:r>
            <w:r w:rsidR="00E75027">
              <w:rPr>
                <w:rFonts w:cs="Times New Roman"/>
                <w:color w:val="000000"/>
                <w:lang w:val="ru-RU"/>
              </w:rPr>
              <w:t>Републике Србије</w:t>
            </w:r>
            <w:r w:rsidRPr="00FD6B73">
              <w:rPr>
                <w:rFonts w:cs="Times New Roman"/>
                <w:color w:val="000000"/>
                <w:lang w:val="ru-RU"/>
              </w:rPr>
              <w:t>, тако и кроз наставак обука у које су укључени професионалци који су део каријере провели радећи за МК</w:t>
            </w:r>
            <w:r w:rsidR="00E32577">
              <w:rPr>
                <w:rFonts w:cs="Times New Roman"/>
                <w:color w:val="000000"/>
                <w:lang w:val="ru-RU"/>
              </w:rPr>
              <w:t>Т</w:t>
            </w:r>
            <w:r w:rsidRPr="00FD6B73">
              <w:rPr>
                <w:rFonts w:cs="Times New Roman"/>
                <w:color w:val="000000"/>
                <w:lang w:val="ru-RU"/>
              </w:rPr>
              <w:t>Ј/</w:t>
            </w:r>
            <w:r w:rsidR="00C15136" w:rsidRPr="00FD6B73">
              <w:rPr>
                <w:rFonts w:cs="Times New Roman"/>
                <w:color w:val="000000"/>
                <w:lang w:val="ru-RU"/>
              </w:rPr>
              <w:t>МРМКС</w:t>
            </w:r>
            <w:r w:rsidRPr="00FD6B73">
              <w:rPr>
                <w:rFonts w:cs="Times New Roman"/>
                <w:color w:val="000000"/>
                <w:lang w:val="ru-RU"/>
              </w:rPr>
              <w:t>.</w:t>
            </w:r>
          </w:p>
          <w:p w14:paraId="14748E2E" w14:textId="2D8E61CC" w:rsidR="00A60F9E" w:rsidRPr="00FD6B73" w:rsidRDefault="00A60F9E" w:rsidP="00F422D6">
            <w:pPr>
              <w:rPr>
                <w:lang w:val="ru-RU"/>
              </w:rPr>
            </w:pPr>
            <w:r w:rsidRPr="00FD6B73">
              <w:rPr>
                <w:bCs/>
                <w:lang w:val="ru-RU"/>
              </w:rPr>
              <w:t xml:space="preserve">Тужилаштво за ратне злочине би требало да има проактивни приступ у погледу решавања проблема покретања и вођења поступка за кривична дела која се односе на непоштовање суда и судских поступака за ратне злочине, који се воде пред </w:t>
            </w:r>
            <w:r w:rsidR="00E75027" w:rsidRPr="00FD6B73">
              <w:rPr>
                <w:rFonts w:cs="Times New Roman"/>
                <w:lang w:val="ru-RU"/>
              </w:rPr>
              <w:t>МРМКС</w:t>
            </w:r>
            <w:r w:rsidRPr="00FD6B73">
              <w:rPr>
                <w:bCs/>
                <w:lang w:val="ru-RU"/>
              </w:rPr>
              <w:t xml:space="preserve">, водећи рачуна о доследном поштовању начела законитости. </w:t>
            </w:r>
          </w:p>
        </w:tc>
      </w:tr>
    </w:tbl>
    <w:p w14:paraId="6AF01884" w14:textId="77777777" w:rsidR="00AF1189" w:rsidRPr="00FD6B73" w:rsidRDefault="00AF1189" w:rsidP="00637400">
      <w:pPr>
        <w:spacing w:after="120" w:line="240" w:lineRule="auto"/>
        <w:rPr>
          <w:rFonts w:cs="Times New Roman"/>
          <w:sz w:val="20"/>
          <w:szCs w:val="20"/>
          <w:lang w:val="ru-RU"/>
        </w:rPr>
      </w:pPr>
    </w:p>
    <w:p w14:paraId="17E97D03" w14:textId="77777777" w:rsidR="00AF1189" w:rsidRPr="00CD46D4" w:rsidRDefault="00036EF3" w:rsidP="00F10AC7">
      <w:pPr>
        <w:pStyle w:val="Heading2"/>
        <w:numPr>
          <w:ilvl w:val="1"/>
          <w:numId w:val="1"/>
        </w:numPr>
        <w:spacing w:line="240" w:lineRule="auto"/>
        <w:rPr>
          <w:rFonts w:cs="Times New Roman"/>
        </w:rPr>
      </w:pPr>
      <w:bookmarkStart w:id="47" w:name="_Toc69325792"/>
      <w:bookmarkStart w:id="48" w:name="_Toc72932072"/>
      <w:bookmarkStart w:id="49" w:name="_Toc84580779"/>
      <w:r w:rsidRPr="00CD46D4">
        <w:rPr>
          <w:rFonts w:cs="Times New Roman"/>
        </w:rPr>
        <w:t>Регионална и шира међународна сарадња</w:t>
      </w:r>
      <w:bookmarkEnd w:id="47"/>
      <w:bookmarkEnd w:id="48"/>
      <w:bookmarkEnd w:id="49"/>
    </w:p>
    <w:p w14:paraId="736D95B5" w14:textId="77777777" w:rsidR="00AF1189" w:rsidRPr="00CD46D4" w:rsidRDefault="00AF1189" w:rsidP="00F10AC7">
      <w:pPr>
        <w:spacing w:after="120" w:line="240" w:lineRule="auto"/>
        <w:rPr>
          <w:rFonts w:cs="Times New Roman"/>
          <w:b/>
        </w:rPr>
      </w:pPr>
    </w:p>
    <w:p w14:paraId="4E1534BE" w14:textId="68FF022F" w:rsidR="00AF1189" w:rsidRPr="00FD6B73" w:rsidRDefault="00AF1189" w:rsidP="00F10AC7">
      <w:pPr>
        <w:autoSpaceDE w:val="0"/>
        <w:autoSpaceDN w:val="0"/>
        <w:adjustRightInd w:val="0"/>
        <w:spacing w:after="0" w:line="240" w:lineRule="auto"/>
        <w:rPr>
          <w:rFonts w:cs="Times New Roman"/>
          <w:lang w:val="ru-RU"/>
        </w:rPr>
      </w:pPr>
      <w:r w:rsidRPr="00CD46D4">
        <w:rPr>
          <w:rFonts w:cs="Times New Roman"/>
          <w:bCs/>
        </w:rPr>
        <w:t xml:space="preserve">Ефикасна регионална сарадња, препозната је као предуслов ефикасног процесуирања ратних злочина, како у </w:t>
      </w:r>
      <w:r w:rsidR="00E75027">
        <w:rPr>
          <w:rFonts w:cs="Times New Roman"/>
          <w:bCs/>
          <w:lang w:val="sr-Cyrl-RS"/>
        </w:rPr>
        <w:t>НСПРЗ</w:t>
      </w:r>
      <w:r w:rsidRPr="00CD46D4">
        <w:rPr>
          <w:rFonts w:cs="Times New Roman"/>
          <w:bCs/>
        </w:rPr>
        <w:t xml:space="preserve">, тако и у преговарачкој позицији за Поглавље 23, </w:t>
      </w:r>
      <w:r w:rsidR="005538E0">
        <w:rPr>
          <w:rFonts w:cs="Times New Roman"/>
          <w:bCs/>
        </w:rPr>
        <w:t>која у прелазном мерилу број 20</w:t>
      </w:r>
      <w:r w:rsidRPr="00CD46D4">
        <w:rPr>
          <w:rFonts w:cs="Times New Roman"/>
        </w:rPr>
        <w:t xml:space="preserve"> предвиђа следеће: „Србија остварује конструктивну сарадњу са суседним земљама у откривању и одређивању/утврђивању судбине несталих лица или њихових остатака, укључујући сарадњу кроз брзу размену информација. </w:t>
      </w:r>
      <w:r w:rsidRPr="00FD6B73">
        <w:rPr>
          <w:rFonts w:cs="Times New Roman"/>
          <w:lang w:val="ru-RU"/>
        </w:rPr>
        <w:t>Србија остварује значајну регионалну сарадњу и добре суседске односе у решавању питања ратних злочина избегавајући сукобе у погледу надлежности и старајући се о томе да се кривично гоњење за ратне злочине врши без дискриминације. Сва нерешена питања у вези са овим морају се у потпуности решити</w:t>
      </w:r>
      <w:r w:rsidR="00586C7D">
        <w:rPr>
          <w:rFonts w:cs="Times New Roman"/>
          <w:lang w:val="ru-RU"/>
        </w:rPr>
        <w:t>ˮ</w:t>
      </w:r>
      <w:r w:rsidRPr="00FD6B73">
        <w:rPr>
          <w:rFonts w:cs="Times New Roman"/>
          <w:lang w:val="ru-RU"/>
        </w:rPr>
        <w:t>.</w:t>
      </w:r>
    </w:p>
    <w:p w14:paraId="1E953DC2" w14:textId="77777777" w:rsidR="00036EF3" w:rsidRPr="00FD6B73" w:rsidRDefault="00036EF3" w:rsidP="00F10AC7">
      <w:pPr>
        <w:autoSpaceDE w:val="0"/>
        <w:autoSpaceDN w:val="0"/>
        <w:adjustRightInd w:val="0"/>
        <w:spacing w:line="240" w:lineRule="auto"/>
        <w:rPr>
          <w:rFonts w:cs="Times New Roman"/>
          <w:lang w:val="ru-RU"/>
        </w:rPr>
      </w:pPr>
    </w:p>
    <w:p w14:paraId="5E6F020F" w14:textId="77777777" w:rsidR="00AF1189" w:rsidRPr="00CD46D4" w:rsidRDefault="00AF1189" w:rsidP="00F10AC7">
      <w:pPr>
        <w:pStyle w:val="Heading3"/>
        <w:numPr>
          <w:ilvl w:val="2"/>
          <w:numId w:val="1"/>
        </w:numPr>
        <w:spacing w:after="240" w:line="240" w:lineRule="auto"/>
        <w:rPr>
          <w:rFonts w:cs="Times New Roman"/>
        </w:rPr>
      </w:pPr>
      <w:bookmarkStart w:id="50" w:name="_Toc69325793"/>
      <w:bookmarkStart w:id="51" w:name="_Toc72932073"/>
      <w:bookmarkStart w:id="52" w:name="_Toc84580780"/>
      <w:r w:rsidRPr="00CD46D4">
        <w:rPr>
          <w:rFonts w:cs="Times New Roman"/>
        </w:rPr>
        <w:t>Преглед испуњености мера из Стратегије</w:t>
      </w:r>
      <w:bookmarkEnd w:id="50"/>
      <w:bookmarkEnd w:id="51"/>
      <w:bookmarkEnd w:id="52"/>
    </w:p>
    <w:p w14:paraId="63AED755" w14:textId="5775380E" w:rsidR="00AF1189" w:rsidRPr="00FD6B73" w:rsidRDefault="00AF1189" w:rsidP="00F10AC7">
      <w:pPr>
        <w:autoSpaceDE w:val="0"/>
        <w:autoSpaceDN w:val="0"/>
        <w:adjustRightInd w:val="0"/>
        <w:spacing w:after="120" w:line="240" w:lineRule="auto"/>
        <w:rPr>
          <w:rFonts w:cs="Times New Roman"/>
          <w:b/>
          <w:lang w:val="ru-RU"/>
        </w:rPr>
      </w:pPr>
      <w:r w:rsidRPr="00FD6B73">
        <w:rPr>
          <w:rFonts w:cs="Times New Roman"/>
          <w:lang w:val="ru-RU"/>
        </w:rPr>
        <w:t xml:space="preserve">Имајући у виду горе наведено, </w:t>
      </w:r>
      <w:r w:rsidR="00E75027">
        <w:rPr>
          <w:rFonts w:cs="Times New Roman"/>
          <w:lang w:val="ru-RU"/>
        </w:rPr>
        <w:t>НСПРЗ</w:t>
      </w:r>
      <w:r w:rsidR="00B9743B" w:rsidRPr="00FD6B73">
        <w:rPr>
          <w:rFonts w:cs="Times New Roman"/>
          <w:lang w:val="ru-RU"/>
        </w:rPr>
        <w:t xml:space="preserve"> </w:t>
      </w:r>
      <w:r w:rsidRPr="00FD6B73">
        <w:rPr>
          <w:rFonts w:cs="Times New Roman"/>
          <w:lang w:val="ru-RU"/>
        </w:rPr>
        <w:t xml:space="preserve">је </w:t>
      </w:r>
      <w:r w:rsidR="00E75027">
        <w:rPr>
          <w:rFonts w:cs="Times New Roman"/>
          <w:lang w:val="ru-RU"/>
        </w:rPr>
        <w:t>предвиђала</w:t>
      </w:r>
      <w:r w:rsidRPr="00FD6B73">
        <w:rPr>
          <w:rFonts w:cs="Times New Roman"/>
          <w:lang w:val="ru-RU"/>
        </w:rPr>
        <w:t xml:space="preserve"> иницирање одржавања регионалне конференције ради постизања међудржавног споразума (потписан и потврђен </w:t>
      </w:r>
      <w:r w:rsidRPr="00FD6B73">
        <w:rPr>
          <w:rFonts w:cs="Times New Roman"/>
          <w:lang w:val="ru-RU"/>
        </w:rPr>
        <w:lastRenderedPageBreak/>
        <w:t xml:space="preserve">међународни уговор) са Републиком Хрватском, Босном и Херцеговином и Црном Гором о следећим отвореним питањима: </w:t>
      </w:r>
    </w:p>
    <w:p w14:paraId="4587C892" w14:textId="77777777" w:rsidR="00AF1189" w:rsidRPr="00FD6B73" w:rsidRDefault="00AF1189" w:rsidP="00F10AC7">
      <w:pPr>
        <w:numPr>
          <w:ilvl w:val="0"/>
          <w:numId w:val="13"/>
        </w:numPr>
        <w:spacing w:after="120" w:line="240" w:lineRule="auto"/>
        <w:rPr>
          <w:rFonts w:cs="Times New Roman"/>
          <w:lang w:val="ru-RU"/>
        </w:rPr>
      </w:pPr>
      <w:r w:rsidRPr="00FD6B73">
        <w:rPr>
          <w:rFonts w:cs="Times New Roman"/>
          <w:lang w:val="ru-RU"/>
        </w:rPr>
        <w:t xml:space="preserve">Утврђивање регионалних правила о подели надлежности за поступање у предметима ратних злочина; </w:t>
      </w:r>
    </w:p>
    <w:p w14:paraId="05266A13" w14:textId="77777777" w:rsidR="00AF1189" w:rsidRPr="00FD6B73" w:rsidRDefault="00AF1189" w:rsidP="00F10AC7">
      <w:pPr>
        <w:numPr>
          <w:ilvl w:val="0"/>
          <w:numId w:val="13"/>
        </w:numPr>
        <w:spacing w:after="120" w:line="240" w:lineRule="auto"/>
        <w:rPr>
          <w:rFonts w:cs="Times New Roman"/>
          <w:lang w:val="ru-RU"/>
        </w:rPr>
      </w:pPr>
      <w:r w:rsidRPr="00FD6B73">
        <w:rPr>
          <w:rFonts w:cs="Times New Roman"/>
          <w:lang w:val="ru-RU"/>
        </w:rPr>
        <w:t xml:space="preserve">Унапређење регионалне сарадње у погледу поступања по замолницама у предметима ратних злочина; </w:t>
      </w:r>
    </w:p>
    <w:p w14:paraId="2DC016FF" w14:textId="77777777" w:rsidR="00AF1189" w:rsidRPr="00FD6B73" w:rsidRDefault="00AF1189" w:rsidP="00F10AC7">
      <w:pPr>
        <w:numPr>
          <w:ilvl w:val="0"/>
          <w:numId w:val="13"/>
        </w:numPr>
        <w:spacing w:after="120" w:line="240" w:lineRule="auto"/>
        <w:rPr>
          <w:rFonts w:cs="Times New Roman"/>
          <w:lang w:val="ru-RU"/>
        </w:rPr>
      </w:pPr>
      <w:r w:rsidRPr="00FD6B73">
        <w:rPr>
          <w:rFonts w:cs="Times New Roman"/>
          <w:lang w:val="ru-RU"/>
        </w:rPr>
        <w:t>Успостављање олакшаног поступка за прибављање доказа на територији друге државе од стране одбране у предметима ратних злочина;</w:t>
      </w:r>
    </w:p>
    <w:p w14:paraId="3D3F020A" w14:textId="77777777" w:rsidR="00AF1189" w:rsidRPr="00FD6B73" w:rsidRDefault="00AF1189" w:rsidP="00F10AC7">
      <w:pPr>
        <w:numPr>
          <w:ilvl w:val="0"/>
          <w:numId w:val="13"/>
        </w:numPr>
        <w:spacing w:after="120" w:line="240" w:lineRule="auto"/>
        <w:rPr>
          <w:rFonts w:cs="Times New Roman"/>
          <w:lang w:val="ru-RU"/>
        </w:rPr>
      </w:pPr>
      <w:r w:rsidRPr="00FD6B73">
        <w:rPr>
          <w:rFonts w:cs="Times New Roman"/>
          <w:lang w:val="ru-RU"/>
        </w:rPr>
        <w:t>Јединствено поступање држава региона у погледу решавања судбине несталих лица.</w:t>
      </w:r>
    </w:p>
    <w:p w14:paraId="353E0576" w14:textId="0DA79906" w:rsidR="00AF1189" w:rsidRPr="00FD6B73" w:rsidRDefault="00AF1189" w:rsidP="00F10AC7">
      <w:pPr>
        <w:spacing w:after="120" w:line="240" w:lineRule="auto"/>
        <w:rPr>
          <w:rFonts w:cs="Times New Roman"/>
          <w:lang w:val="ru-RU"/>
        </w:rPr>
      </w:pPr>
      <w:r w:rsidRPr="00FD6B73">
        <w:rPr>
          <w:rFonts w:cs="Times New Roman"/>
          <w:lang w:val="ru-RU"/>
        </w:rPr>
        <w:t>Поменута активност није реализована онако како је</w:t>
      </w:r>
      <w:r w:rsidR="002B5935">
        <w:rPr>
          <w:rFonts w:cs="Times New Roman"/>
          <w:lang w:val="ru-RU"/>
        </w:rPr>
        <w:t xml:space="preserve"> </w:t>
      </w:r>
      <w:r w:rsidR="00E75027">
        <w:rPr>
          <w:rFonts w:cs="Times New Roman"/>
          <w:lang w:val="ru-RU"/>
        </w:rPr>
        <w:t xml:space="preserve">у </w:t>
      </w:r>
      <w:r w:rsidR="00B9743B" w:rsidRPr="00FD6B73">
        <w:rPr>
          <w:rFonts w:eastAsiaTheme="majorEastAsia" w:cs="Times New Roman"/>
          <w:lang w:val="ru-RU"/>
        </w:rPr>
        <w:t>НСПРЗ</w:t>
      </w:r>
      <w:r w:rsidRPr="00FD6B73">
        <w:rPr>
          <w:rFonts w:cs="Times New Roman"/>
          <w:lang w:val="ru-RU"/>
        </w:rPr>
        <w:t xml:space="preserve"> предвиђено, будући да оваква регионална конференција није одржана. Ипак, у оквиру Берлинског процеса, постигнут је значајан напредак у области регионалне сарадње у откривању судбине несталих лица, што је детаљније описано у Поглављу 6.</w:t>
      </w:r>
    </w:p>
    <w:p w14:paraId="276452D1" w14:textId="724123AF" w:rsidR="00AF1189" w:rsidRPr="00FD6B73" w:rsidRDefault="00AF1189" w:rsidP="00F10AC7">
      <w:pPr>
        <w:spacing w:after="120" w:line="240" w:lineRule="auto"/>
        <w:rPr>
          <w:rFonts w:cs="Times New Roman"/>
          <w:lang w:val="ru-RU"/>
        </w:rPr>
      </w:pPr>
      <w:r w:rsidRPr="00FD6B73">
        <w:rPr>
          <w:rFonts w:cs="Times New Roman"/>
          <w:lang w:val="ru-RU"/>
        </w:rPr>
        <w:t xml:space="preserve">Треба поменути и да је одржана Регионална конференција тужилаца у периоду од 20. до 22. маја 2019. године у Београду у организацији </w:t>
      </w:r>
      <w:r w:rsidR="00E75027">
        <w:rPr>
          <w:rFonts w:cs="Times New Roman"/>
          <w:lang w:val="ru-RU"/>
        </w:rPr>
        <w:t>ТРЗ</w:t>
      </w:r>
      <w:r w:rsidRPr="00FD6B73">
        <w:rPr>
          <w:rFonts w:cs="Times New Roman"/>
          <w:lang w:val="ru-RU"/>
        </w:rPr>
        <w:t xml:space="preserve"> и </w:t>
      </w:r>
      <w:r w:rsidRPr="00CD46D4">
        <w:rPr>
          <w:rFonts w:cs="Times New Roman"/>
        </w:rPr>
        <w:t>UNDP</w:t>
      </w:r>
      <w:r w:rsidRPr="00FD6B73">
        <w:rPr>
          <w:rFonts w:cs="Times New Roman"/>
          <w:lang w:val="ru-RU"/>
        </w:rPr>
        <w:t>, у сарадњи са Уједињеним краљевством и Италијом као вид наставка „Палићко-брионског процеса</w:t>
      </w:r>
      <w:r w:rsidR="00586C7D">
        <w:rPr>
          <w:rFonts w:cs="Times New Roman"/>
          <w:lang w:val="ru-RU"/>
        </w:rPr>
        <w:t>ˮ</w:t>
      </w:r>
      <w:r w:rsidRPr="00FD6B73">
        <w:rPr>
          <w:rFonts w:cs="Times New Roman"/>
          <w:lang w:val="ru-RU"/>
        </w:rPr>
        <w:t xml:space="preserve"> започетог 2004. године. Конференцији су присуствовале делегације тужилаштава Босне и Херцеговине, Федерације </w:t>
      </w:r>
      <w:r w:rsidR="00E75027" w:rsidRPr="00FD6B73">
        <w:rPr>
          <w:rFonts w:cs="Times New Roman"/>
          <w:lang w:val="ru-RU"/>
        </w:rPr>
        <w:t>Босне и Херцеговине</w:t>
      </w:r>
      <w:r w:rsidRPr="00FD6B73">
        <w:rPr>
          <w:rFonts w:cs="Times New Roman"/>
          <w:lang w:val="ru-RU"/>
        </w:rPr>
        <w:t xml:space="preserve">, Дистрикта Брчко, Унско-санског кантона, Државног одвјетништва и специјализованих жупанијских тужилаштава Републике Хрватске, Специјалног државног тужилаштва Црне Горе, Тужилаштва </w:t>
      </w:r>
      <w:r w:rsidR="00E75027">
        <w:rPr>
          <w:rFonts w:cs="Times New Roman"/>
          <w:lang w:val="ru-RU"/>
        </w:rPr>
        <w:t>МРМКС</w:t>
      </w:r>
      <w:r w:rsidRPr="00FD6B73">
        <w:rPr>
          <w:rFonts w:cs="Times New Roman"/>
          <w:lang w:val="ru-RU"/>
        </w:rPr>
        <w:t xml:space="preserve"> и </w:t>
      </w:r>
      <w:r w:rsidR="00E75027">
        <w:rPr>
          <w:rFonts w:cs="Times New Roman"/>
          <w:lang w:val="ru-RU"/>
        </w:rPr>
        <w:t>ТРЗ</w:t>
      </w:r>
      <w:r w:rsidRPr="00FD6B73">
        <w:rPr>
          <w:rFonts w:cs="Times New Roman"/>
          <w:lang w:val="ru-RU"/>
        </w:rPr>
        <w:t xml:space="preserve">. Циљ конференције је јачање регионалне сарадње, размена искустава, мишљења и ставова између представника </w:t>
      </w:r>
      <w:r w:rsidR="00CD46D4" w:rsidRPr="00FD6B73">
        <w:rPr>
          <w:rFonts w:cs="Times New Roman"/>
          <w:lang w:val="ru-RU"/>
        </w:rPr>
        <w:t>тужилаштава</w:t>
      </w:r>
      <w:r w:rsidRPr="00FD6B73">
        <w:rPr>
          <w:rFonts w:cs="Times New Roman"/>
          <w:lang w:val="ru-RU"/>
        </w:rPr>
        <w:t xml:space="preserve"> из држава у региону и МРМКС а ради отклањања препрека које су се јављале у досадашњој регионалној сарадњи у предметима ратних злочина, као и њено унапређење ради привођења учинилаца ратних злочина правди и остваривању правде за жртве.</w:t>
      </w:r>
    </w:p>
    <w:p w14:paraId="4EC9D253" w14:textId="490F5C21" w:rsidR="00AF1189" w:rsidRPr="00FD6B73" w:rsidRDefault="00AF1189" w:rsidP="00F10AC7">
      <w:pPr>
        <w:spacing w:after="120" w:line="240" w:lineRule="auto"/>
        <w:rPr>
          <w:rFonts w:cs="Times New Roman"/>
          <w:lang w:val="ru-RU"/>
        </w:rPr>
      </w:pPr>
      <w:r w:rsidRPr="00FD6B73">
        <w:rPr>
          <w:rFonts w:cs="Times New Roman"/>
          <w:lang w:val="ru-RU"/>
        </w:rPr>
        <w:t>Теме за дискусију и усаглашавање ставова представника делегација тицале су се сарадње тужилаштава у региону са МК</w:t>
      </w:r>
      <w:r w:rsidR="00E32577">
        <w:rPr>
          <w:rFonts w:cs="Times New Roman"/>
          <w:lang w:val="ru-RU"/>
        </w:rPr>
        <w:t>Т</w:t>
      </w:r>
      <w:r w:rsidRPr="00FD6B73">
        <w:rPr>
          <w:rFonts w:cs="Times New Roman"/>
          <w:lang w:val="ru-RU"/>
        </w:rPr>
        <w:t>Ј и МРМКС, критеријума и стандарда у прогону учинилаца кривичних дела ратних злочина, јачања регионалне сарадње у поступцима за ратне злочине и трагању за несталим лицима, као и истраживања и кривичног гоњења сексуалног насиља везаног за сукобе као међународног злочина.</w:t>
      </w:r>
    </w:p>
    <w:p w14:paraId="2F968F0C" w14:textId="735F1849" w:rsidR="00AF1189" w:rsidRPr="00FD6B73" w:rsidRDefault="00AF1189" w:rsidP="00F10AC7">
      <w:pPr>
        <w:pStyle w:val="Standard"/>
        <w:spacing w:after="120" w:line="240" w:lineRule="auto"/>
        <w:jc w:val="both"/>
        <w:rPr>
          <w:rFonts w:ascii="Times New Roman" w:hAnsi="Times New Roman" w:cs="Times New Roman"/>
          <w:color w:val="FF0000"/>
          <w:sz w:val="24"/>
          <w:szCs w:val="24"/>
          <w:lang w:val="ru-RU"/>
        </w:rPr>
      </w:pPr>
      <w:r w:rsidRPr="00FD6B73">
        <w:rPr>
          <w:rFonts w:ascii="Times New Roman" w:hAnsi="Times New Roman" w:cs="Times New Roman"/>
          <w:sz w:val="24"/>
          <w:szCs w:val="24"/>
          <w:lang w:val="ru-RU"/>
        </w:rPr>
        <w:t>Поред тога, значајни помаци учињени су и у погледу сарадње у области подршке жртвама и сведоцима, а иако планирано за март 2020. године у Осијеку</w:t>
      </w:r>
      <w:r w:rsidRPr="00FD6B73">
        <w:rPr>
          <w:rFonts w:ascii="Times New Roman" w:hAnsi="Times New Roman" w:cs="Times New Roman"/>
          <w:b/>
          <w:sz w:val="24"/>
          <w:szCs w:val="24"/>
          <w:lang w:val="ru-RU"/>
        </w:rPr>
        <w:t xml:space="preserve">, </w:t>
      </w:r>
      <w:r w:rsidRPr="00FD6B73">
        <w:rPr>
          <w:rFonts w:ascii="Times New Roman" w:hAnsi="Times New Roman" w:cs="Times New Roman"/>
          <w:bCs/>
          <w:sz w:val="24"/>
          <w:szCs w:val="24"/>
          <w:lang w:val="ru-RU"/>
        </w:rPr>
        <w:t>о</w:t>
      </w:r>
      <w:r w:rsidRPr="00FD6B73">
        <w:rPr>
          <w:rFonts w:ascii="Times New Roman" w:hAnsi="Times New Roman" w:cs="Times New Roman"/>
          <w:sz w:val="24"/>
          <w:szCs w:val="24"/>
          <w:lang w:val="ru-RU"/>
        </w:rPr>
        <w:t xml:space="preserve">државање регионалног састанка Служби за подршку жртвама и сведоцима, у оквиру </w:t>
      </w:r>
      <w:r w:rsidR="000B73E4" w:rsidRPr="00FD6B73">
        <w:rPr>
          <w:rFonts w:ascii="Times New Roman" w:hAnsi="Times New Roman" w:cs="Times New Roman"/>
          <w:sz w:val="24"/>
          <w:szCs w:val="24"/>
          <w:lang w:val="ru-RU"/>
        </w:rPr>
        <w:t>УНДП</w:t>
      </w:r>
      <w:r w:rsidR="002B5935">
        <w:rPr>
          <w:rFonts w:ascii="Times New Roman" w:hAnsi="Times New Roman" w:cs="Times New Roman"/>
          <w:sz w:val="24"/>
          <w:szCs w:val="24"/>
          <w:lang w:val="ru-RU"/>
        </w:rPr>
        <w:t xml:space="preserve"> </w:t>
      </w:r>
      <w:r w:rsidRPr="00FD6B73">
        <w:rPr>
          <w:rFonts w:ascii="Times New Roman" w:hAnsi="Times New Roman" w:cs="Times New Roman"/>
          <w:sz w:val="24"/>
          <w:szCs w:val="24"/>
          <w:lang w:val="ru-RU"/>
        </w:rPr>
        <w:t xml:space="preserve">Регионалног пројекта подршке суђењима за ратне злочине, одложено је </w:t>
      </w:r>
      <w:r w:rsidR="000F280A" w:rsidRPr="00FD6B73">
        <w:rPr>
          <w:rFonts w:ascii="Times New Roman" w:hAnsi="Times New Roman" w:cs="Times New Roman"/>
          <w:sz w:val="24"/>
          <w:szCs w:val="24"/>
          <w:lang w:val="ru-RU"/>
        </w:rPr>
        <w:t xml:space="preserve">за јун 2020. и одржано у </w:t>
      </w:r>
      <w:r w:rsidR="00E75027" w:rsidRPr="00E75027">
        <w:rPr>
          <w:rFonts w:ascii="Times New Roman" w:hAnsi="Times New Roman" w:cs="Times New Roman"/>
          <w:iCs/>
          <w:sz w:val="24"/>
          <w:szCs w:val="24"/>
          <w:lang w:val="sr-Cyrl-RS"/>
        </w:rPr>
        <w:t>онлајн</w:t>
      </w:r>
      <w:r w:rsidR="002B5935">
        <w:rPr>
          <w:rFonts w:ascii="Times New Roman" w:hAnsi="Times New Roman" w:cs="Times New Roman"/>
          <w:i/>
          <w:iCs/>
          <w:sz w:val="24"/>
          <w:szCs w:val="24"/>
          <w:lang w:val="sr-Cyrl-RS"/>
        </w:rPr>
        <w:t xml:space="preserve"> </w:t>
      </w:r>
      <w:r w:rsidR="000F280A" w:rsidRPr="00FD6B73">
        <w:rPr>
          <w:rFonts w:ascii="Times New Roman" w:hAnsi="Times New Roman" w:cs="Times New Roman"/>
          <w:sz w:val="24"/>
          <w:szCs w:val="24"/>
          <w:lang w:val="ru-RU"/>
        </w:rPr>
        <w:t>формату</w:t>
      </w:r>
      <w:r w:rsidRPr="00FD6B73">
        <w:rPr>
          <w:rFonts w:ascii="Times New Roman" w:hAnsi="Times New Roman" w:cs="Times New Roman"/>
          <w:sz w:val="24"/>
          <w:szCs w:val="24"/>
          <w:lang w:val="ru-RU"/>
        </w:rPr>
        <w:t xml:space="preserve"> услед епидемиолошке ситуације </w:t>
      </w:r>
      <w:r w:rsidRPr="00CD46D4">
        <w:rPr>
          <w:rFonts w:ascii="Times New Roman" w:hAnsi="Times New Roman" w:cs="Times New Roman"/>
          <w:sz w:val="24"/>
          <w:szCs w:val="24"/>
        </w:rPr>
        <w:t>COVID</w:t>
      </w:r>
      <w:r w:rsidRPr="00FD6B73">
        <w:rPr>
          <w:rFonts w:ascii="Times New Roman" w:hAnsi="Times New Roman" w:cs="Times New Roman"/>
          <w:sz w:val="24"/>
          <w:szCs w:val="24"/>
          <w:lang w:val="ru-RU"/>
        </w:rPr>
        <w:t xml:space="preserve"> -19. </w:t>
      </w:r>
    </w:p>
    <w:p w14:paraId="3DFA917B" w14:textId="6D523003" w:rsidR="00AF1189" w:rsidRPr="00FD6B73" w:rsidRDefault="00E75027" w:rsidP="00F10AC7">
      <w:pPr>
        <w:pStyle w:val="Standard"/>
        <w:spacing w:after="12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НСПРЗ</w:t>
      </w:r>
      <w:r w:rsidR="00100BB3">
        <w:rPr>
          <w:rFonts w:ascii="Times New Roman" w:hAnsi="Times New Roman" w:cs="Times New Roman"/>
          <w:sz w:val="24"/>
          <w:szCs w:val="24"/>
          <w:lang w:val="ru-RU"/>
        </w:rPr>
        <w:t xml:space="preserve"> је предвиђа</w:t>
      </w:r>
      <w:r>
        <w:rPr>
          <w:rFonts w:ascii="Times New Roman" w:hAnsi="Times New Roman" w:cs="Times New Roman"/>
          <w:sz w:val="24"/>
          <w:szCs w:val="24"/>
          <w:lang w:val="ru-RU"/>
        </w:rPr>
        <w:t>ла</w:t>
      </w:r>
      <w:r w:rsidR="00AF1189" w:rsidRPr="00FD6B73">
        <w:rPr>
          <w:rFonts w:ascii="Times New Roman" w:hAnsi="Times New Roman" w:cs="Times New Roman"/>
          <w:sz w:val="24"/>
          <w:szCs w:val="24"/>
          <w:lang w:val="ru-RU"/>
        </w:rPr>
        <w:t xml:space="preserve"> и унапређено поступање по замолницама Републике Србије упућеним државама у региону и повећан број предмета у којима су путем регионалне сарадње размењени докази између тужилаштава. У овом сегменту су остварени добри резултати чији је детаљан преглед дат у делу 8.2. (Статистички показатељи).</w:t>
      </w:r>
    </w:p>
    <w:p w14:paraId="50ABF885" w14:textId="72B52023" w:rsidR="00AF1189" w:rsidRPr="00FD6B73" w:rsidRDefault="00100BB3" w:rsidP="00F10AC7">
      <w:pPr>
        <w:spacing w:after="120" w:line="240" w:lineRule="auto"/>
        <w:rPr>
          <w:rFonts w:cs="Times New Roman"/>
          <w:lang w:val="ru-RU"/>
        </w:rPr>
      </w:pPr>
      <w:r>
        <w:rPr>
          <w:rFonts w:cs="Times New Roman"/>
          <w:bCs/>
          <w:lang w:val="ru-RU"/>
        </w:rPr>
        <w:t>НСПРЗ</w:t>
      </w:r>
      <w:r w:rsidR="00AF1189" w:rsidRPr="00FD6B73">
        <w:rPr>
          <w:rFonts w:cs="Times New Roman"/>
          <w:bCs/>
          <w:lang w:val="ru-RU"/>
        </w:rPr>
        <w:t xml:space="preserve"> је предвиђала и обавезу </w:t>
      </w:r>
      <w:r>
        <w:rPr>
          <w:rFonts w:cs="Times New Roman"/>
          <w:bCs/>
          <w:lang w:val="ru-RU"/>
        </w:rPr>
        <w:t>ТРЗ</w:t>
      </w:r>
      <w:r w:rsidR="00AF1189" w:rsidRPr="00FD6B73">
        <w:rPr>
          <w:rFonts w:cs="Times New Roman"/>
          <w:bCs/>
          <w:lang w:val="ru-RU"/>
        </w:rPr>
        <w:t xml:space="preserve"> да </w:t>
      </w:r>
      <w:r w:rsidR="00AF1189" w:rsidRPr="00FD6B73">
        <w:rPr>
          <w:rFonts w:cs="Times New Roman"/>
          <w:lang w:val="ru-RU"/>
        </w:rPr>
        <w:t>иницир</w:t>
      </w:r>
      <w:r w:rsidR="00AF1189" w:rsidRPr="00CD46D4">
        <w:rPr>
          <w:rFonts w:cs="Times New Roman"/>
        </w:rPr>
        <w:t>a</w:t>
      </w:r>
      <w:r w:rsidR="00AF1189" w:rsidRPr="00FD6B73">
        <w:rPr>
          <w:rFonts w:cs="Times New Roman"/>
          <w:lang w:val="ru-RU"/>
        </w:rPr>
        <w:t xml:space="preserve"> успостављање заједничке евиденције случајева ратних злочина на регионалном нивоу чије је решавање започето путем </w:t>
      </w:r>
      <w:r w:rsidR="00AF1189" w:rsidRPr="00FD6B73">
        <w:rPr>
          <w:rFonts w:cs="Times New Roman"/>
          <w:lang w:val="ru-RU"/>
        </w:rPr>
        <w:lastRenderedPageBreak/>
        <w:t>регионалне сарадње ради омогућавања праћења успешности сарадње, али и рада на промовисању успостављања заједничких прекограничних тужилачких тимова са земљама региона као једном од начина постизања боље сарадње.</w:t>
      </w:r>
    </w:p>
    <w:p w14:paraId="7069E22D" w14:textId="7DB2610C" w:rsidR="00A60F9E" w:rsidRPr="00FD6B73" w:rsidRDefault="00AF1189" w:rsidP="008F3371">
      <w:pPr>
        <w:spacing w:after="0" w:line="240" w:lineRule="auto"/>
        <w:rPr>
          <w:lang w:val="ru-RU"/>
        </w:rPr>
      </w:pPr>
      <w:r w:rsidRPr="00FD6B73">
        <w:rPr>
          <w:rFonts w:cs="Times New Roman"/>
          <w:color w:val="000000"/>
          <w:shd w:val="clear" w:color="auto" w:fill="FFFFFF"/>
          <w:lang w:val="ru-RU"/>
        </w:rPr>
        <w:t>Заједнички тимови били су формирани за потребе предмета „Сребреница</w:t>
      </w:r>
      <w:r w:rsidR="00586C7D">
        <w:rPr>
          <w:rFonts w:cs="Times New Roman"/>
          <w:color w:val="000000"/>
          <w:shd w:val="clear" w:color="auto" w:fill="FFFFFF"/>
          <w:lang w:val="ru-RU"/>
        </w:rPr>
        <w:t>ˮ</w:t>
      </w:r>
      <w:r w:rsidRPr="00FD6B73">
        <w:rPr>
          <w:rFonts w:cs="Times New Roman"/>
          <w:color w:val="000000"/>
          <w:shd w:val="clear" w:color="auto" w:fill="FFFFFF"/>
          <w:lang w:val="ru-RU"/>
        </w:rPr>
        <w:t xml:space="preserve"> и „Штрпци</w:t>
      </w:r>
      <w:r w:rsidR="00586C7D">
        <w:rPr>
          <w:rFonts w:cs="Times New Roman"/>
          <w:color w:val="000000"/>
          <w:shd w:val="clear" w:color="auto" w:fill="FFFFFF"/>
          <w:lang w:val="ru-RU"/>
        </w:rPr>
        <w:t>ˮ</w:t>
      </w:r>
      <w:r w:rsidRPr="00FD6B73">
        <w:rPr>
          <w:rFonts w:cs="Times New Roman"/>
          <w:color w:val="000000"/>
          <w:shd w:val="clear" w:color="auto" w:fill="FFFFFF"/>
          <w:lang w:val="ru-RU"/>
        </w:rPr>
        <w:t xml:space="preserve"> и показали су се као веома значајан механизам сарадње међу регионалним тужилаштвима. Бенефити се огледају у унапређењу координисања истрага и непосредној комуникацији са регионалним тужиоцима, а изазови услед постојања различитости у погледу примене кривичних закона и поступака, заштите жртава, сведока.</w:t>
      </w:r>
      <w:r w:rsidRPr="00A60F9E">
        <w:rPr>
          <w:rFonts w:cs="Times New Roman"/>
          <w:color w:val="000000"/>
        </w:rPr>
        <w:t> </w:t>
      </w:r>
      <w:r w:rsidR="00A60F9E" w:rsidRPr="00FD6B73">
        <w:rPr>
          <w:lang w:val="ru-RU"/>
        </w:rPr>
        <w:t>У периоду од 2016. до 2020. године остварена је обострана, проактивна и задовољавајућа сарадња са Босном и Херцеговином, како кроз заједничке тимове, тако и кроз честу и отворену комуникацију и размену података у поступцима пред тужилаштвима Србије и Босне и Херцеговине, која комуникација се такође може сматрати</w:t>
      </w:r>
      <w:r w:rsidR="005538E0" w:rsidRPr="00FD6B73">
        <w:rPr>
          <w:lang w:val="ru-RU"/>
        </w:rPr>
        <w:t xml:space="preserve"> добродошлом, потребном, корисно</w:t>
      </w:r>
      <w:r w:rsidR="00A60F9E" w:rsidRPr="00FD6B73">
        <w:rPr>
          <w:lang w:val="ru-RU"/>
        </w:rPr>
        <w:t xml:space="preserve">м и заједничком. </w:t>
      </w:r>
    </w:p>
    <w:p w14:paraId="2916CCB7" w14:textId="65D7E4CE" w:rsidR="00AF1189" w:rsidRPr="00FD6B73" w:rsidRDefault="00AF1189" w:rsidP="008F3371">
      <w:pPr>
        <w:spacing w:before="280" w:after="120" w:line="240" w:lineRule="auto"/>
        <w:rPr>
          <w:rFonts w:cs="Times New Roman"/>
          <w:lang w:val="ru-RU"/>
        </w:rPr>
      </w:pPr>
      <w:r w:rsidRPr="00FD6B73">
        <w:rPr>
          <w:rFonts w:cs="Times New Roman"/>
          <w:lang w:val="ru-RU"/>
        </w:rPr>
        <w:t xml:space="preserve">Поред наведеног, </w:t>
      </w:r>
      <w:r w:rsidR="00100BB3">
        <w:rPr>
          <w:rFonts w:cs="Times New Roman"/>
          <w:lang w:val="ru-RU"/>
        </w:rPr>
        <w:t>НСПРЗ</w:t>
      </w:r>
      <w:r w:rsidRPr="00FD6B73">
        <w:rPr>
          <w:rFonts w:cs="Times New Roman"/>
          <w:lang w:val="ru-RU"/>
        </w:rPr>
        <w:t xml:space="preserve"> је предвидела и активну размену искустава кроз учешће судија и јавних тужилаца који поступају у предметима ратних злочина на семинарима из области међународног хуманитарног права и стручним саветовањима, о чему је било више речи у Поглављима 2, 3</w:t>
      </w:r>
      <w:r w:rsidR="00100BB3">
        <w:rPr>
          <w:rFonts w:cs="Times New Roman"/>
          <w:lang w:val="ru-RU"/>
        </w:rPr>
        <w:t>.</w:t>
      </w:r>
      <w:r w:rsidRPr="00FD6B73">
        <w:rPr>
          <w:rFonts w:cs="Times New Roman"/>
          <w:lang w:val="ru-RU"/>
        </w:rPr>
        <w:t xml:space="preserve"> и 5.</w:t>
      </w:r>
    </w:p>
    <w:p w14:paraId="6AB83F67" w14:textId="118973BF" w:rsidR="00AF1189" w:rsidRPr="00FD6B73" w:rsidRDefault="00AF1189" w:rsidP="00F10AC7">
      <w:pPr>
        <w:spacing w:after="120" w:line="240" w:lineRule="auto"/>
        <w:rPr>
          <w:rFonts w:cs="Times New Roman"/>
          <w:lang w:val="ru-RU"/>
        </w:rPr>
      </w:pPr>
      <w:r w:rsidRPr="00FD6B73">
        <w:rPr>
          <w:rFonts w:cs="Times New Roman"/>
          <w:lang w:val="ru-RU"/>
        </w:rPr>
        <w:t xml:space="preserve">Најзад, </w:t>
      </w:r>
      <w:r w:rsidR="00100BB3">
        <w:rPr>
          <w:rFonts w:cs="Times New Roman"/>
          <w:lang w:val="ru-RU"/>
        </w:rPr>
        <w:t>НСПРЗ</w:t>
      </w:r>
      <w:r w:rsidR="00100BB3" w:rsidRPr="00FD6B73">
        <w:rPr>
          <w:rFonts w:cs="Times New Roman"/>
          <w:lang w:val="ru-RU"/>
        </w:rPr>
        <w:t xml:space="preserve"> </w:t>
      </w:r>
      <w:r w:rsidR="000534D0" w:rsidRPr="00FD6B73">
        <w:rPr>
          <w:rFonts w:cs="Times New Roman"/>
          <w:lang w:val="ru-RU"/>
        </w:rPr>
        <w:t>указује на</w:t>
      </w:r>
      <w:r w:rsidRPr="00FD6B73">
        <w:rPr>
          <w:rFonts w:cs="Times New Roman"/>
          <w:lang w:val="ru-RU"/>
        </w:rPr>
        <w:t xml:space="preserve"> значај превођења одлука у поступцима за ратне злочине, па је важно поменути да су све оптужнице доступне на интернет страни ТРЗ и на енглеском језику и може им се приступити путем следећег линка: </w:t>
      </w:r>
      <w:hyperlink r:id="rId18" w:history="1">
        <w:r w:rsidRPr="00CD46D4">
          <w:rPr>
            <w:rStyle w:val="Hyperlink"/>
            <w:rFonts w:cs="Times New Roman"/>
          </w:rPr>
          <w:t>https</w:t>
        </w:r>
        <w:r w:rsidRPr="00FD6B73">
          <w:rPr>
            <w:rStyle w:val="Hyperlink"/>
            <w:rFonts w:cs="Times New Roman"/>
            <w:lang w:val="ru-RU"/>
          </w:rPr>
          <w:t>://</w:t>
        </w:r>
        <w:r w:rsidRPr="00CD46D4">
          <w:rPr>
            <w:rStyle w:val="Hyperlink"/>
            <w:rFonts w:cs="Times New Roman"/>
          </w:rPr>
          <w:t>www</w:t>
        </w:r>
        <w:r w:rsidRPr="00FD6B73">
          <w:rPr>
            <w:rStyle w:val="Hyperlink"/>
            <w:rFonts w:cs="Times New Roman"/>
            <w:lang w:val="ru-RU"/>
          </w:rPr>
          <w:t>.</w:t>
        </w:r>
        <w:r w:rsidRPr="00CD46D4">
          <w:rPr>
            <w:rStyle w:val="Hyperlink"/>
            <w:rFonts w:cs="Times New Roman"/>
          </w:rPr>
          <w:t>tuzilastvorz</w:t>
        </w:r>
        <w:r w:rsidRPr="00FD6B73">
          <w:rPr>
            <w:rStyle w:val="Hyperlink"/>
            <w:rFonts w:cs="Times New Roman"/>
            <w:lang w:val="ru-RU"/>
          </w:rPr>
          <w:t>.</w:t>
        </w:r>
        <w:r w:rsidRPr="00CD46D4">
          <w:rPr>
            <w:rStyle w:val="Hyperlink"/>
            <w:rFonts w:cs="Times New Roman"/>
          </w:rPr>
          <w:t>org</w:t>
        </w:r>
        <w:r w:rsidRPr="00FD6B73">
          <w:rPr>
            <w:rStyle w:val="Hyperlink"/>
            <w:rFonts w:cs="Times New Roman"/>
            <w:lang w:val="ru-RU"/>
          </w:rPr>
          <w:t>.</w:t>
        </w:r>
        <w:r w:rsidRPr="00CD46D4">
          <w:rPr>
            <w:rStyle w:val="Hyperlink"/>
            <w:rFonts w:cs="Times New Roman"/>
          </w:rPr>
          <w:t>rs</w:t>
        </w:r>
        <w:r w:rsidRPr="00FD6B73">
          <w:rPr>
            <w:rStyle w:val="Hyperlink"/>
            <w:rFonts w:cs="Times New Roman"/>
            <w:lang w:val="ru-RU"/>
          </w:rPr>
          <w:t>/</w:t>
        </w:r>
        <w:r w:rsidRPr="00CD46D4">
          <w:rPr>
            <w:rStyle w:val="Hyperlink"/>
            <w:rFonts w:cs="Times New Roman"/>
          </w:rPr>
          <w:t>en</w:t>
        </w:r>
        <w:r w:rsidRPr="00FD6B73">
          <w:rPr>
            <w:rStyle w:val="Hyperlink"/>
            <w:rFonts w:cs="Times New Roman"/>
            <w:lang w:val="ru-RU"/>
          </w:rPr>
          <w:t>/</w:t>
        </w:r>
        <w:r w:rsidRPr="00CD46D4">
          <w:rPr>
            <w:rStyle w:val="Hyperlink"/>
            <w:rFonts w:cs="Times New Roman"/>
          </w:rPr>
          <w:t>cases</w:t>
        </w:r>
        <w:r w:rsidRPr="00FD6B73">
          <w:rPr>
            <w:rStyle w:val="Hyperlink"/>
            <w:rFonts w:cs="Times New Roman"/>
            <w:lang w:val="ru-RU"/>
          </w:rPr>
          <w:t>/</w:t>
        </w:r>
        <w:r w:rsidRPr="00CD46D4">
          <w:rPr>
            <w:rStyle w:val="Hyperlink"/>
            <w:rFonts w:cs="Times New Roman"/>
          </w:rPr>
          <w:t>indictments</w:t>
        </w:r>
      </w:hyperlink>
      <w:r w:rsidRPr="00FD6B73">
        <w:rPr>
          <w:rFonts w:cs="Times New Roman"/>
          <w:lang w:val="ru-RU"/>
        </w:rPr>
        <w:t xml:space="preserve">. </w:t>
      </w:r>
    </w:p>
    <w:p w14:paraId="396531BA" w14:textId="77777777" w:rsidR="00AF1189" w:rsidRPr="00FD6B73" w:rsidRDefault="00AF1189" w:rsidP="00F10AC7">
      <w:pPr>
        <w:spacing w:line="240" w:lineRule="auto"/>
        <w:rPr>
          <w:rFonts w:cs="Times New Roman"/>
          <w:lang w:val="ru-RU"/>
        </w:rPr>
      </w:pPr>
    </w:p>
    <w:p w14:paraId="7A318834" w14:textId="77777777" w:rsidR="00AF1189" w:rsidRPr="00FD6B73" w:rsidRDefault="00AF1189" w:rsidP="008F0444">
      <w:pPr>
        <w:pStyle w:val="Heading3"/>
        <w:numPr>
          <w:ilvl w:val="2"/>
          <w:numId w:val="1"/>
        </w:numPr>
        <w:spacing w:after="240" w:line="240" w:lineRule="auto"/>
        <w:rPr>
          <w:rFonts w:cs="Times New Roman"/>
          <w:lang w:val="ru-RU"/>
        </w:rPr>
      </w:pPr>
      <w:bookmarkStart w:id="53" w:name="_Toc69325794"/>
      <w:bookmarkStart w:id="54" w:name="_Toc72932074"/>
      <w:bookmarkStart w:id="55" w:name="_Toc84580781"/>
      <w:r w:rsidRPr="00FD6B73">
        <w:rPr>
          <w:rFonts w:cs="Times New Roman"/>
          <w:lang w:val="ru-RU"/>
        </w:rPr>
        <w:t>Статистички показатељи регионалне и шире међународне сарадње у процесуирању ратних злочина</w:t>
      </w:r>
      <w:bookmarkEnd w:id="53"/>
      <w:bookmarkEnd w:id="54"/>
      <w:bookmarkEnd w:id="55"/>
    </w:p>
    <w:p w14:paraId="594338B6" w14:textId="4BF3922D" w:rsidR="00AF1189" w:rsidRPr="00FD6B73" w:rsidRDefault="00AF1189" w:rsidP="00F10AC7">
      <w:pPr>
        <w:spacing w:after="120" w:line="240" w:lineRule="auto"/>
        <w:rPr>
          <w:rFonts w:cs="Times New Roman"/>
          <w:lang w:val="ru-RU"/>
        </w:rPr>
      </w:pPr>
      <w:r w:rsidRPr="00FD6B73">
        <w:rPr>
          <w:rFonts w:cs="Times New Roman"/>
          <w:lang w:val="ru-RU"/>
        </w:rPr>
        <w:t xml:space="preserve">Поред раније наведених података везаних за преузимање оптужница из </w:t>
      </w:r>
      <w:r w:rsidR="00100BB3">
        <w:rPr>
          <w:rFonts w:cs="Times New Roman"/>
          <w:lang w:val="ru-RU"/>
        </w:rPr>
        <w:t>Босне и Херцеговине</w:t>
      </w:r>
      <w:r w:rsidRPr="00FD6B73">
        <w:rPr>
          <w:rFonts w:cs="Times New Roman"/>
          <w:lang w:val="ru-RU"/>
        </w:rPr>
        <w:t xml:space="preserve">, важан показатељ ефикасности регионалне и шире међународне сарадње јесу и статистички подаци </w:t>
      </w:r>
      <w:r w:rsidR="00100BB3">
        <w:rPr>
          <w:rFonts w:cs="Times New Roman"/>
          <w:lang w:val="ru-RU"/>
        </w:rPr>
        <w:t>ТРЗ</w:t>
      </w:r>
      <w:r w:rsidRPr="00FD6B73">
        <w:rPr>
          <w:rFonts w:cs="Times New Roman"/>
          <w:lang w:val="ru-RU"/>
        </w:rPr>
        <w:t xml:space="preserve"> о сарадњи по основу споразума и меморандума о сарадњи, као и подаци Министарства правде о сарадњи по замолницама.</w:t>
      </w:r>
    </w:p>
    <w:p w14:paraId="02E387D8" w14:textId="516565EE" w:rsidR="00AF1189" w:rsidRPr="00FD6B73" w:rsidRDefault="00AF1189" w:rsidP="00F10AC7">
      <w:pPr>
        <w:spacing w:after="120" w:line="240" w:lineRule="auto"/>
        <w:jc w:val="center"/>
        <w:rPr>
          <w:rFonts w:cs="Times New Roman"/>
          <w:sz w:val="20"/>
          <w:szCs w:val="20"/>
          <w:lang w:val="ru-RU"/>
        </w:rPr>
      </w:pPr>
      <w:r w:rsidRPr="00FD6B73">
        <w:rPr>
          <w:rFonts w:cs="Times New Roman"/>
          <w:color w:val="000000"/>
          <w:sz w:val="20"/>
          <w:szCs w:val="20"/>
          <w:lang w:val="ru-RU"/>
        </w:rPr>
        <w:t>Табела 8: Подаци о пруженој правној помоћи</w:t>
      </w:r>
      <w:r w:rsidRPr="00CD46D4">
        <w:rPr>
          <w:rFonts w:cs="Times New Roman"/>
          <w:color w:val="000000"/>
          <w:sz w:val="20"/>
          <w:szCs w:val="20"/>
        </w:rPr>
        <w:t> </w:t>
      </w:r>
      <w:r w:rsidRPr="00FD6B73">
        <w:rPr>
          <w:rFonts w:cs="Times New Roman"/>
          <w:color w:val="000000"/>
          <w:sz w:val="20"/>
          <w:szCs w:val="20"/>
          <w:lang w:val="ru-RU"/>
        </w:rPr>
        <w:t>Тужилаштва за ратне злочине</w:t>
      </w:r>
      <w:r w:rsidR="002B5935">
        <w:rPr>
          <w:rFonts w:cs="Times New Roman"/>
          <w:color w:val="000000"/>
          <w:sz w:val="20"/>
          <w:szCs w:val="20"/>
          <w:lang w:val="ru-RU"/>
        </w:rPr>
        <w:t xml:space="preserve"> </w:t>
      </w:r>
      <w:r w:rsidRPr="00FD6B73">
        <w:rPr>
          <w:rFonts w:cs="Times New Roman"/>
          <w:color w:val="000000"/>
          <w:sz w:val="20"/>
          <w:szCs w:val="20"/>
          <w:lang w:val="ru-RU"/>
        </w:rPr>
        <w:t xml:space="preserve">на захтев Тужилаштва </w:t>
      </w:r>
      <w:r w:rsidR="00100BB3" w:rsidRPr="00100BB3">
        <w:rPr>
          <w:rFonts w:cs="Times New Roman"/>
          <w:sz w:val="20"/>
          <w:szCs w:val="20"/>
          <w:lang w:val="ru-RU"/>
        </w:rPr>
        <w:t>Босне и Херцеговине</w:t>
      </w:r>
      <w:r w:rsidR="00100BB3" w:rsidRPr="00FD6B73">
        <w:rPr>
          <w:rFonts w:cs="Times New Roman"/>
          <w:color w:val="000000"/>
          <w:sz w:val="20"/>
          <w:szCs w:val="20"/>
          <w:lang w:val="ru-RU"/>
        </w:rPr>
        <w:t xml:space="preserve"> </w:t>
      </w:r>
      <w:r w:rsidRPr="00FD6B73">
        <w:rPr>
          <w:rFonts w:cs="Times New Roman"/>
          <w:color w:val="000000"/>
          <w:sz w:val="20"/>
          <w:szCs w:val="20"/>
          <w:lang w:val="ru-RU"/>
        </w:rPr>
        <w:t>за период од 01.01.2016. до 31.12.2020. године</w:t>
      </w:r>
      <w:r w:rsidRPr="00CD46D4">
        <w:rPr>
          <w:rStyle w:val="FootnoteReference"/>
          <w:rFonts w:cs="Times New Roman"/>
          <w:color w:val="000000"/>
          <w:sz w:val="20"/>
          <w:szCs w:val="20"/>
        </w:rPr>
        <w:footnoteReference w:id="52"/>
      </w:r>
    </w:p>
    <w:tbl>
      <w:tblPr>
        <w:tblW w:w="5000" w:type="pct"/>
        <w:jc w:val="center"/>
        <w:tblCellMar>
          <w:top w:w="15" w:type="dxa"/>
          <w:left w:w="15" w:type="dxa"/>
          <w:bottom w:w="15" w:type="dxa"/>
          <w:right w:w="15" w:type="dxa"/>
        </w:tblCellMar>
        <w:tblLook w:val="04A0" w:firstRow="1" w:lastRow="0" w:firstColumn="1" w:lastColumn="0" w:noHBand="0" w:noVBand="1"/>
      </w:tblPr>
      <w:tblGrid>
        <w:gridCol w:w="1400"/>
        <w:gridCol w:w="1373"/>
        <w:gridCol w:w="2064"/>
        <w:gridCol w:w="2445"/>
        <w:gridCol w:w="2068"/>
      </w:tblGrid>
      <w:tr w:rsidR="00AF1189" w:rsidRPr="00CD46D4" w14:paraId="357D1E3E" w14:textId="77777777" w:rsidTr="00AF1189">
        <w:trPr>
          <w:jc w:val="center"/>
        </w:trPr>
        <w:tc>
          <w:tcPr>
            <w:tcW w:w="75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DDF2842" w14:textId="77777777" w:rsidR="00AF1189" w:rsidRPr="00CD46D4" w:rsidRDefault="00AF1189" w:rsidP="00F10AC7">
            <w:pPr>
              <w:spacing w:after="120" w:line="240" w:lineRule="auto"/>
              <w:jc w:val="center"/>
              <w:rPr>
                <w:rFonts w:cs="Times New Roman"/>
                <w:b/>
                <w:bCs/>
                <w:color w:val="000000"/>
                <w:szCs w:val="24"/>
              </w:rPr>
            </w:pPr>
            <w:r w:rsidRPr="00CD46D4">
              <w:rPr>
                <w:rFonts w:cs="Times New Roman"/>
                <w:b/>
                <w:bCs/>
                <w:color w:val="000000"/>
                <w:szCs w:val="24"/>
              </w:rPr>
              <w:t>Година</w:t>
            </w:r>
          </w:p>
        </w:tc>
        <w:tc>
          <w:tcPr>
            <w:tcW w:w="709"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25184E10"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Затражено</w:t>
            </w:r>
          </w:p>
        </w:tc>
        <w:tc>
          <w:tcPr>
            <w:tcW w:w="111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30777D60"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Удовољено</w:t>
            </w:r>
          </w:p>
        </w:tc>
        <w:tc>
          <w:tcPr>
            <w:tcW w:w="131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7311A33D"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Предмети у раду</w:t>
            </w:r>
          </w:p>
        </w:tc>
        <w:tc>
          <w:tcPr>
            <w:tcW w:w="1112"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06B0536D" w14:textId="77777777" w:rsidR="00AF1189" w:rsidRPr="00CD46D4" w:rsidRDefault="00AF1189" w:rsidP="00F10AC7">
            <w:pPr>
              <w:spacing w:after="120" w:line="240" w:lineRule="auto"/>
              <w:jc w:val="center"/>
              <w:rPr>
                <w:rFonts w:cs="Times New Roman"/>
                <w:szCs w:val="24"/>
              </w:rPr>
            </w:pPr>
            <w:r w:rsidRPr="00CD46D4">
              <w:rPr>
                <w:rFonts w:cs="Times New Roman"/>
                <w:b/>
                <w:bCs/>
                <w:color w:val="000000"/>
                <w:szCs w:val="24"/>
              </w:rPr>
              <w:t>Није удовољено</w:t>
            </w:r>
          </w:p>
        </w:tc>
      </w:tr>
      <w:tr w:rsidR="00AF1189" w:rsidRPr="00CD46D4" w14:paraId="293D5920" w14:textId="77777777" w:rsidTr="00AF1189">
        <w:trPr>
          <w:jc w:val="center"/>
        </w:trPr>
        <w:tc>
          <w:tcPr>
            <w:tcW w:w="755" w:type="pct"/>
            <w:tcBorders>
              <w:top w:val="single" w:sz="4" w:space="0" w:color="000000"/>
              <w:left w:val="single" w:sz="4" w:space="0" w:color="000000"/>
              <w:bottom w:val="single" w:sz="4" w:space="0" w:color="000000"/>
              <w:right w:val="single" w:sz="4" w:space="0" w:color="000000"/>
            </w:tcBorders>
          </w:tcPr>
          <w:p w14:paraId="1BFDF95B" w14:textId="6F3A65E6" w:rsidR="00AF1189" w:rsidRPr="00CD46D4" w:rsidRDefault="00100BB3" w:rsidP="00F10AC7">
            <w:pPr>
              <w:spacing w:after="120" w:line="240" w:lineRule="auto"/>
              <w:jc w:val="center"/>
              <w:rPr>
                <w:rFonts w:cs="Times New Roman"/>
                <w:color w:val="000000"/>
                <w:szCs w:val="24"/>
              </w:rPr>
            </w:pPr>
            <w:r>
              <w:rPr>
                <w:rFonts w:cs="Times New Roman"/>
                <w:color w:val="000000"/>
                <w:szCs w:val="24"/>
              </w:rPr>
              <w:t>2016</w:t>
            </w:r>
          </w:p>
        </w:tc>
        <w:tc>
          <w:tcPr>
            <w:tcW w:w="7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53E0D0"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57</w:t>
            </w:r>
          </w:p>
        </w:tc>
        <w:tc>
          <w:tcPr>
            <w:tcW w:w="11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E473B7"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47</w:t>
            </w:r>
          </w:p>
        </w:tc>
        <w:tc>
          <w:tcPr>
            <w:tcW w:w="1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37F98A" w14:textId="77777777" w:rsidR="00AF1189" w:rsidRPr="00CD46D4" w:rsidRDefault="00AF1189" w:rsidP="00F10AC7">
            <w:pPr>
              <w:spacing w:after="120" w:line="240" w:lineRule="auto"/>
              <w:jc w:val="center"/>
              <w:rPr>
                <w:rFonts w:cs="Times New Roman"/>
                <w:szCs w:val="24"/>
              </w:rPr>
            </w:pPr>
            <w:r w:rsidRPr="00CD46D4">
              <w:rPr>
                <w:rFonts w:cs="Times New Roman"/>
                <w:szCs w:val="24"/>
              </w:rPr>
              <w:t>0</w:t>
            </w:r>
          </w:p>
        </w:tc>
        <w:tc>
          <w:tcPr>
            <w:tcW w:w="11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6CF69B" w14:textId="77777777" w:rsidR="00AF1189" w:rsidRPr="00CD46D4" w:rsidRDefault="00AF1189" w:rsidP="00F10AC7">
            <w:pPr>
              <w:spacing w:after="120" w:line="240" w:lineRule="auto"/>
              <w:jc w:val="center"/>
              <w:rPr>
                <w:rFonts w:cs="Times New Roman"/>
                <w:szCs w:val="24"/>
              </w:rPr>
            </w:pPr>
            <w:r w:rsidRPr="00CD46D4">
              <w:rPr>
                <w:rFonts w:cs="Times New Roman"/>
                <w:color w:val="000000"/>
                <w:szCs w:val="24"/>
              </w:rPr>
              <w:t>10</w:t>
            </w:r>
          </w:p>
        </w:tc>
      </w:tr>
      <w:tr w:rsidR="00AF1189" w:rsidRPr="00CD46D4" w14:paraId="131FA0A7" w14:textId="77777777" w:rsidTr="00AF1189">
        <w:trPr>
          <w:jc w:val="center"/>
        </w:trPr>
        <w:tc>
          <w:tcPr>
            <w:tcW w:w="755" w:type="pct"/>
            <w:tcBorders>
              <w:top w:val="single" w:sz="4" w:space="0" w:color="000000"/>
              <w:left w:val="single" w:sz="4" w:space="0" w:color="000000"/>
              <w:bottom w:val="single" w:sz="4" w:space="0" w:color="000000"/>
              <w:right w:val="single" w:sz="4" w:space="0" w:color="000000"/>
            </w:tcBorders>
          </w:tcPr>
          <w:p w14:paraId="3190D8AD" w14:textId="667A32D7" w:rsidR="00AF1189" w:rsidRPr="00CD46D4" w:rsidRDefault="00100BB3" w:rsidP="00F10AC7">
            <w:pPr>
              <w:spacing w:after="120" w:line="240" w:lineRule="auto"/>
              <w:jc w:val="center"/>
              <w:rPr>
                <w:rFonts w:cs="Times New Roman"/>
                <w:color w:val="000000"/>
                <w:szCs w:val="24"/>
              </w:rPr>
            </w:pPr>
            <w:r>
              <w:rPr>
                <w:rFonts w:cs="Times New Roman"/>
                <w:color w:val="000000"/>
                <w:szCs w:val="24"/>
              </w:rPr>
              <w:t>2017</w:t>
            </w:r>
          </w:p>
        </w:tc>
        <w:tc>
          <w:tcPr>
            <w:tcW w:w="7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D52A3C"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57</w:t>
            </w:r>
          </w:p>
        </w:tc>
        <w:tc>
          <w:tcPr>
            <w:tcW w:w="11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1FAEB"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46</w:t>
            </w:r>
          </w:p>
        </w:tc>
        <w:tc>
          <w:tcPr>
            <w:tcW w:w="1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3C8EA"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0</w:t>
            </w:r>
          </w:p>
        </w:tc>
        <w:tc>
          <w:tcPr>
            <w:tcW w:w="11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F6DAE"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11</w:t>
            </w:r>
          </w:p>
        </w:tc>
      </w:tr>
      <w:tr w:rsidR="00AF1189" w:rsidRPr="00CD46D4" w14:paraId="55593D59" w14:textId="77777777" w:rsidTr="00AF1189">
        <w:trPr>
          <w:jc w:val="center"/>
        </w:trPr>
        <w:tc>
          <w:tcPr>
            <w:tcW w:w="755" w:type="pct"/>
            <w:tcBorders>
              <w:top w:val="single" w:sz="4" w:space="0" w:color="000000"/>
              <w:left w:val="single" w:sz="4" w:space="0" w:color="000000"/>
              <w:bottom w:val="single" w:sz="4" w:space="0" w:color="000000"/>
              <w:right w:val="single" w:sz="4" w:space="0" w:color="000000"/>
            </w:tcBorders>
          </w:tcPr>
          <w:p w14:paraId="3F62E47C" w14:textId="7D60D956" w:rsidR="00AF1189" w:rsidRPr="00CD46D4" w:rsidRDefault="00100BB3" w:rsidP="00F10AC7">
            <w:pPr>
              <w:spacing w:after="120" w:line="240" w:lineRule="auto"/>
              <w:jc w:val="center"/>
              <w:rPr>
                <w:rFonts w:cs="Times New Roman"/>
                <w:color w:val="000000"/>
                <w:szCs w:val="24"/>
              </w:rPr>
            </w:pPr>
            <w:r>
              <w:rPr>
                <w:rFonts w:cs="Times New Roman"/>
                <w:color w:val="000000"/>
                <w:szCs w:val="24"/>
              </w:rPr>
              <w:t>2018</w:t>
            </w:r>
          </w:p>
        </w:tc>
        <w:tc>
          <w:tcPr>
            <w:tcW w:w="7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E43D44"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58</w:t>
            </w:r>
          </w:p>
        </w:tc>
        <w:tc>
          <w:tcPr>
            <w:tcW w:w="11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F39D7"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55</w:t>
            </w:r>
          </w:p>
        </w:tc>
        <w:tc>
          <w:tcPr>
            <w:tcW w:w="1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2AA24F"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0</w:t>
            </w:r>
          </w:p>
        </w:tc>
        <w:tc>
          <w:tcPr>
            <w:tcW w:w="11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A162D5"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3</w:t>
            </w:r>
          </w:p>
        </w:tc>
      </w:tr>
      <w:tr w:rsidR="00AF1189" w:rsidRPr="00CD46D4" w14:paraId="665F8EE6" w14:textId="77777777" w:rsidTr="00AF1189">
        <w:trPr>
          <w:jc w:val="center"/>
        </w:trPr>
        <w:tc>
          <w:tcPr>
            <w:tcW w:w="755" w:type="pct"/>
            <w:tcBorders>
              <w:top w:val="single" w:sz="4" w:space="0" w:color="000000"/>
              <w:left w:val="single" w:sz="4" w:space="0" w:color="000000"/>
              <w:bottom w:val="single" w:sz="4" w:space="0" w:color="000000"/>
              <w:right w:val="single" w:sz="4" w:space="0" w:color="000000"/>
            </w:tcBorders>
          </w:tcPr>
          <w:p w14:paraId="5B937378" w14:textId="09512386" w:rsidR="00AF1189" w:rsidRPr="00CD46D4" w:rsidRDefault="00100BB3" w:rsidP="00F10AC7">
            <w:pPr>
              <w:spacing w:after="120" w:line="240" w:lineRule="auto"/>
              <w:jc w:val="center"/>
              <w:rPr>
                <w:rFonts w:cs="Times New Roman"/>
                <w:color w:val="000000"/>
                <w:szCs w:val="24"/>
              </w:rPr>
            </w:pPr>
            <w:r>
              <w:rPr>
                <w:rFonts w:cs="Times New Roman"/>
                <w:color w:val="000000"/>
                <w:szCs w:val="24"/>
              </w:rPr>
              <w:lastRenderedPageBreak/>
              <w:t>2019</w:t>
            </w:r>
          </w:p>
        </w:tc>
        <w:tc>
          <w:tcPr>
            <w:tcW w:w="7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C1B143"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48</w:t>
            </w:r>
          </w:p>
        </w:tc>
        <w:tc>
          <w:tcPr>
            <w:tcW w:w="11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BA3C0C"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42</w:t>
            </w:r>
          </w:p>
        </w:tc>
        <w:tc>
          <w:tcPr>
            <w:tcW w:w="1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9E50A1"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3</w:t>
            </w:r>
          </w:p>
        </w:tc>
        <w:tc>
          <w:tcPr>
            <w:tcW w:w="11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81A24"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3</w:t>
            </w:r>
          </w:p>
        </w:tc>
      </w:tr>
      <w:tr w:rsidR="00AF1189" w:rsidRPr="00CD46D4" w14:paraId="5580C946" w14:textId="77777777" w:rsidTr="00AF1189">
        <w:trPr>
          <w:jc w:val="center"/>
        </w:trPr>
        <w:tc>
          <w:tcPr>
            <w:tcW w:w="755" w:type="pct"/>
            <w:tcBorders>
              <w:top w:val="single" w:sz="4" w:space="0" w:color="000000"/>
              <w:left w:val="single" w:sz="4" w:space="0" w:color="000000"/>
              <w:bottom w:val="single" w:sz="4" w:space="0" w:color="000000"/>
              <w:right w:val="single" w:sz="4" w:space="0" w:color="000000"/>
            </w:tcBorders>
          </w:tcPr>
          <w:p w14:paraId="7AF9F3C1" w14:textId="06E1D284" w:rsidR="00AF1189" w:rsidRPr="00CD46D4" w:rsidRDefault="00100BB3" w:rsidP="00F10AC7">
            <w:pPr>
              <w:spacing w:after="120" w:line="240" w:lineRule="auto"/>
              <w:jc w:val="center"/>
              <w:rPr>
                <w:rFonts w:cs="Times New Roman"/>
                <w:color w:val="000000"/>
                <w:szCs w:val="24"/>
              </w:rPr>
            </w:pPr>
            <w:r>
              <w:rPr>
                <w:rFonts w:cs="Times New Roman"/>
                <w:color w:val="000000"/>
                <w:szCs w:val="24"/>
              </w:rPr>
              <w:t>2020</w:t>
            </w:r>
          </w:p>
        </w:tc>
        <w:tc>
          <w:tcPr>
            <w:tcW w:w="7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092A06"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49</w:t>
            </w:r>
          </w:p>
        </w:tc>
        <w:tc>
          <w:tcPr>
            <w:tcW w:w="11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9E0C36"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33</w:t>
            </w:r>
          </w:p>
        </w:tc>
        <w:tc>
          <w:tcPr>
            <w:tcW w:w="1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739E7"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14</w:t>
            </w:r>
          </w:p>
        </w:tc>
        <w:tc>
          <w:tcPr>
            <w:tcW w:w="11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8514EE" w14:textId="77777777" w:rsidR="00AF1189" w:rsidRPr="00CD46D4" w:rsidRDefault="00AF1189" w:rsidP="00F10AC7">
            <w:pPr>
              <w:spacing w:after="120" w:line="240" w:lineRule="auto"/>
              <w:jc w:val="center"/>
              <w:rPr>
                <w:rFonts w:cs="Times New Roman"/>
                <w:color w:val="000000"/>
                <w:szCs w:val="24"/>
              </w:rPr>
            </w:pPr>
            <w:r w:rsidRPr="00CD46D4">
              <w:rPr>
                <w:rFonts w:cs="Times New Roman"/>
                <w:color w:val="000000"/>
                <w:szCs w:val="24"/>
              </w:rPr>
              <w:t>2</w:t>
            </w:r>
          </w:p>
        </w:tc>
      </w:tr>
      <w:tr w:rsidR="00AF1189" w:rsidRPr="00CD46D4" w14:paraId="5433E9D9" w14:textId="77777777" w:rsidTr="00AF1189">
        <w:trPr>
          <w:jc w:val="center"/>
        </w:trPr>
        <w:tc>
          <w:tcPr>
            <w:tcW w:w="755" w:type="pct"/>
            <w:tcBorders>
              <w:top w:val="single" w:sz="4" w:space="0" w:color="000000"/>
              <w:left w:val="single" w:sz="4" w:space="0" w:color="000000"/>
              <w:bottom w:val="single" w:sz="4" w:space="0" w:color="000000"/>
              <w:right w:val="single" w:sz="4" w:space="0" w:color="000000"/>
            </w:tcBorders>
          </w:tcPr>
          <w:p w14:paraId="48B661F7" w14:textId="77777777" w:rsidR="00AF1189" w:rsidRPr="00CD46D4" w:rsidRDefault="00AF1189" w:rsidP="00F10AC7">
            <w:pPr>
              <w:spacing w:after="120" w:line="240" w:lineRule="auto"/>
              <w:jc w:val="center"/>
              <w:rPr>
                <w:rFonts w:cs="Times New Roman"/>
                <w:b/>
                <w:bCs/>
                <w:color w:val="000000"/>
                <w:szCs w:val="24"/>
              </w:rPr>
            </w:pPr>
            <w:r w:rsidRPr="00CD46D4">
              <w:rPr>
                <w:rFonts w:cs="Times New Roman"/>
                <w:b/>
                <w:bCs/>
                <w:color w:val="000000"/>
                <w:szCs w:val="24"/>
              </w:rPr>
              <w:t>Укупно</w:t>
            </w:r>
          </w:p>
        </w:tc>
        <w:tc>
          <w:tcPr>
            <w:tcW w:w="70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90AEA" w14:textId="77777777" w:rsidR="00AF1189" w:rsidRPr="00CD46D4" w:rsidRDefault="00AF1189" w:rsidP="00F10AC7">
            <w:pPr>
              <w:spacing w:after="120" w:line="240" w:lineRule="auto"/>
              <w:jc w:val="center"/>
              <w:rPr>
                <w:rFonts w:cs="Times New Roman"/>
                <w:b/>
                <w:bCs/>
                <w:color w:val="000000"/>
                <w:szCs w:val="24"/>
              </w:rPr>
            </w:pPr>
            <w:r w:rsidRPr="00CD46D4">
              <w:rPr>
                <w:rFonts w:cs="Times New Roman"/>
                <w:b/>
                <w:bCs/>
                <w:color w:val="000000"/>
                <w:szCs w:val="24"/>
              </w:rPr>
              <w:t>269</w:t>
            </w:r>
          </w:p>
        </w:tc>
        <w:tc>
          <w:tcPr>
            <w:tcW w:w="11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45FBD" w14:textId="77777777" w:rsidR="00AF1189" w:rsidRPr="00CD46D4" w:rsidRDefault="00AF1189" w:rsidP="00F10AC7">
            <w:pPr>
              <w:spacing w:after="120" w:line="240" w:lineRule="auto"/>
              <w:jc w:val="center"/>
              <w:rPr>
                <w:rFonts w:cs="Times New Roman"/>
                <w:b/>
                <w:bCs/>
                <w:color w:val="000000"/>
                <w:szCs w:val="24"/>
              </w:rPr>
            </w:pPr>
            <w:r w:rsidRPr="00CD46D4">
              <w:rPr>
                <w:rFonts w:cs="Times New Roman"/>
                <w:b/>
                <w:bCs/>
                <w:color w:val="000000"/>
                <w:szCs w:val="24"/>
              </w:rPr>
              <w:t>223</w:t>
            </w:r>
          </w:p>
        </w:tc>
        <w:tc>
          <w:tcPr>
            <w:tcW w:w="131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9C05B" w14:textId="77777777" w:rsidR="00AF1189" w:rsidRPr="00CD46D4" w:rsidRDefault="00AF1189" w:rsidP="00F10AC7">
            <w:pPr>
              <w:spacing w:after="120" w:line="240" w:lineRule="auto"/>
              <w:jc w:val="center"/>
              <w:rPr>
                <w:rFonts w:cs="Times New Roman"/>
                <w:b/>
                <w:bCs/>
                <w:color w:val="000000"/>
                <w:szCs w:val="24"/>
              </w:rPr>
            </w:pPr>
            <w:r w:rsidRPr="00CD46D4">
              <w:rPr>
                <w:rFonts w:cs="Times New Roman"/>
                <w:b/>
                <w:bCs/>
                <w:color w:val="000000"/>
                <w:szCs w:val="24"/>
              </w:rPr>
              <w:t>17</w:t>
            </w:r>
          </w:p>
        </w:tc>
        <w:tc>
          <w:tcPr>
            <w:tcW w:w="11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355612" w14:textId="77777777" w:rsidR="00AF1189" w:rsidRPr="00CD46D4" w:rsidRDefault="00AF1189" w:rsidP="00F10AC7">
            <w:pPr>
              <w:spacing w:after="120" w:line="240" w:lineRule="auto"/>
              <w:jc w:val="center"/>
              <w:rPr>
                <w:rFonts w:cs="Times New Roman"/>
                <w:b/>
                <w:bCs/>
                <w:color w:val="000000"/>
                <w:szCs w:val="24"/>
              </w:rPr>
            </w:pPr>
            <w:r w:rsidRPr="00CD46D4">
              <w:rPr>
                <w:rFonts w:cs="Times New Roman"/>
                <w:b/>
                <w:bCs/>
                <w:color w:val="000000"/>
                <w:szCs w:val="24"/>
              </w:rPr>
              <w:t>29</w:t>
            </w:r>
          </w:p>
        </w:tc>
      </w:tr>
    </w:tbl>
    <w:p w14:paraId="669F06AB" w14:textId="25743BF1" w:rsidR="00AF1189" w:rsidRDefault="00AF1189" w:rsidP="00F10AC7">
      <w:pPr>
        <w:spacing w:before="240" w:after="120" w:line="240" w:lineRule="auto"/>
        <w:rPr>
          <w:rFonts w:cs="Times New Roman"/>
          <w:color w:val="000000"/>
          <w:lang w:val="ru-RU"/>
        </w:rPr>
      </w:pPr>
      <w:r w:rsidRPr="00FD6B73">
        <w:rPr>
          <w:rFonts w:cs="Times New Roman"/>
          <w:lang w:val="ru-RU"/>
        </w:rPr>
        <w:t xml:space="preserve">Табела 8 и График 8 приказују податке о </w:t>
      </w:r>
      <w:r w:rsidRPr="00FD6B73">
        <w:rPr>
          <w:rFonts w:cs="Times New Roman"/>
          <w:color w:val="000000"/>
          <w:lang w:val="ru-RU"/>
        </w:rPr>
        <w:t>пруженој правној помоћи</w:t>
      </w:r>
      <w:r w:rsidRPr="00CD46D4">
        <w:rPr>
          <w:rFonts w:cs="Times New Roman"/>
          <w:color w:val="000000"/>
        </w:rPr>
        <w:t> </w:t>
      </w:r>
      <w:r w:rsidRPr="00FD6B73">
        <w:rPr>
          <w:rFonts w:cs="Times New Roman"/>
          <w:color w:val="000000"/>
          <w:lang w:val="ru-RU"/>
        </w:rPr>
        <w:t>ТРЗ</w:t>
      </w:r>
      <w:r w:rsidR="002B5935">
        <w:rPr>
          <w:rFonts w:cs="Times New Roman"/>
          <w:color w:val="000000"/>
          <w:lang w:val="ru-RU"/>
        </w:rPr>
        <w:t xml:space="preserve"> </w:t>
      </w:r>
      <w:r w:rsidRPr="00FD6B73">
        <w:rPr>
          <w:rFonts w:cs="Times New Roman"/>
          <w:color w:val="000000"/>
          <w:lang w:val="ru-RU"/>
        </w:rPr>
        <w:t xml:space="preserve">на захтев Тужилаштва </w:t>
      </w:r>
      <w:r w:rsidR="00100BB3">
        <w:rPr>
          <w:rFonts w:cs="Times New Roman"/>
          <w:lang w:val="ru-RU"/>
        </w:rPr>
        <w:t>Босне и Херцеговине</w:t>
      </w:r>
      <w:r w:rsidR="002B5935">
        <w:rPr>
          <w:rFonts w:cs="Times New Roman"/>
          <w:color w:val="000000"/>
          <w:lang w:val="ru-RU"/>
        </w:rPr>
        <w:t xml:space="preserve"> </w:t>
      </w:r>
      <w:r w:rsidRPr="00FD6B73">
        <w:rPr>
          <w:rFonts w:cs="Times New Roman"/>
          <w:color w:val="000000"/>
          <w:lang w:val="ru-RU"/>
        </w:rPr>
        <w:t>за период од 01.</w:t>
      </w:r>
      <w:r w:rsidR="00100BB3">
        <w:rPr>
          <w:rFonts w:cs="Times New Roman"/>
          <w:color w:val="000000"/>
          <w:lang w:val="ru-RU"/>
        </w:rPr>
        <w:t xml:space="preserve"> јануара </w:t>
      </w:r>
      <w:r w:rsidRPr="00FD6B73">
        <w:rPr>
          <w:rFonts w:cs="Times New Roman"/>
          <w:color w:val="000000"/>
          <w:lang w:val="ru-RU"/>
        </w:rPr>
        <w:t>2016. до 31.</w:t>
      </w:r>
      <w:r w:rsidR="00100BB3">
        <w:rPr>
          <w:rFonts w:cs="Times New Roman"/>
          <w:color w:val="000000"/>
          <w:lang w:val="ru-RU"/>
        </w:rPr>
        <w:t xml:space="preserve"> децембра </w:t>
      </w:r>
      <w:r w:rsidRPr="00FD6B73">
        <w:rPr>
          <w:rFonts w:cs="Times New Roman"/>
          <w:color w:val="000000"/>
          <w:lang w:val="ru-RU"/>
        </w:rPr>
        <w:t xml:space="preserve">2020. године и показују да је ТРЗ у чак 223 од 269 захтева (83%) удовољило захтевима из </w:t>
      </w:r>
      <w:r w:rsidR="00100BB3">
        <w:rPr>
          <w:rFonts w:cs="Times New Roman"/>
          <w:lang w:val="ru-RU"/>
        </w:rPr>
        <w:t>Босне и Херцеговине</w:t>
      </w:r>
      <w:r w:rsidRPr="00FD6B73">
        <w:rPr>
          <w:rFonts w:cs="Times New Roman"/>
          <w:color w:val="000000"/>
          <w:lang w:val="ru-RU"/>
        </w:rPr>
        <w:t>.</w:t>
      </w:r>
    </w:p>
    <w:p w14:paraId="772C57ED" w14:textId="6B764CF0" w:rsidR="00100BB3" w:rsidRDefault="00100BB3" w:rsidP="00F10AC7">
      <w:pPr>
        <w:spacing w:before="240" w:after="120" w:line="240" w:lineRule="auto"/>
        <w:rPr>
          <w:rFonts w:cs="Times New Roman"/>
          <w:color w:val="000000"/>
          <w:lang w:val="ru-RU"/>
        </w:rPr>
      </w:pPr>
    </w:p>
    <w:p w14:paraId="347283BB" w14:textId="5C4B1F9A" w:rsidR="00100BB3" w:rsidRDefault="00100BB3" w:rsidP="00F10AC7">
      <w:pPr>
        <w:spacing w:before="240" w:after="120" w:line="240" w:lineRule="auto"/>
        <w:rPr>
          <w:rFonts w:cs="Times New Roman"/>
          <w:color w:val="000000"/>
          <w:lang w:val="ru-RU"/>
        </w:rPr>
      </w:pPr>
    </w:p>
    <w:p w14:paraId="49084697" w14:textId="62D9B1DC" w:rsidR="00100BB3" w:rsidRDefault="00100BB3" w:rsidP="00F10AC7">
      <w:pPr>
        <w:spacing w:before="240" w:after="120" w:line="240" w:lineRule="auto"/>
        <w:rPr>
          <w:rFonts w:cs="Times New Roman"/>
          <w:color w:val="000000"/>
          <w:lang w:val="ru-RU"/>
        </w:rPr>
      </w:pPr>
    </w:p>
    <w:p w14:paraId="54891D43" w14:textId="6EE0B30C" w:rsidR="00100BB3" w:rsidRDefault="00100BB3" w:rsidP="00F10AC7">
      <w:pPr>
        <w:spacing w:before="240" w:after="120" w:line="240" w:lineRule="auto"/>
        <w:rPr>
          <w:rFonts w:cs="Times New Roman"/>
          <w:color w:val="000000"/>
          <w:lang w:val="ru-RU"/>
        </w:rPr>
      </w:pPr>
    </w:p>
    <w:p w14:paraId="3D41B597" w14:textId="2145E84D" w:rsidR="00100BB3" w:rsidRDefault="00100BB3" w:rsidP="00F10AC7">
      <w:pPr>
        <w:spacing w:before="240" w:after="120" w:line="240" w:lineRule="auto"/>
        <w:rPr>
          <w:rFonts w:cs="Times New Roman"/>
          <w:color w:val="000000"/>
          <w:lang w:val="ru-RU"/>
        </w:rPr>
      </w:pPr>
    </w:p>
    <w:p w14:paraId="11ED9064" w14:textId="79125237" w:rsidR="00100BB3" w:rsidRDefault="00100BB3" w:rsidP="00F10AC7">
      <w:pPr>
        <w:spacing w:before="240" w:after="120" w:line="240" w:lineRule="auto"/>
        <w:rPr>
          <w:rFonts w:cs="Times New Roman"/>
          <w:color w:val="000000"/>
          <w:lang w:val="ru-RU"/>
        </w:rPr>
      </w:pPr>
    </w:p>
    <w:p w14:paraId="4EE903D1" w14:textId="1DDF1E90" w:rsidR="00100BB3" w:rsidRDefault="00100BB3" w:rsidP="00F10AC7">
      <w:pPr>
        <w:spacing w:before="240" w:after="120" w:line="240" w:lineRule="auto"/>
        <w:rPr>
          <w:rFonts w:cs="Times New Roman"/>
          <w:color w:val="000000"/>
          <w:lang w:val="ru-RU"/>
        </w:rPr>
      </w:pPr>
    </w:p>
    <w:p w14:paraId="13A42EC4" w14:textId="24C78C5B" w:rsidR="00100BB3" w:rsidRDefault="00100BB3" w:rsidP="00F10AC7">
      <w:pPr>
        <w:spacing w:before="240" w:after="120" w:line="240" w:lineRule="auto"/>
        <w:rPr>
          <w:rFonts w:cs="Times New Roman"/>
          <w:color w:val="000000"/>
          <w:lang w:val="ru-RU"/>
        </w:rPr>
      </w:pPr>
    </w:p>
    <w:p w14:paraId="5F9DECCF" w14:textId="5B1E533A" w:rsidR="00100BB3" w:rsidRPr="00FD6B73" w:rsidRDefault="00100BB3" w:rsidP="00F10AC7">
      <w:pPr>
        <w:spacing w:before="240" w:after="120" w:line="240" w:lineRule="auto"/>
        <w:rPr>
          <w:rFonts w:cs="Times New Roman"/>
          <w:color w:val="000000"/>
          <w:lang w:val="ru-RU"/>
        </w:rPr>
      </w:pPr>
    </w:p>
    <w:p w14:paraId="7DCFA9FB" w14:textId="77777777" w:rsidR="00AF1189" w:rsidRPr="00FD6B73" w:rsidRDefault="00AF1189" w:rsidP="00637400">
      <w:pPr>
        <w:spacing w:after="0" w:line="240" w:lineRule="auto"/>
        <w:jc w:val="center"/>
        <w:rPr>
          <w:rFonts w:cs="Times New Roman"/>
          <w:sz w:val="20"/>
          <w:szCs w:val="20"/>
          <w:lang w:val="ru-RU"/>
        </w:rPr>
      </w:pPr>
      <w:r w:rsidRPr="00FD6B73">
        <w:rPr>
          <w:rFonts w:cs="Times New Roman"/>
          <w:sz w:val="20"/>
          <w:szCs w:val="20"/>
          <w:lang w:val="ru-RU"/>
        </w:rPr>
        <w:t>График 8:</w:t>
      </w:r>
      <w:r w:rsidRPr="00FD6B73">
        <w:rPr>
          <w:rFonts w:cs="Times New Roman"/>
          <w:color w:val="000000"/>
          <w:sz w:val="20"/>
          <w:szCs w:val="20"/>
          <w:lang w:val="ru-RU"/>
        </w:rPr>
        <w:t xml:space="preserve"> Структура одлука о пруженој правној помоћи</w:t>
      </w:r>
      <w:r w:rsidRPr="00CD46D4">
        <w:rPr>
          <w:rFonts w:cs="Times New Roman"/>
          <w:color w:val="000000"/>
          <w:sz w:val="20"/>
          <w:szCs w:val="20"/>
        </w:rPr>
        <w:t> </w:t>
      </w:r>
      <w:r w:rsidRPr="00FD6B73">
        <w:rPr>
          <w:rFonts w:cs="Times New Roman"/>
          <w:color w:val="000000"/>
          <w:sz w:val="20"/>
          <w:szCs w:val="20"/>
          <w:lang w:val="ru-RU"/>
        </w:rPr>
        <w:t>Тужилаштва за ратне злочине</w:t>
      </w:r>
    </w:p>
    <w:p w14:paraId="22B8F68D" w14:textId="7478D478" w:rsidR="00FD1485" w:rsidRPr="00FD6B73" w:rsidRDefault="00AF1189" w:rsidP="00637400">
      <w:pPr>
        <w:spacing w:after="240" w:line="240" w:lineRule="auto"/>
        <w:jc w:val="center"/>
        <w:rPr>
          <w:rFonts w:cs="Times New Roman"/>
          <w:color w:val="000000"/>
          <w:sz w:val="20"/>
          <w:szCs w:val="20"/>
          <w:lang w:val="ru-RU"/>
        </w:rPr>
      </w:pPr>
      <w:r w:rsidRPr="00FD6B73">
        <w:rPr>
          <w:rFonts w:cs="Times New Roman"/>
          <w:color w:val="000000"/>
          <w:sz w:val="20"/>
          <w:szCs w:val="20"/>
          <w:lang w:val="ru-RU"/>
        </w:rPr>
        <w:t xml:space="preserve">на захтев Тужилаштва </w:t>
      </w:r>
      <w:r w:rsidR="00100BB3" w:rsidRPr="00100BB3">
        <w:rPr>
          <w:rFonts w:cs="Times New Roman"/>
          <w:color w:val="000000"/>
          <w:sz w:val="20"/>
          <w:szCs w:val="20"/>
          <w:lang w:val="ru-RU"/>
        </w:rPr>
        <w:t xml:space="preserve">Босне и Херцеговине </w:t>
      </w:r>
      <w:r w:rsidRPr="00FD6B73">
        <w:rPr>
          <w:rFonts w:cs="Times New Roman"/>
          <w:color w:val="000000"/>
          <w:sz w:val="20"/>
          <w:szCs w:val="20"/>
          <w:lang w:val="ru-RU"/>
        </w:rPr>
        <w:t>за период од 01.01.2016. до 31.12.2020. године</w:t>
      </w:r>
    </w:p>
    <w:p w14:paraId="2CD73626" w14:textId="77777777" w:rsidR="00AF1189" w:rsidRPr="00CD46D4" w:rsidRDefault="00AF1189" w:rsidP="00637400">
      <w:pPr>
        <w:spacing w:after="240" w:line="240" w:lineRule="auto"/>
        <w:jc w:val="center"/>
        <w:rPr>
          <w:rFonts w:cs="Times New Roman"/>
          <w:color w:val="000000"/>
          <w:sz w:val="20"/>
          <w:szCs w:val="20"/>
        </w:rPr>
      </w:pPr>
      <w:r w:rsidRPr="00FD6B73">
        <w:rPr>
          <w:rFonts w:cs="Times New Roman"/>
          <w:sz w:val="20"/>
          <w:szCs w:val="20"/>
          <w:lang w:val="ru-RU"/>
        </w:rPr>
        <w:br/>
      </w:r>
      <w:r w:rsidRPr="00CD46D4">
        <w:rPr>
          <w:rFonts w:cs="Times New Roman"/>
          <w:noProof/>
        </w:rPr>
        <w:drawing>
          <wp:inline distT="0" distB="0" distL="0" distR="0" wp14:anchorId="301FEC9B" wp14:editId="53C4CA74">
            <wp:extent cx="4877711" cy="2623931"/>
            <wp:effectExtent l="0" t="0" r="18415" b="508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74508C0" w14:textId="7527A420" w:rsidR="00AF1189" w:rsidRPr="00FD6B73" w:rsidRDefault="00AF1189" w:rsidP="00F10AC7">
      <w:pPr>
        <w:spacing w:before="240" w:after="120" w:line="240" w:lineRule="auto"/>
        <w:rPr>
          <w:rFonts w:cs="Times New Roman"/>
          <w:lang w:val="ru-RU"/>
        </w:rPr>
      </w:pPr>
      <w:r w:rsidRPr="00FD6B73">
        <w:rPr>
          <w:rFonts w:cs="Times New Roman"/>
          <w:lang w:val="ru-RU"/>
        </w:rPr>
        <w:lastRenderedPageBreak/>
        <w:t xml:space="preserve">Истовремено, Табела 9 и график 9, показују да је у свега 49% случајева удовољено захтевима ТРЗ упућеним Тужилаштву </w:t>
      </w:r>
      <w:r w:rsidR="00100BB3">
        <w:rPr>
          <w:rFonts w:cs="Times New Roman"/>
          <w:lang w:val="ru-RU"/>
        </w:rPr>
        <w:t>Босне и Херцеговине</w:t>
      </w:r>
      <w:r w:rsidRPr="00FD6B73">
        <w:rPr>
          <w:rFonts w:cs="Times New Roman"/>
          <w:lang w:val="ru-RU"/>
        </w:rPr>
        <w:t>, што је у значајној мери ниже од раније поменутих 83%.</w:t>
      </w:r>
    </w:p>
    <w:p w14:paraId="0E6D8964" w14:textId="77777777" w:rsidR="00FD1485" w:rsidRPr="00FD6B73" w:rsidRDefault="00FD1485" w:rsidP="00FD1485">
      <w:pPr>
        <w:spacing w:before="240" w:after="0" w:line="240" w:lineRule="auto"/>
        <w:rPr>
          <w:rFonts w:cs="Times New Roman"/>
          <w:lang w:val="ru-RU"/>
        </w:rPr>
      </w:pPr>
    </w:p>
    <w:p w14:paraId="1B3C7A6D" w14:textId="526B18C2" w:rsidR="00AF1189" w:rsidRPr="00FD6B73" w:rsidRDefault="00AF1189" w:rsidP="00FD1485">
      <w:pPr>
        <w:spacing w:after="0" w:line="240" w:lineRule="auto"/>
        <w:jc w:val="center"/>
        <w:rPr>
          <w:rFonts w:cs="Times New Roman"/>
          <w:sz w:val="20"/>
          <w:szCs w:val="20"/>
          <w:lang w:val="ru-RU"/>
        </w:rPr>
      </w:pPr>
      <w:r w:rsidRPr="00FD6B73">
        <w:rPr>
          <w:rFonts w:cs="Times New Roman"/>
          <w:color w:val="000000"/>
          <w:sz w:val="20"/>
          <w:szCs w:val="20"/>
          <w:lang w:val="ru-RU"/>
        </w:rPr>
        <w:t>Табела: 9: Подаци о затраженој правној помоћи</w:t>
      </w:r>
      <w:r w:rsidRPr="00CD46D4">
        <w:rPr>
          <w:rFonts w:cs="Times New Roman"/>
          <w:color w:val="000000"/>
          <w:sz w:val="20"/>
          <w:szCs w:val="20"/>
        </w:rPr>
        <w:t> </w:t>
      </w:r>
      <w:r w:rsidR="00100BB3">
        <w:rPr>
          <w:rFonts w:cs="Times New Roman"/>
          <w:color w:val="000000"/>
          <w:sz w:val="20"/>
          <w:szCs w:val="20"/>
          <w:lang w:val="ru-RU"/>
        </w:rPr>
        <w:t>ТРЗ</w:t>
      </w:r>
    </w:p>
    <w:p w14:paraId="7A316ACE" w14:textId="3B3DB69A" w:rsidR="00AF1189" w:rsidRPr="00FD6B73" w:rsidRDefault="00AF1189" w:rsidP="00FD1485">
      <w:pPr>
        <w:spacing w:after="0" w:line="240" w:lineRule="auto"/>
        <w:jc w:val="center"/>
        <w:rPr>
          <w:rFonts w:cs="Times New Roman"/>
          <w:sz w:val="20"/>
          <w:szCs w:val="20"/>
          <w:lang w:val="ru-RU"/>
        </w:rPr>
      </w:pPr>
      <w:r w:rsidRPr="00FD6B73">
        <w:rPr>
          <w:rFonts w:cs="Times New Roman"/>
          <w:color w:val="000000"/>
          <w:sz w:val="20"/>
          <w:szCs w:val="20"/>
          <w:lang w:val="ru-RU"/>
        </w:rPr>
        <w:t xml:space="preserve">Тужилаштву </w:t>
      </w:r>
      <w:r w:rsidR="00100BB3" w:rsidRPr="00100BB3">
        <w:rPr>
          <w:rFonts w:cs="Times New Roman"/>
          <w:color w:val="000000"/>
          <w:sz w:val="20"/>
          <w:szCs w:val="20"/>
          <w:lang w:val="ru-RU"/>
        </w:rPr>
        <w:t xml:space="preserve">Босне и Херцеговине </w:t>
      </w:r>
      <w:r w:rsidRPr="00FD6B73">
        <w:rPr>
          <w:rFonts w:cs="Times New Roman"/>
          <w:color w:val="000000"/>
          <w:sz w:val="20"/>
          <w:szCs w:val="20"/>
          <w:lang w:val="ru-RU"/>
        </w:rPr>
        <w:t>за период од 01.01.2016. до 31.12.2020.</w:t>
      </w:r>
      <w:r w:rsidR="002B5935">
        <w:rPr>
          <w:rFonts w:cs="Times New Roman"/>
          <w:color w:val="000000"/>
          <w:sz w:val="20"/>
          <w:szCs w:val="20"/>
          <w:lang w:val="ru-RU"/>
        </w:rPr>
        <w:t xml:space="preserve"> </w:t>
      </w:r>
      <w:r w:rsidRPr="00FD6B73">
        <w:rPr>
          <w:rFonts w:cs="Times New Roman"/>
          <w:color w:val="000000"/>
          <w:sz w:val="20"/>
          <w:szCs w:val="20"/>
          <w:lang w:val="ru-RU"/>
        </w:rPr>
        <w:t>г</w:t>
      </w:r>
      <w:r w:rsidR="002B5935">
        <w:rPr>
          <w:rFonts w:cs="Times New Roman"/>
          <w:color w:val="000000"/>
          <w:sz w:val="20"/>
          <w:szCs w:val="20"/>
          <w:lang w:val="ru-RU"/>
        </w:rPr>
        <w:t>одине</w:t>
      </w:r>
    </w:p>
    <w:tbl>
      <w:tblPr>
        <w:tblW w:w="5000" w:type="pct"/>
        <w:jc w:val="center"/>
        <w:tblCellMar>
          <w:top w:w="15" w:type="dxa"/>
          <w:left w:w="15" w:type="dxa"/>
          <w:bottom w:w="15" w:type="dxa"/>
          <w:right w:w="15" w:type="dxa"/>
        </w:tblCellMar>
        <w:tblLook w:val="04A0" w:firstRow="1" w:lastRow="0" w:firstColumn="1" w:lastColumn="0" w:noHBand="0" w:noVBand="1"/>
      </w:tblPr>
      <w:tblGrid>
        <w:gridCol w:w="1937"/>
        <w:gridCol w:w="2119"/>
        <w:gridCol w:w="2199"/>
        <w:gridCol w:w="3095"/>
      </w:tblGrid>
      <w:tr w:rsidR="00AF1189" w:rsidRPr="00CD46D4" w14:paraId="59C1DBC3"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DB5E6A"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Година</w:t>
            </w:r>
          </w:p>
        </w:tc>
        <w:tc>
          <w:tcPr>
            <w:tcW w:w="113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7EC1F2D4" w14:textId="77777777" w:rsidR="00AF1189" w:rsidRPr="00CD46D4" w:rsidRDefault="00AF1189" w:rsidP="00F10AC7">
            <w:pPr>
              <w:spacing w:after="120" w:line="240" w:lineRule="auto"/>
              <w:jc w:val="center"/>
              <w:rPr>
                <w:rFonts w:cs="Times New Roman"/>
              </w:rPr>
            </w:pPr>
            <w:r w:rsidRPr="00CD46D4">
              <w:rPr>
                <w:rFonts w:cs="Times New Roman"/>
                <w:b/>
                <w:bCs/>
                <w:color w:val="000000"/>
              </w:rPr>
              <w:t>Затражено</w:t>
            </w:r>
          </w:p>
        </w:tc>
        <w:tc>
          <w:tcPr>
            <w:tcW w:w="117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718DA58D" w14:textId="77777777" w:rsidR="00AF1189" w:rsidRPr="00CD46D4" w:rsidRDefault="00AF1189" w:rsidP="00F10AC7">
            <w:pPr>
              <w:spacing w:after="120" w:line="240" w:lineRule="auto"/>
              <w:jc w:val="center"/>
              <w:rPr>
                <w:rFonts w:cs="Times New Roman"/>
              </w:rPr>
            </w:pPr>
            <w:r w:rsidRPr="00CD46D4">
              <w:rPr>
                <w:rFonts w:cs="Times New Roman"/>
                <w:b/>
                <w:bCs/>
                <w:color w:val="000000"/>
              </w:rPr>
              <w:t>Удовољено</w:t>
            </w:r>
          </w:p>
        </w:tc>
        <w:tc>
          <w:tcPr>
            <w:tcW w:w="165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6214F9D9" w14:textId="77777777" w:rsidR="00AF1189" w:rsidRPr="00CD46D4" w:rsidRDefault="00AF1189" w:rsidP="00F10AC7">
            <w:pPr>
              <w:spacing w:after="120" w:line="240" w:lineRule="auto"/>
              <w:jc w:val="center"/>
              <w:rPr>
                <w:rFonts w:cs="Times New Roman"/>
              </w:rPr>
            </w:pPr>
            <w:r w:rsidRPr="00CD46D4">
              <w:rPr>
                <w:rFonts w:cs="Times New Roman"/>
                <w:b/>
                <w:bCs/>
                <w:color w:val="000000"/>
              </w:rPr>
              <w:t>Није одговорено</w:t>
            </w:r>
          </w:p>
        </w:tc>
      </w:tr>
      <w:tr w:rsidR="00AF1189" w:rsidRPr="00CD46D4" w14:paraId="5191DF06"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7D18B130"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2016.</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52671D" w14:textId="77777777" w:rsidR="00AF1189" w:rsidRPr="00CD46D4" w:rsidRDefault="00AF1189" w:rsidP="00F10AC7">
            <w:pPr>
              <w:spacing w:after="120" w:line="240" w:lineRule="auto"/>
              <w:jc w:val="center"/>
              <w:rPr>
                <w:rFonts w:cs="Times New Roman"/>
              </w:rPr>
            </w:pPr>
            <w:r w:rsidRPr="00CD46D4">
              <w:rPr>
                <w:rFonts w:cs="Times New Roman"/>
                <w:color w:val="000000"/>
              </w:rPr>
              <w:t>32</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4A93EE" w14:textId="77777777" w:rsidR="00AF1189" w:rsidRPr="00CD46D4" w:rsidRDefault="00AF1189" w:rsidP="00F10AC7">
            <w:pPr>
              <w:spacing w:after="120" w:line="240" w:lineRule="auto"/>
              <w:jc w:val="center"/>
              <w:rPr>
                <w:rFonts w:cs="Times New Roman"/>
              </w:rPr>
            </w:pPr>
            <w:r w:rsidRPr="00CD46D4">
              <w:rPr>
                <w:rFonts w:cs="Times New Roman"/>
                <w:color w:val="000000"/>
              </w:rPr>
              <w:t>22</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1A0DD8" w14:textId="77777777" w:rsidR="00AF1189" w:rsidRPr="00CD46D4" w:rsidRDefault="00AF1189" w:rsidP="00F10AC7">
            <w:pPr>
              <w:spacing w:after="120" w:line="240" w:lineRule="auto"/>
              <w:jc w:val="center"/>
              <w:rPr>
                <w:rFonts w:cs="Times New Roman"/>
              </w:rPr>
            </w:pPr>
            <w:r w:rsidRPr="00CD46D4">
              <w:rPr>
                <w:rFonts w:cs="Times New Roman"/>
                <w:color w:val="000000"/>
              </w:rPr>
              <w:t>10</w:t>
            </w:r>
          </w:p>
        </w:tc>
      </w:tr>
      <w:tr w:rsidR="00AF1189" w:rsidRPr="00CD46D4" w14:paraId="1FE899F9"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6425D4ED"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2017.</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666995"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42</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ED38AB"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23</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3D328"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19</w:t>
            </w:r>
          </w:p>
        </w:tc>
      </w:tr>
      <w:tr w:rsidR="00AF1189" w:rsidRPr="00CD46D4" w14:paraId="3C846BBE"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3967A346"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2018.</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EF88A6"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43</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A2871"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22</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CE2C3F"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21</w:t>
            </w:r>
          </w:p>
        </w:tc>
      </w:tr>
      <w:tr w:rsidR="00AF1189" w:rsidRPr="00CD46D4" w14:paraId="1023FA5B"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3F261F6E"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2019.</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09CC6"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61</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B1B4B"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46</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2CB0A"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15</w:t>
            </w:r>
          </w:p>
        </w:tc>
      </w:tr>
      <w:tr w:rsidR="00AF1189" w:rsidRPr="00CD46D4" w14:paraId="7B6868A2"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4F481F9E"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2020.</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1D0D5"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107</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E54C75"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31</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2C626"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76</w:t>
            </w:r>
          </w:p>
        </w:tc>
      </w:tr>
      <w:tr w:rsidR="00AF1189" w:rsidRPr="00CD46D4" w14:paraId="2875253E"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6F82FDF8"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Укупно</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5FB53"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285</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9745BD"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144</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5B5267"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141</w:t>
            </w:r>
          </w:p>
        </w:tc>
      </w:tr>
    </w:tbl>
    <w:p w14:paraId="42B7C4DB" w14:textId="77777777" w:rsidR="00FA5C44" w:rsidRDefault="00FA5C44" w:rsidP="00637400">
      <w:pPr>
        <w:spacing w:before="240" w:after="0" w:line="240" w:lineRule="auto"/>
        <w:rPr>
          <w:rFonts w:cs="Times New Roman"/>
          <w:sz w:val="20"/>
          <w:szCs w:val="20"/>
          <w:lang w:val="ru-RU"/>
        </w:rPr>
      </w:pPr>
    </w:p>
    <w:p w14:paraId="28C6BD62" w14:textId="77777777" w:rsidR="00FA5C44" w:rsidRDefault="00FA5C44" w:rsidP="00637400">
      <w:pPr>
        <w:spacing w:before="240" w:after="0" w:line="240" w:lineRule="auto"/>
        <w:rPr>
          <w:rFonts w:cs="Times New Roman"/>
          <w:sz w:val="20"/>
          <w:szCs w:val="20"/>
          <w:lang w:val="ru-RU"/>
        </w:rPr>
      </w:pPr>
    </w:p>
    <w:p w14:paraId="3D1E5493" w14:textId="77777777" w:rsidR="00FA5C44" w:rsidRDefault="00FA5C44" w:rsidP="00637400">
      <w:pPr>
        <w:spacing w:before="240" w:after="0" w:line="240" w:lineRule="auto"/>
        <w:rPr>
          <w:rFonts w:cs="Times New Roman"/>
          <w:sz w:val="20"/>
          <w:szCs w:val="20"/>
          <w:lang w:val="ru-RU"/>
        </w:rPr>
      </w:pPr>
    </w:p>
    <w:p w14:paraId="08003635" w14:textId="77777777" w:rsidR="00FA5C44" w:rsidRDefault="00FA5C44" w:rsidP="00637400">
      <w:pPr>
        <w:spacing w:before="240" w:after="0" w:line="240" w:lineRule="auto"/>
        <w:rPr>
          <w:rFonts w:cs="Times New Roman"/>
          <w:sz w:val="20"/>
          <w:szCs w:val="20"/>
          <w:lang w:val="ru-RU"/>
        </w:rPr>
      </w:pPr>
    </w:p>
    <w:p w14:paraId="7F729D2F" w14:textId="77777777" w:rsidR="00FA5C44" w:rsidRDefault="00FA5C44" w:rsidP="00637400">
      <w:pPr>
        <w:spacing w:before="240" w:after="0" w:line="240" w:lineRule="auto"/>
        <w:rPr>
          <w:rFonts w:cs="Times New Roman"/>
          <w:sz w:val="20"/>
          <w:szCs w:val="20"/>
          <w:lang w:val="ru-RU"/>
        </w:rPr>
      </w:pPr>
    </w:p>
    <w:p w14:paraId="133C8B54" w14:textId="0B3BE584" w:rsidR="00AF1189" w:rsidRPr="00FD6B73" w:rsidRDefault="00AF1189" w:rsidP="00FA5C44">
      <w:pPr>
        <w:spacing w:before="240" w:after="0" w:line="240" w:lineRule="auto"/>
        <w:jc w:val="center"/>
        <w:rPr>
          <w:rFonts w:cs="Times New Roman"/>
          <w:sz w:val="20"/>
          <w:szCs w:val="20"/>
          <w:lang w:val="ru-RU"/>
        </w:rPr>
      </w:pPr>
      <w:r w:rsidRPr="00FD6B73">
        <w:rPr>
          <w:rFonts w:cs="Times New Roman"/>
          <w:sz w:val="20"/>
          <w:szCs w:val="20"/>
          <w:lang w:val="ru-RU"/>
        </w:rPr>
        <w:t>График 9: Структура одлука</w:t>
      </w:r>
      <w:r w:rsidRPr="00FD6B73">
        <w:rPr>
          <w:rFonts w:cs="Times New Roman"/>
          <w:color w:val="000000"/>
          <w:sz w:val="20"/>
          <w:szCs w:val="20"/>
          <w:lang w:val="ru-RU"/>
        </w:rPr>
        <w:t xml:space="preserve"> о затраженој правној помоћи</w:t>
      </w:r>
      <w:r w:rsidRPr="00CD46D4">
        <w:rPr>
          <w:rFonts w:cs="Times New Roman"/>
          <w:color w:val="000000"/>
          <w:sz w:val="20"/>
          <w:szCs w:val="20"/>
        </w:rPr>
        <w:t> </w:t>
      </w:r>
      <w:r w:rsidR="00100BB3">
        <w:rPr>
          <w:rFonts w:cs="Times New Roman"/>
          <w:color w:val="000000"/>
          <w:sz w:val="20"/>
          <w:szCs w:val="20"/>
          <w:lang w:val="ru-RU"/>
        </w:rPr>
        <w:t>ТРЗ</w:t>
      </w:r>
      <w:r w:rsidRPr="00CD46D4">
        <w:rPr>
          <w:rFonts w:cs="Times New Roman"/>
          <w:color w:val="000000"/>
          <w:sz w:val="20"/>
          <w:szCs w:val="20"/>
        </w:rPr>
        <w:t> </w:t>
      </w:r>
      <w:r w:rsidRPr="00FD6B73">
        <w:rPr>
          <w:rFonts w:cs="Times New Roman"/>
          <w:color w:val="000000"/>
          <w:sz w:val="20"/>
          <w:szCs w:val="20"/>
          <w:lang w:val="ru-RU"/>
        </w:rPr>
        <w:t xml:space="preserve">Тужилаштву </w:t>
      </w:r>
      <w:r w:rsidR="00FA5C44">
        <w:rPr>
          <w:rFonts w:cs="Times New Roman"/>
          <w:color w:val="000000"/>
          <w:sz w:val="20"/>
          <w:szCs w:val="20"/>
          <w:lang w:val="ru-RU"/>
        </w:rPr>
        <w:t xml:space="preserve">Босне и Херцеговине </w:t>
      </w:r>
      <w:r w:rsidRPr="00FD6B73">
        <w:rPr>
          <w:rFonts w:cs="Times New Roman"/>
          <w:color w:val="000000"/>
          <w:sz w:val="20"/>
          <w:szCs w:val="20"/>
          <w:lang w:val="ru-RU"/>
        </w:rPr>
        <w:t>за период од 01.01.2016. до 31.12.2020.</w:t>
      </w:r>
      <w:r w:rsidR="00FA5C44">
        <w:rPr>
          <w:rFonts w:cs="Times New Roman"/>
          <w:color w:val="000000"/>
          <w:sz w:val="20"/>
          <w:szCs w:val="20"/>
          <w:lang w:val="ru-RU"/>
        </w:rPr>
        <w:t xml:space="preserve"> </w:t>
      </w:r>
      <w:r w:rsidRPr="00FD6B73">
        <w:rPr>
          <w:rFonts w:cs="Times New Roman"/>
          <w:color w:val="000000"/>
          <w:sz w:val="20"/>
          <w:szCs w:val="20"/>
          <w:lang w:val="ru-RU"/>
        </w:rPr>
        <w:t>г</w:t>
      </w:r>
      <w:r w:rsidR="00FA5C44">
        <w:rPr>
          <w:rFonts w:cs="Times New Roman"/>
          <w:color w:val="000000"/>
          <w:sz w:val="20"/>
          <w:szCs w:val="20"/>
          <w:lang w:val="ru-RU"/>
        </w:rPr>
        <w:t>одине</w:t>
      </w:r>
      <w:r w:rsidRPr="00FD6B73">
        <w:rPr>
          <w:rFonts w:cs="Times New Roman"/>
          <w:lang w:val="ru-RU"/>
        </w:rPr>
        <w:br/>
      </w:r>
      <w:r w:rsidRPr="00FD6B73">
        <w:rPr>
          <w:rFonts w:cs="Times New Roman"/>
          <w:lang w:val="ru-RU"/>
        </w:rPr>
        <w:lastRenderedPageBreak/>
        <w:br/>
      </w:r>
      <w:r w:rsidRPr="00CD46D4">
        <w:rPr>
          <w:rFonts w:cs="Times New Roman"/>
          <w:noProof/>
        </w:rPr>
        <w:drawing>
          <wp:inline distT="0" distB="0" distL="0" distR="0" wp14:anchorId="3F979D4E" wp14:editId="367A9905">
            <wp:extent cx="5173372" cy="3395207"/>
            <wp:effectExtent l="0" t="0" r="8255" b="1524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4B9C672" w14:textId="7BD5F8ED" w:rsidR="00637400" w:rsidRPr="00FD6B73" w:rsidRDefault="00AF1189" w:rsidP="00F10AC7">
      <w:pPr>
        <w:spacing w:after="120" w:line="240" w:lineRule="auto"/>
        <w:rPr>
          <w:rFonts w:cs="Times New Roman"/>
          <w:lang w:val="ru-RU"/>
        </w:rPr>
      </w:pPr>
      <w:r w:rsidRPr="00FD6B73">
        <w:rPr>
          <w:rFonts w:cs="Times New Roman"/>
          <w:lang w:val="ru-RU"/>
        </w:rPr>
        <w:t>Када је реч о резултатима сарадње ТРЗ са Државним одвјетништвом Републике Хрватске, подаци наведени у Табели 10 и</w:t>
      </w:r>
      <w:r w:rsidR="005538E0" w:rsidRPr="00FD6B73">
        <w:rPr>
          <w:rFonts w:cs="Times New Roman"/>
          <w:lang w:val="ru-RU"/>
        </w:rPr>
        <w:t xml:space="preserve"> на Графику 10, показују да је </w:t>
      </w:r>
      <w:r w:rsidR="00FA5C44">
        <w:rPr>
          <w:rFonts w:cs="Times New Roman"/>
          <w:lang w:val="ru-RU"/>
        </w:rPr>
        <w:t>ТРЗ</w:t>
      </w:r>
      <w:r w:rsidRPr="00FD6B73">
        <w:rPr>
          <w:rFonts w:cs="Times New Roman"/>
          <w:lang w:val="ru-RU"/>
        </w:rPr>
        <w:t xml:space="preserve"> у 73% случајева удовољило захтевима примљеним од Државног одвјетништва Републике Хрватске.</w:t>
      </w:r>
    </w:p>
    <w:p w14:paraId="35FECE58" w14:textId="600D30DA" w:rsidR="00AF1189" w:rsidRPr="00FD6B73" w:rsidRDefault="00AF1189" w:rsidP="00637400">
      <w:pPr>
        <w:spacing w:after="0" w:line="240" w:lineRule="auto"/>
        <w:jc w:val="center"/>
        <w:rPr>
          <w:rFonts w:cs="Times New Roman"/>
          <w:sz w:val="20"/>
          <w:szCs w:val="20"/>
          <w:lang w:val="ru-RU"/>
        </w:rPr>
      </w:pPr>
      <w:r w:rsidRPr="00FD6B73">
        <w:rPr>
          <w:rFonts w:cs="Times New Roman"/>
          <w:color w:val="000000"/>
          <w:sz w:val="20"/>
          <w:szCs w:val="20"/>
          <w:lang w:val="ru-RU"/>
        </w:rPr>
        <w:t>Табела 10: Подаци о пруженој правној помоћи</w:t>
      </w:r>
      <w:r w:rsidR="002B5935">
        <w:rPr>
          <w:rFonts w:cs="Times New Roman"/>
          <w:color w:val="000000"/>
          <w:sz w:val="20"/>
          <w:szCs w:val="20"/>
          <w:lang w:val="ru-RU"/>
        </w:rPr>
        <w:t xml:space="preserve"> </w:t>
      </w:r>
      <w:r w:rsidR="00FA5C44">
        <w:rPr>
          <w:rFonts w:cs="Times New Roman"/>
          <w:color w:val="000000"/>
          <w:sz w:val="20"/>
          <w:szCs w:val="20"/>
          <w:lang w:val="ru-RU"/>
        </w:rPr>
        <w:t xml:space="preserve">ТРЗ </w:t>
      </w:r>
    </w:p>
    <w:p w14:paraId="0B3ED206" w14:textId="786B3F0F" w:rsidR="00AF1189" w:rsidRPr="00FD6B73" w:rsidRDefault="00AF1189" w:rsidP="00637400">
      <w:pPr>
        <w:spacing w:line="240" w:lineRule="auto"/>
        <w:jc w:val="center"/>
        <w:rPr>
          <w:rFonts w:cs="Times New Roman"/>
          <w:sz w:val="20"/>
          <w:szCs w:val="20"/>
          <w:lang w:val="ru-RU"/>
        </w:rPr>
      </w:pPr>
      <w:r w:rsidRPr="00FD6B73">
        <w:rPr>
          <w:rFonts w:cs="Times New Roman"/>
          <w:color w:val="000000"/>
          <w:sz w:val="20"/>
          <w:szCs w:val="20"/>
          <w:lang w:val="ru-RU"/>
        </w:rPr>
        <w:t>на</w:t>
      </w:r>
      <w:r w:rsidR="00FA5C44">
        <w:rPr>
          <w:rFonts w:cs="Times New Roman"/>
          <w:color w:val="000000"/>
          <w:sz w:val="20"/>
          <w:szCs w:val="20"/>
          <w:lang w:val="ru-RU"/>
        </w:rPr>
        <w:t xml:space="preserve"> захтев Државног одвјетништва Републике</w:t>
      </w:r>
      <w:r w:rsidRPr="00FD6B73">
        <w:rPr>
          <w:rFonts w:cs="Times New Roman"/>
          <w:color w:val="000000"/>
          <w:sz w:val="20"/>
          <w:szCs w:val="20"/>
          <w:lang w:val="ru-RU"/>
        </w:rPr>
        <w:t xml:space="preserve"> Хрватске</w:t>
      </w:r>
      <w:r w:rsidR="002B5935">
        <w:rPr>
          <w:rFonts w:cs="Times New Roman"/>
          <w:color w:val="000000"/>
          <w:sz w:val="20"/>
          <w:szCs w:val="20"/>
          <w:lang w:val="ru-RU"/>
        </w:rPr>
        <w:t xml:space="preserve"> </w:t>
      </w:r>
      <w:r w:rsidRPr="00FD6B73">
        <w:rPr>
          <w:rFonts w:cs="Times New Roman"/>
          <w:color w:val="000000"/>
          <w:sz w:val="20"/>
          <w:szCs w:val="20"/>
          <w:lang w:val="ru-RU"/>
        </w:rPr>
        <w:t>за период од 01.01.2016. до 31.12.2020. године</w:t>
      </w:r>
      <w:r w:rsidRPr="00CD46D4">
        <w:rPr>
          <w:rStyle w:val="FootnoteReference"/>
          <w:rFonts w:cs="Times New Roman"/>
          <w:color w:val="000000"/>
          <w:sz w:val="20"/>
          <w:szCs w:val="20"/>
        </w:rPr>
        <w:footnoteReference w:id="53"/>
      </w:r>
    </w:p>
    <w:tbl>
      <w:tblPr>
        <w:tblW w:w="5000" w:type="pct"/>
        <w:jc w:val="center"/>
        <w:tblCellMar>
          <w:top w:w="15" w:type="dxa"/>
          <w:left w:w="15" w:type="dxa"/>
          <w:bottom w:w="15" w:type="dxa"/>
          <w:right w:w="15" w:type="dxa"/>
        </w:tblCellMar>
        <w:tblLook w:val="04A0" w:firstRow="1" w:lastRow="0" w:firstColumn="1" w:lastColumn="0" w:noHBand="0" w:noVBand="1"/>
      </w:tblPr>
      <w:tblGrid>
        <w:gridCol w:w="1546"/>
        <w:gridCol w:w="1692"/>
        <w:gridCol w:w="1756"/>
        <w:gridCol w:w="2177"/>
        <w:gridCol w:w="2179"/>
      </w:tblGrid>
      <w:tr w:rsidR="00AF1189" w:rsidRPr="00CD46D4" w14:paraId="1E72D6EA" w14:textId="77777777" w:rsidTr="00AF1189">
        <w:trPr>
          <w:jc w:val="center"/>
        </w:trPr>
        <w:tc>
          <w:tcPr>
            <w:tcW w:w="82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40BF1AC"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Година</w:t>
            </w:r>
          </w:p>
        </w:tc>
        <w:tc>
          <w:tcPr>
            <w:tcW w:w="90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5942FD85" w14:textId="77777777" w:rsidR="00AF1189" w:rsidRPr="00CD46D4" w:rsidRDefault="00AF1189" w:rsidP="00F10AC7">
            <w:pPr>
              <w:spacing w:after="120" w:line="240" w:lineRule="auto"/>
              <w:jc w:val="center"/>
              <w:rPr>
                <w:rFonts w:cs="Times New Roman"/>
              </w:rPr>
            </w:pPr>
            <w:r w:rsidRPr="00CD46D4">
              <w:rPr>
                <w:rFonts w:cs="Times New Roman"/>
                <w:b/>
                <w:bCs/>
                <w:color w:val="000000"/>
              </w:rPr>
              <w:t>Затражено</w:t>
            </w:r>
          </w:p>
        </w:tc>
        <w:tc>
          <w:tcPr>
            <w:tcW w:w="939"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7A04AD55" w14:textId="77777777" w:rsidR="00AF1189" w:rsidRPr="00CD46D4" w:rsidRDefault="00AF1189" w:rsidP="00F10AC7">
            <w:pPr>
              <w:spacing w:after="120" w:line="240" w:lineRule="auto"/>
              <w:jc w:val="center"/>
              <w:rPr>
                <w:rFonts w:cs="Times New Roman"/>
              </w:rPr>
            </w:pPr>
            <w:r w:rsidRPr="00CD46D4">
              <w:rPr>
                <w:rFonts w:cs="Times New Roman"/>
                <w:b/>
                <w:bCs/>
                <w:color w:val="000000"/>
              </w:rPr>
              <w:t>Удовољено</w:t>
            </w:r>
          </w:p>
        </w:tc>
        <w:tc>
          <w:tcPr>
            <w:tcW w:w="116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207A83CD" w14:textId="77777777" w:rsidR="00AF1189" w:rsidRPr="00CD46D4" w:rsidRDefault="00AF1189" w:rsidP="00F10AC7">
            <w:pPr>
              <w:spacing w:after="120" w:line="240" w:lineRule="auto"/>
              <w:jc w:val="center"/>
              <w:rPr>
                <w:rFonts w:cs="Times New Roman"/>
              </w:rPr>
            </w:pPr>
            <w:r w:rsidRPr="00CD46D4">
              <w:rPr>
                <w:rFonts w:cs="Times New Roman"/>
                <w:b/>
                <w:bCs/>
                <w:color w:val="000000"/>
              </w:rPr>
              <w:t>Предмети у раду</w:t>
            </w:r>
          </w:p>
        </w:tc>
        <w:tc>
          <w:tcPr>
            <w:tcW w:w="116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171F14EF" w14:textId="77777777" w:rsidR="00AF1189" w:rsidRPr="00CD46D4" w:rsidRDefault="00AF1189" w:rsidP="00F10AC7">
            <w:pPr>
              <w:spacing w:after="120" w:line="240" w:lineRule="auto"/>
              <w:jc w:val="center"/>
              <w:rPr>
                <w:rFonts w:cs="Times New Roman"/>
              </w:rPr>
            </w:pPr>
            <w:r w:rsidRPr="00CD46D4">
              <w:rPr>
                <w:rFonts w:cs="Times New Roman"/>
                <w:b/>
                <w:bCs/>
                <w:color w:val="000000"/>
              </w:rPr>
              <w:t>Није удовољено</w:t>
            </w:r>
          </w:p>
        </w:tc>
      </w:tr>
      <w:tr w:rsidR="00AF1189" w:rsidRPr="00CD46D4" w14:paraId="02DCEFC7" w14:textId="77777777" w:rsidTr="00AF1189">
        <w:trPr>
          <w:jc w:val="center"/>
        </w:trPr>
        <w:tc>
          <w:tcPr>
            <w:tcW w:w="827" w:type="pct"/>
            <w:tcBorders>
              <w:top w:val="single" w:sz="4" w:space="0" w:color="000000"/>
              <w:left w:val="single" w:sz="4" w:space="0" w:color="000000"/>
              <w:bottom w:val="single" w:sz="4" w:space="0" w:color="000000"/>
              <w:right w:val="single" w:sz="4" w:space="0" w:color="000000"/>
            </w:tcBorders>
          </w:tcPr>
          <w:p w14:paraId="36AB8A6D" w14:textId="35227F50" w:rsidR="00AF1189" w:rsidRPr="00CD46D4" w:rsidRDefault="00FA5C44" w:rsidP="00F10AC7">
            <w:pPr>
              <w:spacing w:after="120" w:line="240" w:lineRule="auto"/>
              <w:jc w:val="center"/>
              <w:rPr>
                <w:rFonts w:cs="Times New Roman"/>
                <w:color w:val="000000"/>
              </w:rPr>
            </w:pPr>
            <w:r>
              <w:rPr>
                <w:rFonts w:cs="Times New Roman"/>
                <w:color w:val="000000"/>
              </w:rPr>
              <w:t>2016</w:t>
            </w:r>
          </w:p>
        </w:tc>
        <w:tc>
          <w:tcPr>
            <w:tcW w:w="9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EA5302" w14:textId="77777777" w:rsidR="00AF1189" w:rsidRPr="00CD46D4" w:rsidRDefault="00AF1189" w:rsidP="00F10AC7">
            <w:pPr>
              <w:spacing w:after="120" w:line="240" w:lineRule="auto"/>
              <w:jc w:val="center"/>
              <w:rPr>
                <w:rFonts w:cs="Times New Roman"/>
              </w:rPr>
            </w:pPr>
            <w:r w:rsidRPr="00CD46D4">
              <w:rPr>
                <w:rFonts w:cs="Times New Roman"/>
                <w:color w:val="000000"/>
              </w:rPr>
              <w:t>66</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7F64A5" w14:textId="77777777" w:rsidR="00AF1189" w:rsidRPr="00CD46D4" w:rsidRDefault="00AF1189" w:rsidP="00F10AC7">
            <w:pPr>
              <w:spacing w:after="120" w:line="240" w:lineRule="auto"/>
              <w:jc w:val="center"/>
              <w:rPr>
                <w:rFonts w:cs="Times New Roman"/>
              </w:rPr>
            </w:pPr>
            <w:r w:rsidRPr="00CD46D4">
              <w:rPr>
                <w:rFonts w:cs="Times New Roman"/>
                <w:color w:val="000000"/>
              </w:rPr>
              <w:t>51</w:t>
            </w:r>
          </w:p>
        </w:tc>
        <w:tc>
          <w:tcPr>
            <w:tcW w:w="11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44DD98" w14:textId="77777777" w:rsidR="00AF1189" w:rsidRPr="00CD46D4" w:rsidRDefault="00AF1189" w:rsidP="00F10AC7">
            <w:pPr>
              <w:spacing w:after="120" w:line="240" w:lineRule="auto"/>
              <w:jc w:val="center"/>
              <w:rPr>
                <w:rFonts w:cs="Times New Roman"/>
              </w:rPr>
            </w:pPr>
            <w:r w:rsidRPr="00CD46D4">
              <w:rPr>
                <w:rFonts w:cs="Times New Roman"/>
                <w:color w:val="000000"/>
              </w:rPr>
              <w:t>4</w:t>
            </w:r>
          </w:p>
        </w:tc>
        <w:tc>
          <w:tcPr>
            <w:tcW w:w="11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F5C6EB" w14:textId="77777777" w:rsidR="00AF1189" w:rsidRPr="00CD46D4" w:rsidRDefault="00AF1189" w:rsidP="00F10AC7">
            <w:pPr>
              <w:spacing w:after="120" w:line="240" w:lineRule="auto"/>
              <w:jc w:val="center"/>
              <w:rPr>
                <w:rFonts w:cs="Times New Roman"/>
              </w:rPr>
            </w:pPr>
            <w:r w:rsidRPr="00CD46D4">
              <w:rPr>
                <w:rFonts w:cs="Times New Roman"/>
                <w:color w:val="000000"/>
              </w:rPr>
              <w:t>11</w:t>
            </w:r>
          </w:p>
        </w:tc>
      </w:tr>
      <w:tr w:rsidR="00AF1189" w:rsidRPr="00CD46D4" w14:paraId="79E9CCD6" w14:textId="77777777" w:rsidTr="00AF1189">
        <w:trPr>
          <w:jc w:val="center"/>
        </w:trPr>
        <w:tc>
          <w:tcPr>
            <w:tcW w:w="827" w:type="pct"/>
            <w:tcBorders>
              <w:top w:val="single" w:sz="4" w:space="0" w:color="000000"/>
              <w:left w:val="single" w:sz="4" w:space="0" w:color="000000"/>
              <w:bottom w:val="single" w:sz="4" w:space="0" w:color="000000"/>
              <w:right w:val="single" w:sz="4" w:space="0" w:color="000000"/>
            </w:tcBorders>
          </w:tcPr>
          <w:p w14:paraId="70E766ED" w14:textId="7CA22A61" w:rsidR="00AF1189" w:rsidRPr="00CD46D4" w:rsidRDefault="00FA5C44" w:rsidP="00F10AC7">
            <w:pPr>
              <w:spacing w:after="120" w:line="240" w:lineRule="auto"/>
              <w:jc w:val="center"/>
              <w:rPr>
                <w:rFonts w:cs="Times New Roman"/>
                <w:color w:val="000000"/>
              </w:rPr>
            </w:pPr>
            <w:r>
              <w:rPr>
                <w:rFonts w:cs="Times New Roman"/>
                <w:color w:val="000000"/>
              </w:rPr>
              <w:t>2017</w:t>
            </w:r>
          </w:p>
        </w:tc>
        <w:tc>
          <w:tcPr>
            <w:tcW w:w="9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6496CB"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28</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F9F4E3"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19</w:t>
            </w:r>
          </w:p>
        </w:tc>
        <w:tc>
          <w:tcPr>
            <w:tcW w:w="11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348E25"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8</w:t>
            </w:r>
          </w:p>
        </w:tc>
        <w:tc>
          <w:tcPr>
            <w:tcW w:w="11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3DE792"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w:t>
            </w:r>
          </w:p>
        </w:tc>
      </w:tr>
      <w:tr w:rsidR="00AF1189" w:rsidRPr="00CD46D4" w14:paraId="357D75D0" w14:textId="77777777" w:rsidTr="00AF1189">
        <w:trPr>
          <w:jc w:val="center"/>
        </w:trPr>
        <w:tc>
          <w:tcPr>
            <w:tcW w:w="827" w:type="pct"/>
            <w:tcBorders>
              <w:top w:val="single" w:sz="4" w:space="0" w:color="000000"/>
              <w:left w:val="single" w:sz="4" w:space="0" w:color="000000"/>
              <w:bottom w:val="single" w:sz="4" w:space="0" w:color="000000"/>
              <w:right w:val="single" w:sz="4" w:space="0" w:color="000000"/>
            </w:tcBorders>
          </w:tcPr>
          <w:p w14:paraId="1964373D" w14:textId="4F64898D" w:rsidR="00AF1189" w:rsidRPr="00CD46D4" w:rsidRDefault="00FA5C44" w:rsidP="00F10AC7">
            <w:pPr>
              <w:spacing w:after="120" w:line="240" w:lineRule="auto"/>
              <w:jc w:val="center"/>
              <w:rPr>
                <w:rFonts w:cs="Times New Roman"/>
                <w:color w:val="000000"/>
              </w:rPr>
            </w:pPr>
            <w:r>
              <w:rPr>
                <w:rFonts w:cs="Times New Roman"/>
                <w:color w:val="000000"/>
              </w:rPr>
              <w:t>2018</w:t>
            </w:r>
          </w:p>
        </w:tc>
        <w:tc>
          <w:tcPr>
            <w:tcW w:w="9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7DEA0"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36</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147432"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18</w:t>
            </w:r>
          </w:p>
        </w:tc>
        <w:tc>
          <w:tcPr>
            <w:tcW w:w="11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BA745C"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15</w:t>
            </w:r>
          </w:p>
        </w:tc>
        <w:tc>
          <w:tcPr>
            <w:tcW w:w="11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0ED13A"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3</w:t>
            </w:r>
          </w:p>
        </w:tc>
      </w:tr>
      <w:tr w:rsidR="00AF1189" w:rsidRPr="00CD46D4" w14:paraId="584909AC" w14:textId="77777777" w:rsidTr="00AF1189">
        <w:trPr>
          <w:jc w:val="center"/>
        </w:trPr>
        <w:tc>
          <w:tcPr>
            <w:tcW w:w="827" w:type="pct"/>
            <w:tcBorders>
              <w:top w:val="single" w:sz="4" w:space="0" w:color="000000"/>
              <w:left w:val="single" w:sz="4" w:space="0" w:color="000000"/>
              <w:bottom w:val="single" w:sz="4" w:space="0" w:color="000000"/>
              <w:right w:val="single" w:sz="4" w:space="0" w:color="000000"/>
            </w:tcBorders>
          </w:tcPr>
          <w:p w14:paraId="291D7AF0" w14:textId="7FBB040C" w:rsidR="00AF1189" w:rsidRPr="00CD46D4" w:rsidRDefault="00FA5C44" w:rsidP="00F10AC7">
            <w:pPr>
              <w:spacing w:after="120" w:line="240" w:lineRule="auto"/>
              <w:jc w:val="center"/>
              <w:rPr>
                <w:rFonts w:cs="Times New Roman"/>
                <w:color w:val="000000"/>
              </w:rPr>
            </w:pPr>
            <w:r>
              <w:rPr>
                <w:rFonts w:cs="Times New Roman"/>
                <w:color w:val="000000"/>
              </w:rPr>
              <w:t>2019</w:t>
            </w:r>
          </w:p>
        </w:tc>
        <w:tc>
          <w:tcPr>
            <w:tcW w:w="9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222E0"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39</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00D579"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25</w:t>
            </w:r>
          </w:p>
        </w:tc>
        <w:tc>
          <w:tcPr>
            <w:tcW w:w="11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0A6496"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11</w:t>
            </w:r>
          </w:p>
        </w:tc>
        <w:tc>
          <w:tcPr>
            <w:tcW w:w="11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C1C255"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3</w:t>
            </w:r>
          </w:p>
        </w:tc>
      </w:tr>
      <w:tr w:rsidR="00AF1189" w:rsidRPr="00CD46D4" w14:paraId="46849BB2" w14:textId="77777777" w:rsidTr="00AF1189">
        <w:trPr>
          <w:jc w:val="center"/>
        </w:trPr>
        <w:tc>
          <w:tcPr>
            <w:tcW w:w="827" w:type="pct"/>
            <w:tcBorders>
              <w:top w:val="single" w:sz="4" w:space="0" w:color="000000"/>
              <w:left w:val="single" w:sz="4" w:space="0" w:color="000000"/>
              <w:bottom w:val="single" w:sz="4" w:space="0" w:color="000000"/>
              <w:right w:val="single" w:sz="4" w:space="0" w:color="000000"/>
            </w:tcBorders>
          </w:tcPr>
          <w:p w14:paraId="050500AD" w14:textId="175ECCC1" w:rsidR="00AF1189" w:rsidRPr="00CD46D4" w:rsidRDefault="00FA5C44" w:rsidP="00F10AC7">
            <w:pPr>
              <w:spacing w:after="120" w:line="240" w:lineRule="auto"/>
              <w:jc w:val="center"/>
              <w:rPr>
                <w:rFonts w:cs="Times New Roman"/>
                <w:color w:val="000000"/>
              </w:rPr>
            </w:pPr>
            <w:r>
              <w:rPr>
                <w:rFonts w:cs="Times New Roman"/>
                <w:color w:val="000000"/>
              </w:rPr>
              <w:t>2020</w:t>
            </w:r>
          </w:p>
        </w:tc>
        <w:tc>
          <w:tcPr>
            <w:tcW w:w="9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F7A39F"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21</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4CDC22"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13</w:t>
            </w:r>
          </w:p>
        </w:tc>
        <w:tc>
          <w:tcPr>
            <w:tcW w:w="11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A5E83B"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8</w:t>
            </w:r>
          </w:p>
        </w:tc>
        <w:tc>
          <w:tcPr>
            <w:tcW w:w="11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CAFE25"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r>
      <w:tr w:rsidR="00AF1189" w:rsidRPr="00CD46D4" w14:paraId="357E224D" w14:textId="77777777" w:rsidTr="00AF1189">
        <w:trPr>
          <w:jc w:val="center"/>
        </w:trPr>
        <w:tc>
          <w:tcPr>
            <w:tcW w:w="827" w:type="pct"/>
            <w:tcBorders>
              <w:top w:val="single" w:sz="4" w:space="0" w:color="000000"/>
              <w:left w:val="single" w:sz="4" w:space="0" w:color="000000"/>
              <w:bottom w:val="single" w:sz="4" w:space="0" w:color="000000"/>
              <w:right w:val="single" w:sz="4" w:space="0" w:color="000000"/>
            </w:tcBorders>
          </w:tcPr>
          <w:p w14:paraId="6855D5BA" w14:textId="77777777" w:rsidR="00AF1189" w:rsidRPr="00CD46D4" w:rsidRDefault="00AF1189" w:rsidP="00F10AC7">
            <w:pPr>
              <w:spacing w:after="120" w:line="240" w:lineRule="auto"/>
              <w:jc w:val="center"/>
              <w:rPr>
                <w:rFonts w:cs="Times New Roman"/>
                <w:color w:val="000000"/>
              </w:rPr>
            </w:pPr>
            <w:r w:rsidRPr="00CD46D4">
              <w:rPr>
                <w:rFonts w:cs="Times New Roman"/>
                <w:b/>
                <w:bCs/>
                <w:color w:val="000000"/>
              </w:rPr>
              <w:t>Укупно</w:t>
            </w:r>
          </w:p>
        </w:tc>
        <w:tc>
          <w:tcPr>
            <w:tcW w:w="9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F52726" w14:textId="77777777" w:rsidR="00AF1189" w:rsidRPr="00FA5C44" w:rsidRDefault="00AF1189" w:rsidP="00F10AC7">
            <w:pPr>
              <w:spacing w:after="120" w:line="240" w:lineRule="auto"/>
              <w:jc w:val="center"/>
              <w:rPr>
                <w:rFonts w:cs="Times New Roman"/>
                <w:b/>
                <w:color w:val="000000"/>
              </w:rPr>
            </w:pPr>
            <w:r w:rsidRPr="00FA5C44">
              <w:rPr>
                <w:rFonts w:cs="Times New Roman"/>
                <w:b/>
                <w:color w:val="000000"/>
              </w:rPr>
              <w:t>190</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EBA9D5" w14:textId="77777777" w:rsidR="00AF1189" w:rsidRPr="00FA5C44" w:rsidRDefault="00AF1189" w:rsidP="00F10AC7">
            <w:pPr>
              <w:spacing w:after="120" w:line="240" w:lineRule="auto"/>
              <w:jc w:val="center"/>
              <w:rPr>
                <w:rFonts w:cs="Times New Roman"/>
                <w:b/>
                <w:color w:val="000000"/>
              </w:rPr>
            </w:pPr>
            <w:r w:rsidRPr="00FA5C44">
              <w:rPr>
                <w:rFonts w:cs="Times New Roman"/>
                <w:b/>
                <w:color w:val="000000"/>
              </w:rPr>
              <w:t>126</w:t>
            </w:r>
          </w:p>
        </w:tc>
        <w:tc>
          <w:tcPr>
            <w:tcW w:w="11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DF1FB9" w14:textId="77777777" w:rsidR="00AF1189" w:rsidRPr="00FA5C44" w:rsidRDefault="00AF1189" w:rsidP="00F10AC7">
            <w:pPr>
              <w:spacing w:after="120" w:line="240" w:lineRule="auto"/>
              <w:jc w:val="center"/>
              <w:rPr>
                <w:rFonts w:cs="Times New Roman"/>
                <w:b/>
                <w:color w:val="000000"/>
              </w:rPr>
            </w:pPr>
            <w:r w:rsidRPr="00FA5C44">
              <w:rPr>
                <w:rFonts w:cs="Times New Roman"/>
                <w:b/>
                <w:color w:val="000000"/>
              </w:rPr>
              <w:t>46</w:t>
            </w:r>
          </w:p>
        </w:tc>
        <w:tc>
          <w:tcPr>
            <w:tcW w:w="11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10A1E" w14:textId="77777777" w:rsidR="00AF1189" w:rsidRPr="00FA5C44" w:rsidRDefault="00AF1189" w:rsidP="00F10AC7">
            <w:pPr>
              <w:spacing w:after="120" w:line="240" w:lineRule="auto"/>
              <w:jc w:val="center"/>
              <w:rPr>
                <w:rFonts w:cs="Times New Roman"/>
                <w:b/>
                <w:color w:val="000000"/>
              </w:rPr>
            </w:pPr>
            <w:r w:rsidRPr="00FA5C44">
              <w:rPr>
                <w:rFonts w:cs="Times New Roman"/>
                <w:b/>
                <w:color w:val="000000"/>
              </w:rPr>
              <w:t>18</w:t>
            </w:r>
          </w:p>
        </w:tc>
      </w:tr>
    </w:tbl>
    <w:p w14:paraId="42F6B21F" w14:textId="77777777" w:rsidR="00AF1189" w:rsidRPr="00CD46D4" w:rsidRDefault="00AF1189" w:rsidP="00F10AC7">
      <w:pPr>
        <w:spacing w:after="120" w:line="240" w:lineRule="auto"/>
        <w:rPr>
          <w:rFonts w:cs="Times New Roman"/>
        </w:rPr>
      </w:pPr>
    </w:p>
    <w:p w14:paraId="4CE6EF7B" w14:textId="77777777" w:rsidR="00FA5C44" w:rsidRDefault="00FA5C44" w:rsidP="008F0444">
      <w:pPr>
        <w:spacing w:after="0" w:line="240" w:lineRule="auto"/>
        <w:jc w:val="center"/>
        <w:rPr>
          <w:rFonts w:cs="Times New Roman"/>
          <w:sz w:val="20"/>
          <w:szCs w:val="20"/>
          <w:lang w:val="ru-RU"/>
        </w:rPr>
      </w:pPr>
    </w:p>
    <w:p w14:paraId="7509DD34" w14:textId="77777777" w:rsidR="00FA5C44" w:rsidRDefault="00FA5C44" w:rsidP="008F0444">
      <w:pPr>
        <w:spacing w:after="0" w:line="240" w:lineRule="auto"/>
        <w:jc w:val="center"/>
        <w:rPr>
          <w:rFonts w:cs="Times New Roman"/>
          <w:sz w:val="20"/>
          <w:szCs w:val="20"/>
          <w:lang w:val="ru-RU"/>
        </w:rPr>
      </w:pPr>
    </w:p>
    <w:p w14:paraId="0D1C3A6A" w14:textId="7B047A72" w:rsidR="00AF1189" w:rsidRPr="00FD6B73" w:rsidRDefault="00AF1189" w:rsidP="008F0444">
      <w:pPr>
        <w:spacing w:after="0" w:line="240" w:lineRule="auto"/>
        <w:jc w:val="center"/>
        <w:rPr>
          <w:rFonts w:cs="Times New Roman"/>
          <w:sz w:val="20"/>
          <w:szCs w:val="20"/>
          <w:lang w:val="ru-RU"/>
        </w:rPr>
      </w:pPr>
      <w:r w:rsidRPr="00FD6B73">
        <w:rPr>
          <w:rFonts w:cs="Times New Roman"/>
          <w:sz w:val="20"/>
          <w:szCs w:val="20"/>
          <w:lang w:val="ru-RU"/>
        </w:rPr>
        <w:t xml:space="preserve">График 10: Структура одлука </w:t>
      </w:r>
      <w:r w:rsidRPr="00FD6B73">
        <w:rPr>
          <w:rFonts w:cs="Times New Roman"/>
          <w:color w:val="000000"/>
          <w:sz w:val="20"/>
          <w:szCs w:val="20"/>
          <w:lang w:val="ru-RU"/>
        </w:rPr>
        <w:t>о пруженој правној помоћи</w:t>
      </w:r>
      <w:r w:rsidR="002B5935">
        <w:rPr>
          <w:rFonts w:cs="Times New Roman"/>
          <w:color w:val="000000"/>
          <w:sz w:val="20"/>
          <w:szCs w:val="20"/>
          <w:lang w:val="ru-RU"/>
        </w:rPr>
        <w:t xml:space="preserve"> </w:t>
      </w:r>
      <w:r w:rsidR="00FA5C44">
        <w:rPr>
          <w:rFonts w:cs="Times New Roman"/>
          <w:color w:val="000000"/>
          <w:sz w:val="20"/>
          <w:szCs w:val="20"/>
          <w:lang w:val="ru-RU"/>
        </w:rPr>
        <w:t>ТРЗ</w:t>
      </w:r>
    </w:p>
    <w:p w14:paraId="0EF99E3F" w14:textId="44F8ED1B" w:rsidR="00AF1189" w:rsidRPr="00FD6B73" w:rsidRDefault="00AF1189" w:rsidP="008F0444">
      <w:pPr>
        <w:spacing w:after="0" w:line="240" w:lineRule="auto"/>
        <w:jc w:val="center"/>
        <w:rPr>
          <w:rFonts w:cs="Times New Roman"/>
          <w:color w:val="000000"/>
          <w:sz w:val="20"/>
          <w:szCs w:val="20"/>
          <w:lang w:val="ru-RU"/>
        </w:rPr>
      </w:pPr>
      <w:r w:rsidRPr="00FD6B73">
        <w:rPr>
          <w:rFonts w:cs="Times New Roman"/>
          <w:color w:val="000000"/>
          <w:sz w:val="20"/>
          <w:szCs w:val="20"/>
          <w:lang w:val="ru-RU"/>
        </w:rPr>
        <w:t>на</w:t>
      </w:r>
      <w:r w:rsidR="00FA5C44">
        <w:rPr>
          <w:rFonts w:cs="Times New Roman"/>
          <w:color w:val="000000"/>
          <w:sz w:val="20"/>
          <w:szCs w:val="20"/>
          <w:lang w:val="ru-RU"/>
        </w:rPr>
        <w:t xml:space="preserve"> захтев Државног одвјетништва Републике</w:t>
      </w:r>
      <w:r w:rsidRPr="00FD6B73">
        <w:rPr>
          <w:rFonts w:cs="Times New Roman"/>
          <w:color w:val="000000"/>
          <w:sz w:val="20"/>
          <w:szCs w:val="20"/>
          <w:lang w:val="ru-RU"/>
        </w:rPr>
        <w:t xml:space="preserve"> Хрватске</w:t>
      </w:r>
      <w:r w:rsidR="002B5935">
        <w:rPr>
          <w:rFonts w:cs="Times New Roman"/>
          <w:color w:val="000000"/>
          <w:sz w:val="20"/>
          <w:szCs w:val="20"/>
          <w:lang w:val="ru-RU"/>
        </w:rPr>
        <w:t xml:space="preserve"> </w:t>
      </w:r>
      <w:r w:rsidRPr="00FD6B73">
        <w:rPr>
          <w:rFonts w:cs="Times New Roman"/>
          <w:color w:val="000000"/>
          <w:sz w:val="20"/>
          <w:szCs w:val="20"/>
          <w:lang w:val="ru-RU"/>
        </w:rPr>
        <w:t>за период од 01.01.2016. до 31.12.2020. године</w:t>
      </w:r>
    </w:p>
    <w:p w14:paraId="19389109" w14:textId="77777777" w:rsidR="00AF1189" w:rsidRPr="00FD6B73" w:rsidRDefault="00AF1189" w:rsidP="00F10AC7">
      <w:pPr>
        <w:spacing w:line="240" w:lineRule="auto"/>
        <w:rPr>
          <w:rFonts w:cs="Times New Roman"/>
          <w:sz w:val="20"/>
          <w:szCs w:val="20"/>
          <w:lang w:val="ru-RU"/>
        </w:rPr>
      </w:pPr>
    </w:p>
    <w:p w14:paraId="2A20B7F3" w14:textId="77777777" w:rsidR="00AF1189" w:rsidRPr="00CD46D4" w:rsidRDefault="00AF1189" w:rsidP="00F10AC7">
      <w:pPr>
        <w:spacing w:after="120" w:line="240" w:lineRule="auto"/>
        <w:jc w:val="center"/>
        <w:rPr>
          <w:rFonts w:cs="Times New Roman"/>
        </w:rPr>
      </w:pPr>
      <w:r w:rsidRPr="008F3371">
        <w:rPr>
          <w:noProof/>
        </w:rPr>
        <w:drawing>
          <wp:inline distT="0" distB="0" distL="0" distR="0" wp14:anchorId="184D2CEF" wp14:editId="63C197AD">
            <wp:extent cx="5303520" cy="3013544"/>
            <wp:effectExtent l="0" t="0" r="11430" b="1587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43DA92A" w14:textId="77777777" w:rsidR="00AF1189" w:rsidRPr="00CD46D4" w:rsidRDefault="00AF1189" w:rsidP="00F10AC7">
      <w:pPr>
        <w:spacing w:after="120" w:line="240" w:lineRule="auto"/>
        <w:jc w:val="center"/>
        <w:rPr>
          <w:rFonts w:cs="Times New Roman"/>
          <w:color w:val="000000"/>
          <w:sz w:val="22"/>
        </w:rPr>
      </w:pPr>
    </w:p>
    <w:p w14:paraId="0C8F7977" w14:textId="73F3CA1F" w:rsidR="00AF1189" w:rsidRPr="00FD6B73" w:rsidRDefault="00AF1189" w:rsidP="006074A4">
      <w:pPr>
        <w:spacing w:after="0" w:line="240" w:lineRule="auto"/>
        <w:rPr>
          <w:rFonts w:cs="Times New Roman"/>
          <w:color w:val="000000"/>
          <w:lang w:val="ru-RU"/>
        </w:rPr>
      </w:pPr>
      <w:r w:rsidRPr="00FD6B73">
        <w:rPr>
          <w:rFonts w:cs="Times New Roman"/>
          <w:color w:val="000000"/>
          <w:lang w:val="ru-RU"/>
        </w:rPr>
        <w:t xml:space="preserve">Истовремено, подаци приказани у Табели 11 и на Графику 11 показују учинак Државног одвјетништва </w:t>
      </w:r>
      <w:r w:rsidR="00FA5C44">
        <w:rPr>
          <w:rFonts w:cs="Times New Roman"/>
          <w:color w:val="000000"/>
          <w:lang w:val="ru-RU"/>
        </w:rPr>
        <w:t xml:space="preserve">Републике </w:t>
      </w:r>
      <w:r w:rsidRPr="00FD6B73">
        <w:rPr>
          <w:rFonts w:cs="Times New Roman"/>
          <w:color w:val="000000"/>
          <w:lang w:val="ru-RU"/>
        </w:rPr>
        <w:t xml:space="preserve">Хрватске по захтевима </w:t>
      </w:r>
      <w:r w:rsidR="00FA5C44">
        <w:rPr>
          <w:rFonts w:cs="Times New Roman"/>
          <w:color w:val="000000"/>
          <w:lang w:val="ru-RU"/>
        </w:rPr>
        <w:t>ТРЗ</w:t>
      </w:r>
      <w:r w:rsidRPr="00FD6B73">
        <w:rPr>
          <w:rFonts w:cs="Times New Roman"/>
          <w:color w:val="000000"/>
          <w:lang w:val="ru-RU"/>
        </w:rPr>
        <w:t xml:space="preserve">, као и значајан пораст броја упућених захтева ТРЗ у 2020. </w:t>
      </w:r>
      <w:r w:rsidR="00FA5C44">
        <w:rPr>
          <w:rFonts w:cs="Times New Roman"/>
          <w:color w:val="000000"/>
          <w:lang w:val="ru-RU"/>
        </w:rPr>
        <w:t>г</w:t>
      </w:r>
      <w:r w:rsidRPr="00FD6B73">
        <w:rPr>
          <w:rFonts w:cs="Times New Roman"/>
          <w:color w:val="000000"/>
          <w:lang w:val="ru-RU"/>
        </w:rPr>
        <w:t>одини</w:t>
      </w:r>
      <w:r w:rsidR="002B5935">
        <w:rPr>
          <w:rFonts w:cs="Times New Roman"/>
          <w:color w:val="000000"/>
          <w:lang w:val="ru-RU"/>
        </w:rPr>
        <w:t xml:space="preserve"> </w:t>
      </w:r>
      <w:r w:rsidRPr="00FD6B73">
        <w:rPr>
          <w:rFonts w:cs="Times New Roman"/>
          <w:color w:val="000000"/>
          <w:lang w:val="ru-RU"/>
        </w:rPr>
        <w:t xml:space="preserve">- готово четири пута више него претходних година. Подаци показују да је Државно одвјетништво </w:t>
      </w:r>
      <w:r w:rsidR="00FA5C44">
        <w:rPr>
          <w:rFonts w:cs="Times New Roman"/>
          <w:color w:val="000000"/>
          <w:lang w:val="ru-RU"/>
        </w:rPr>
        <w:t>Републике Хреватске</w:t>
      </w:r>
      <w:r w:rsidRPr="00FD6B73">
        <w:rPr>
          <w:rFonts w:cs="Times New Roman"/>
          <w:color w:val="000000"/>
          <w:lang w:val="ru-RU"/>
        </w:rPr>
        <w:t xml:space="preserve"> само у 29% случајева удовољило захтевима ТРЗ.</w:t>
      </w:r>
    </w:p>
    <w:p w14:paraId="77338F76" w14:textId="77777777" w:rsidR="006074A4" w:rsidRPr="00FD6B73" w:rsidRDefault="006074A4" w:rsidP="00F10AC7">
      <w:pPr>
        <w:spacing w:after="120" w:line="240" w:lineRule="auto"/>
        <w:rPr>
          <w:rFonts w:cs="Times New Roman"/>
          <w:color w:val="000000"/>
          <w:lang w:val="ru-RU"/>
        </w:rPr>
      </w:pPr>
    </w:p>
    <w:p w14:paraId="10139BC7" w14:textId="7BA69DE8" w:rsidR="00AF1189" w:rsidRPr="00FD6B73" w:rsidRDefault="00AF1189" w:rsidP="00F10AC7">
      <w:pPr>
        <w:spacing w:after="120" w:line="240" w:lineRule="auto"/>
        <w:jc w:val="center"/>
        <w:rPr>
          <w:rFonts w:cs="Times New Roman"/>
          <w:sz w:val="20"/>
          <w:szCs w:val="20"/>
          <w:lang w:val="ru-RU"/>
        </w:rPr>
      </w:pPr>
      <w:r w:rsidRPr="00FD6B73">
        <w:rPr>
          <w:rFonts w:cs="Times New Roman"/>
          <w:color w:val="000000"/>
          <w:sz w:val="20"/>
          <w:szCs w:val="20"/>
          <w:lang w:val="ru-RU"/>
        </w:rPr>
        <w:t>Табела 11: Подаци о затраженој правној помоћи</w:t>
      </w:r>
      <w:r w:rsidRPr="00CD46D4">
        <w:rPr>
          <w:rFonts w:cs="Times New Roman"/>
          <w:color w:val="000000"/>
          <w:sz w:val="20"/>
          <w:szCs w:val="20"/>
        </w:rPr>
        <w:t> </w:t>
      </w:r>
      <w:r w:rsidR="00FA5C44">
        <w:rPr>
          <w:rFonts w:cs="Times New Roman"/>
          <w:color w:val="000000"/>
          <w:sz w:val="20"/>
          <w:szCs w:val="20"/>
          <w:lang w:val="ru-RU"/>
        </w:rPr>
        <w:t>ТРЗ</w:t>
      </w:r>
      <w:r w:rsidRPr="00CD46D4">
        <w:rPr>
          <w:rFonts w:cs="Times New Roman"/>
          <w:color w:val="000000"/>
          <w:sz w:val="20"/>
          <w:szCs w:val="20"/>
        </w:rPr>
        <w:t> </w:t>
      </w:r>
      <w:r w:rsidRPr="00FD6B73">
        <w:rPr>
          <w:rFonts w:cs="Times New Roman"/>
          <w:color w:val="000000"/>
          <w:sz w:val="20"/>
          <w:szCs w:val="20"/>
          <w:lang w:val="ru-RU"/>
        </w:rPr>
        <w:t>Државном одвјетништву Р</w:t>
      </w:r>
      <w:r w:rsidR="00FA5C44">
        <w:rPr>
          <w:rFonts w:cs="Times New Roman"/>
          <w:color w:val="000000"/>
          <w:sz w:val="20"/>
          <w:szCs w:val="20"/>
          <w:lang w:val="ru-RU"/>
        </w:rPr>
        <w:t>епублике</w:t>
      </w:r>
      <w:r w:rsidRPr="00FD6B73">
        <w:rPr>
          <w:rFonts w:cs="Times New Roman"/>
          <w:color w:val="000000"/>
          <w:sz w:val="20"/>
          <w:szCs w:val="20"/>
          <w:lang w:val="ru-RU"/>
        </w:rPr>
        <w:t xml:space="preserve"> Хрватске</w:t>
      </w:r>
      <w:r w:rsidR="002B5935">
        <w:rPr>
          <w:rFonts w:cs="Times New Roman"/>
          <w:color w:val="000000"/>
          <w:sz w:val="20"/>
          <w:szCs w:val="20"/>
          <w:lang w:val="ru-RU"/>
        </w:rPr>
        <w:t xml:space="preserve"> </w:t>
      </w:r>
      <w:r w:rsidRPr="00FD6B73">
        <w:rPr>
          <w:rFonts w:cs="Times New Roman"/>
          <w:color w:val="000000"/>
          <w:sz w:val="20"/>
          <w:szCs w:val="20"/>
          <w:lang w:val="ru-RU"/>
        </w:rPr>
        <w:t>за период од 01.01.2016. до 31.12.2020.</w:t>
      </w:r>
      <w:r w:rsidR="002B5935">
        <w:rPr>
          <w:rFonts w:cs="Times New Roman"/>
          <w:color w:val="000000"/>
          <w:sz w:val="20"/>
          <w:szCs w:val="20"/>
          <w:lang w:val="ru-RU"/>
        </w:rPr>
        <w:t xml:space="preserve"> </w:t>
      </w:r>
      <w:r w:rsidRPr="00FD6B73">
        <w:rPr>
          <w:rFonts w:cs="Times New Roman"/>
          <w:color w:val="000000"/>
          <w:sz w:val="20"/>
          <w:szCs w:val="20"/>
          <w:lang w:val="ru-RU"/>
        </w:rPr>
        <w:t>г</w:t>
      </w:r>
      <w:r w:rsidR="002B5935">
        <w:rPr>
          <w:rFonts w:cs="Times New Roman"/>
          <w:color w:val="000000"/>
          <w:sz w:val="20"/>
          <w:szCs w:val="20"/>
          <w:lang w:val="ru-RU"/>
        </w:rPr>
        <w:t>одине</w:t>
      </w:r>
    </w:p>
    <w:tbl>
      <w:tblPr>
        <w:tblW w:w="5000" w:type="pct"/>
        <w:jc w:val="center"/>
        <w:tblCellMar>
          <w:top w:w="15" w:type="dxa"/>
          <w:left w:w="15" w:type="dxa"/>
          <w:bottom w:w="15" w:type="dxa"/>
          <w:right w:w="15" w:type="dxa"/>
        </w:tblCellMar>
        <w:tblLook w:val="04A0" w:firstRow="1" w:lastRow="0" w:firstColumn="1" w:lastColumn="0" w:noHBand="0" w:noVBand="1"/>
      </w:tblPr>
      <w:tblGrid>
        <w:gridCol w:w="1937"/>
        <w:gridCol w:w="2119"/>
        <w:gridCol w:w="2199"/>
        <w:gridCol w:w="3095"/>
      </w:tblGrid>
      <w:tr w:rsidR="00AF1189" w:rsidRPr="00CD46D4" w14:paraId="29DD1AE6"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B4BE926"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Година</w:t>
            </w:r>
          </w:p>
        </w:tc>
        <w:tc>
          <w:tcPr>
            <w:tcW w:w="113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0A3C3811" w14:textId="77777777" w:rsidR="00AF1189" w:rsidRPr="00CD46D4" w:rsidRDefault="00AF1189" w:rsidP="00F10AC7">
            <w:pPr>
              <w:spacing w:after="120" w:line="240" w:lineRule="auto"/>
              <w:jc w:val="center"/>
              <w:rPr>
                <w:rFonts w:cs="Times New Roman"/>
              </w:rPr>
            </w:pPr>
            <w:r w:rsidRPr="00CD46D4">
              <w:rPr>
                <w:rFonts w:cs="Times New Roman"/>
                <w:b/>
                <w:bCs/>
                <w:color w:val="000000"/>
              </w:rPr>
              <w:t>Затражено</w:t>
            </w:r>
          </w:p>
        </w:tc>
        <w:tc>
          <w:tcPr>
            <w:tcW w:w="117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433F8ECF" w14:textId="77777777" w:rsidR="00AF1189" w:rsidRPr="00CD46D4" w:rsidRDefault="00AF1189" w:rsidP="00F10AC7">
            <w:pPr>
              <w:spacing w:after="120" w:line="240" w:lineRule="auto"/>
              <w:jc w:val="center"/>
              <w:rPr>
                <w:rFonts w:cs="Times New Roman"/>
              </w:rPr>
            </w:pPr>
            <w:r w:rsidRPr="00CD46D4">
              <w:rPr>
                <w:rFonts w:cs="Times New Roman"/>
                <w:b/>
                <w:bCs/>
                <w:color w:val="000000"/>
              </w:rPr>
              <w:t>Удовољено</w:t>
            </w:r>
          </w:p>
        </w:tc>
        <w:tc>
          <w:tcPr>
            <w:tcW w:w="165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78568299" w14:textId="77777777" w:rsidR="00AF1189" w:rsidRPr="00CD46D4" w:rsidRDefault="00AF1189" w:rsidP="00F10AC7">
            <w:pPr>
              <w:spacing w:after="120" w:line="240" w:lineRule="auto"/>
              <w:jc w:val="center"/>
              <w:rPr>
                <w:rFonts w:cs="Times New Roman"/>
              </w:rPr>
            </w:pPr>
            <w:r w:rsidRPr="00CD46D4">
              <w:rPr>
                <w:rFonts w:cs="Times New Roman"/>
                <w:b/>
                <w:bCs/>
                <w:color w:val="000000"/>
              </w:rPr>
              <w:t>Није одговорено</w:t>
            </w:r>
          </w:p>
        </w:tc>
      </w:tr>
      <w:tr w:rsidR="00AF1189" w:rsidRPr="00CD46D4" w14:paraId="7DDE296A"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225DB203" w14:textId="740F0D85" w:rsidR="00AF1189" w:rsidRPr="00CD46D4" w:rsidRDefault="00FA5C44" w:rsidP="00F10AC7">
            <w:pPr>
              <w:spacing w:after="120" w:line="240" w:lineRule="auto"/>
              <w:jc w:val="center"/>
              <w:rPr>
                <w:rFonts w:cs="Times New Roman"/>
                <w:color w:val="000000"/>
              </w:rPr>
            </w:pPr>
            <w:r>
              <w:rPr>
                <w:rFonts w:cs="Times New Roman"/>
                <w:color w:val="000000"/>
              </w:rPr>
              <w:t>2016</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82E95D" w14:textId="77777777" w:rsidR="00AF1189" w:rsidRPr="00CD46D4" w:rsidRDefault="00AF1189" w:rsidP="00F10AC7">
            <w:pPr>
              <w:spacing w:after="120" w:line="240" w:lineRule="auto"/>
              <w:jc w:val="center"/>
              <w:rPr>
                <w:rFonts w:cs="Times New Roman"/>
              </w:rPr>
            </w:pPr>
            <w:r w:rsidRPr="00CD46D4">
              <w:rPr>
                <w:rFonts w:cs="Times New Roman"/>
                <w:color w:val="000000"/>
              </w:rPr>
              <w:t>27</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3F918A" w14:textId="77777777" w:rsidR="00AF1189" w:rsidRPr="00CD46D4" w:rsidRDefault="00AF1189" w:rsidP="00F10AC7">
            <w:pPr>
              <w:spacing w:after="120" w:line="240" w:lineRule="auto"/>
              <w:jc w:val="center"/>
              <w:rPr>
                <w:rFonts w:cs="Times New Roman"/>
              </w:rPr>
            </w:pPr>
            <w:r w:rsidRPr="00CD46D4">
              <w:rPr>
                <w:rFonts w:cs="Times New Roman"/>
                <w:color w:val="000000"/>
              </w:rPr>
              <w:t>12</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BF459C" w14:textId="77777777" w:rsidR="00AF1189" w:rsidRPr="00CD46D4" w:rsidRDefault="00AF1189" w:rsidP="00F10AC7">
            <w:pPr>
              <w:spacing w:after="120" w:line="240" w:lineRule="auto"/>
              <w:jc w:val="center"/>
              <w:rPr>
                <w:rFonts w:cs="Times New Roman"/>
              </w:rPr>
            </w:pPr>
            <w:r w:rsidRPr="00CD46D4">
              <w:rPr>
                <w:rFonts w:cs="Times New Roman"/>
                <w:color w:val="000000"/>
              </w:rPr>
              <w:t>15</w:t>
            </w:r>
          </w:p>
        </w:tc>
      </w:tr>
      <w:tr w:rsidR="00AF1189" w:rsidRPr="00CD46D4" w14:paraId="0F317722"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4EE7CD1B" w14:textId="3CC043DC" w:rsidR="00AF1189" w:rsidRPr="00CD46D4" w:rsidRDefault="00FA5C44" w:rsidP="00F10AC7">
            <w:pPr>
              <w:spacing w:after="120" w:line="240" w:lineRule="auto"/>
              <w:jc w:val="center"/>
              <w:rPr>
                <w:rFonts w:cs="Times New Roman"/>
                <w:color w:val="000000"/>
              </w:rPr>
            </w:pPr>
            <w:r>
              <w:rPr>
                <w:rFonts w:cs="Times New Roman"/>
                <w:color w:val="000000"/>
              </w:rPr>
              <w:t>2017</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4598E"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18</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DC60C4"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7</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794AA4"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11</w:t>
            </w:r>
          </w:p>
        </w:tc>
      </w:tr>
      <w:tr w:rsidR="00AF1189" w:rsidRPr="00CD46D4" w14:paraId="34666AD9"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77B40912" w14:textId="6337110C" w:rsidR="00AF1189" w:rsidRPr="00CD46D4" w:rsidRDefault="00FA5C44" w:rsidP="00F10AC7">
            <w:pPr>
              <w:spacing w:after="120" w:line="240" w:lineRule="auto"/>
              <w:jc w:val="center"/>
              <w:rPr>
                <w:rFonts w:cs="Times New Roman"/>
                <w:color w:val="000000"/>
              </w:rPr>
            </w:pPr>
            <w:r>
              <w:rPr>
                <w:rFonts w:cs="Times New Roman"/>
                <w:color w:val="000000"/>
              </w:rPr>
              <w:t>2018</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D00CF"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26</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A4D60C"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12</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463D3"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14</w:t>
            </w:r>
          </w:p>
        </w:tc>
      </w:tr>
      <w:tr w:rsidR="00AF1189" w:rsidRPr="00CD46D4" w14:paraId="56F18074"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581DCE76" w14:textId="40BA704C" w:rsidR="00AF1189" w:rsidRPr="00CD46D4" w:rsidRDefault="00FA5C44" w:rsidP="00F10AC7">
            <w:pPr>
              <w:spacing w:after="120" w:line="240" w:lineRule="auto"/>
              <w:jc w:val="center"/>
              <w:rPr>
                <w:rFonts w:cs="Times New Roman"/>
                <w:color w:val="000000"/>
              </w:rPr>
            </w:pPr>
            <w:r>
              <w:rPr>
                <w:rFonts w:cs="Times New Roman"/>
                <w:color w:val="000000"/>
              </w:rPr>
              <w:t>2019</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867796"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27</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A66C7D"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11</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9CDDB1"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16</w:t>
            </w:r>
          </w:p>
        </w:tc>
      </w:tr>
      <w:tr w:rsidR="00AF1189" w:rsidRPr="00CD46D4" w14:paraId="51605663"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09D9C1FB" w14:textId="0E165192" w:rsidR="00AF1189" w:rsidRPr="00CD46D4" w:rsidRDefault="00FA5C44" w:rsidP="00F10AC7">
            <w:pPr>
              <w:spacing w:after="120" w:line="240" w:lineRule="auto"/>
              <w:jc w:val="center"/>
              <w:rPr>
                <w:rFonts w:cs="Times New Roman"/>
                <w:color w:val="000000"/>
              </w:rPr>
            </w:pPr>
            <w:r>
              <w:rPr>
                <w:rFonts w:cs="Times New Roman"/>
                <w:color w:val="000000"/>
              </w:rPr>
              <w:t>2020</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F36A84"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101</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4A037F"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15</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50C2A"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86</w:t>
            </w:r>
          </w:p>
        </w:tc>
      </w:tr>
      <w:tr w:rsidR="00AF1189" w:rsidRPr="00CD46D4" w14:paraId="6515465E" w14:textId="77777777" w:rsidTr="00AF1189">
        <w:trPr>
          <w:jc w:val="center"/>
        </w:trPr>
        <w:tc>
          <w:tcPr>
            <w:tcW w:w="1036" w:type="pct"/>
            <w:tcBorders>
              <w:top w:val="single" w:sz="4" w:space="0" w:color="000000"/>
              <w:left w:val="single" w:sz="4" w:space="0" w:color="000000"/>
              <w:bottom w:val="single" w:sz="4" w:space="0" w:color="000000"/>
              <w:right w:val="single" w:sz="4" w:space="0" w:color="000000"/>
            </w:tcBorders>
          </w:tcPr>
          <w:p w14:paraId="77DEF777" w14:textId="77777777" w:rsidR="00AF1189" w:rsidRPr="00CD46D4" w:rsidRDefault="00AF1189" w:rsidP="00F10AC7">
            <w:pPr>
              <w:spacing w:after="120" w:line="240" w:lineRule="auto"/>
              <w:jc w:val="center"/>
              <w:rPr>
                <w:rFonts w:cs="Times New Roman"/>
                <w:color w:val="000000"/>
              </w:rPr>
            </w:pPr>
            <w:r w:rsidRPr="00CD46D4">
              <w:rPr>
                <w:rFonts w:cs="Times New Roman"/>
                <w:b/>
                <w:bCs/>
                <w:color w:val="000000"/>
              </w:rPr>
              <w:t>Укупно</w:t>
            </w:r>
          </w:p>
        </w:tc>
        <w:tc>
          <w:tcPr>
            <w:tcW w:w="11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C898D3"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199</w:t>
            </w:r>
          </w:p>
        </w:tc>
        <w:tc>
          <w:tcPr>
            <w:tcW w:w="117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9BB597"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57</w:t>
            </w:r>
          </w:p>
        </w:tc>
        <w:tc>
          <w:tcPr>
            <w:tcW w:w="16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21AA7"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142</w:t>
            </w:r>
          </w:p>
        </w:tc>
      </w:tr>
    </w:tbl>
    <w:p w14:paraId="7C396BD9" w14:textId="77777777" w:rsidR="00AF1189" w:rsidRPr="00CD46D4" w:rsidRDefault="00AF1189" w:rsidP="00F10AC7">
      <w:pPr>
        <w:spacing w:after="120" w:line="240" w:lineRule="auto"/>
        <w:rPr>
          <w:rFonts w:cs="Times New Roman"/>
        </w:rPr>
      </w:pPr>
    </w:p>
    <w:p w14:paraId="41EB4CA8" w14:textId="77777777" w:rsidR="006074A4" w:rsidRDefault="006074A4" w:rsidP="00F10AC7">
      <w:pPr>
        <w:spacing w:after="120" w:line="240" w:lineRule="auto"/>
        <w:jc w:val="center"/>
        <w:rPr>
          <w:rFonts w:cs="Times New Roman"/>
          <w:sz w:val="20"/>
          <w:szCs w:val="20"/>
        </w:rPr>
      </w:pPr>
    </w:p>
    <w:p w14:paraId="7AE8A75D" w14:textId="77777777" w:rsidR="006074A4" w:rsidRDefault="006074A4" w:rsidP="00F10AC7">
      <w:pPr>
        <w:spacing w:after="120" w:line="240" w:lineRule="auto"/>
        <w:jc w:val="center"/>
        <w:rPr>
          <w:rFonts w:cs="Times New Roman"/>
          <w:sz w:val="20"/>
          <w:szCs w:val="20"/>
        </w:rPr>
      </w:pPr>
    </w:p>
    <w:p w14:paraId="4A698EEC" w14:textId="57F44C6B" w:rsidR="00AF1189" w:rsidRPr="00FD6B73" w:rsidRDefault="00AF1189" w:rsidP="00F10AC7">
      <w:pPr>
        <w:spacing w:after="120" w:line="240" w:lineRule="auto"/>
        <w:jc w:val="center"/>
        <w:rPr>
          <w:rFonts w:cs="Times New Roman"/>
          <w:sz w:val="20"/>
          <w:szCs w:val="20"/>
          <w:lang w:val="ru-RU"/>
        </w:rPr>
      </w:pPr>
      <w:r w:rsidRPr="00FD6B73">
        <w:rPr>
          <w:rFonts w:cs="Times New Roman"/>
          <w:sz w:val="20"/>
          <w:szCs w:val="20"/>
          <w:lang w:val="ru-RU"/>
        </w:rPr>
        <w:lastRenderedPageBreak/>
        <w:t xml:space="preserve">График 11: Структура одлука </w:t>
      </w:r>
      <w:r w:rsidRPr="00FD6B73">
        <w:rPr>
          <w:rFonts w:cs="Times New Roman"/>
          <w:color w:val="000000"/>
          <w:sz w:val="20"/>
          <w:szCs w:val="20"/>
          <w:lang w:val="ru-RU"/>
        </w:rPr>
        <w:t>о затраженој правној помоћи</w:t>
      </w:r>
      <w:r w:rsidRPr="00CD46D4">
        <w:rPr>
          <w:rFonts w:cs="Times New Roman"/>
          <w:color w:val="000000"/>
          <w:sz w:val="20"/>
          <w:szCs w:val="20"/>
        </w:rPr>
        <w:t> </w:t>
      </w:r>
      <w:r w:rsidR="00FA5C44">
        <w:rPr>
          <w:rFonts w:cs="Times New Roman"/>
          <w:color w:val="000000"/>
          <w:sz w:val="20"/>
          <w:szCs w:val="20"/>
          <w:lang w:val="ru-RU"/>
        </w:rPr>
        <w:t xml:space="preserve">ТРЗ </w:t>
      </w:r>
      <w:r w:rsidRPr="00CD46D4">
        <w:rPr>
          <w:rFonts w:cs="Times New Roman"/>
          <w:color w:val="000000"/>
          <w:sz w:val="20"/>
          <w:szCs w:val="20"/>
        </w:rPr>
        <w:t> </w:t>
      </w:r>
      <w:r w:rsidRPr="00FD6B73">
        <w:rPr>
          <w:rFonts w:cs="Times New Roman"/>
          <w:color w:val="000000"/>
          <w:sz w:val="20"/>
          <w:szCs w:val="20"/>
          <w:lang w:val="ru-RU"/>
        </w:rPr>
        <w:t>Државном одвјетништву Р</w:t>
      </w:r>
      <w:r w:rsidR="00FA5C44">
        <w:rPr>
          <w:rFonts w:cs="Times New Roman"/>
          <w:color w:val="000000"/>
          <w:sz w:val="20"/>
          <w:szCs w:val="20"/>
          <w:lang w:val="ru-RU"/>
        </w:rPr>
        <w:t>епублике</w:t>
      </w:r>
      <w:r w:rsidRPr="00FD6B73">
        <w:rPr>
          <w:rFonts w:cs="Times New Roman"/>
          <w:color w:val="000000"/>
          <w:sz w:val="20"/>
          <w:szCs w:val="20"/>
          <w:lang w:val="ru-RU"/>
        </w:rPr>
        <w:t xml:space="preserve"> Хрватске</w:t>
      </w:r>
      <w:r w:rsidR="002B5935">
        <w:rPr>
          <w:rFonts w:cs="Times New Roman"/>
          <w:color w:val="000000"/>
          <w:sz w:val="20"/>
          <w:szCs w:val="20"/>
          <w:lang w:val="ru-RU"/>
        </w:rPr>
        <w:t xml:space="preserve"> </w:t>
      </w:r>
      <w:r w:rsidRPr="00FD6B73">
        <w:rPr>
          <w:rFonts w:cs="Times New Roman"/>
          <w:color w:val="000000"/>
          <w:sz w:val="20"/>
          <w:szCs w:val="20"/>
          <w:lang w:val="ru-RU"/>
        </w:rPr>
        <w:t>за период од 01.01.2016. до 31.12.2020. године</w:t>
      </w:r>
    </w:p>
    <w:p w14:paraId="4E9CE28E" w14:textId="77777777" w:rsidR="00AF1189" w:rsidRPr="00CD46D4" w:rsidRDefault="00AF1189" w:rsidP="00F10AC7">
      <w:pPr>
        <w:spacing w:after="120" w:line="240" w:lineRule="auto"/>
        <w:jc w:val="center"/>
        <w:rPr>
          <w:rFonts w:cs="Times New Roman"/>
        </w:rPr>
      </w:pPr>
      <w:r w:rsidRPr="008F3371">
        <w:rPr>
          <w:noProof/>
        </w:rPr>
        <w:drawing>
          <wp:inline distT="0" distB="0" distL="0" distR="0" wp14:anchorId="14E4B34C" wp14:editId="24BF3038">
            <wp:extent cx="5486400" cy="320040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3AC2DDC" w14:textId="7300DA66" w:rsidR="00AF1189" w:rsidRPr="00FD6B73" w:rsidRDefault="00AF1189" w:rsidP="00F10AC7">
      <w:pPr>
        <w:spacing w:after="120" w:line="240" w:lineRule="auto"/>
        <w:rPr>
          <w:rFonts w:cs="Times New Roman"/>
          <w:color w:val="000000"/>
          <w:lang w:val="ru-RU"/>
        </w:rPr>
      </w:pPr>
      <w:r w:rsidRPr="00FD6B73">
        <w:rPr>
          <w:rFonts w:cs="Times New Roman"/>
          <w:color w:val="000000"/>
          <w:lang w:val="ru-RU"/>
        </w:rPr>
        <w:t xml:space="preserve">Поред наведеног, ТРЗ је у посматраном периоду удовољило и по једном захтеву надлежног тужилаштва Немачке (2016) и по два </w:t>
      </w:r>
      <w:r w:rsidR="00FA5C44">
        <w:rPr>
          <w:rFonts w:cs="Times New Roman"/>
          <w:color w:val="000000"/>
          <w:lang w:val="ru-RU"/>
        </w:rPr>
        <w:t>з</w:t>
      </w:r>
      <w:r w:rsidRPr="00FD6B73">
        <w:rPr>
          <w:rFonts w:cs="Times New Roman"/>
          <w:color w:val="000000"/>
          <w:lang w:val="ru-RU"/>
        </w:rPr>
        <w:t>ахтева САД  (2016), Канаде (2017), Словеније (2016 и 2018) и Црне Горе (2017), а није удовољило једном захтеву Специјалног државног тужилаштва Црне Горе (2016).</w:t>
      </w:r>
    </w:p>
    <w:p w14:paraId="2F684DAE" w14:textId="77777777" w:rsidR="00AF1189" w:rsidRPr="00FD6B73" w:rsidRDefault="00AF1189" w:rsidP="00F10AC7">
      <w:pPr>
        <w:spacing w:after="120" w:line="240" w:lineRule="auto"/>
        <w:rPr>
          <w:rFonts w:cs="Times New Roman"/>
          <w:color w:val="000000"/>
          <w:lang w:val="ru-RU"/>
        </w:rPr>
      </w:pPr>
      <w:r w:rsidRPr="00FD6B73">
        <w:rPr>
          <w:rFonts w:cs="Times New Roman"/>
          <w:color w:val="000000"/>
          <w:lang w:val="ru-RU"/>
        </w:rPr>
        <w:t xml:space="preserve">Истовремено удовољено је захтеву ТРЗ за правну помоћ Мађарске (2017), Италије (2017), Црне Горе (2020) и Немачке (2020), </w:t>
      </w:r>
      <w:r w:rsidRPr="00FD6B73">
        <w:rPr>
          <w:rFonts w:cs="Times New Roman"/>
          <w:bCs/>
          <w:lang w:val="ru-RU"/>
        </w:rPr>
        <w:t>док надлежно тужилаштво Словеније није одговорило на  захтев ТРЗ (2018)</w:t>
      </w:r>
      <w:r w:rsidRPr="00FD6B73">
        <w:rPr>
          <w:rFonts w:cs="Times New Roman"/>
          <w:bCs/>
          <w:color w:val="000000"/>
          <w:lang w:val="ru-RU"/>
        </w:rPr>
        <w:t>.</w:t>
      </w:r>
    </w:p>
    <w:p w14:paraId="4F78D052" w14:textId="652EB7A8" w:rsidR="00AF1189" w:rsidRPr="00FD6B73" w:rsidRDefault="00AF1189" w:rsidP="00F10AC7">
      <w:pPr>
        <w:spacing w:after="120" w:line="240" w:lineRule="auto"/>
        <w:rPr>
          <w:rFonts w:cs="Times New Roman"/>
          <w:lang w:val="ru-RU"/>
        </w:rPr>
      </w:pPr>
      <w:r w:rsidRPr="00FD6B73">
        <w:rPr>
          <w:rFonts w:cs="Times New Roman"/>
          <w:lang w:val="ru-RU"/>
        </w:rPr>
        <w:t>У Табели 12 приказани су подаци о пруженој правној помоћи Специјалном тужилаштву ЕУЛЕКС-а у Приштини (само један захтев у 2018. години)</w:t>
      </w:r>
      <w:r w:rsidR="00FA5C44">
        <w:rPr>
          <w:rFonts w:cs="Times New Roman"/>
          <w:lang w:val="ru-RU"/>
        </w:rPr>
        <w:t>.</w:t>
      </w:r>
    </w:p>
    <w:p w14:paraId="68DCB7E6" w14:textId="39D38DFC" w:rsidR="00AF1189" w:rsidRPr="00FD6B73" w:rsidRDefault="00AF1189" w:rsidP="00AD36AA">
      <w:pPr>
        <w:spacing w:after="120" w:line="240" w:lineRule="auto"/>
        <w:jc w:val="center"/>
        <w:rPr>
          <w:rFonts w:cs="Times New Roman"/>
          <w:sz w:val="20"/>
          <w:szCs w:val="20"/>
          <w:lang w:val="ru-RU"/>
        </w:rPr>
      </w:pPr>
      <w:r w:rsidRPr="00FD6B73">
        <w:rPr>
          <w:rFonts w:cs="Times New Roman"/>
          <w:color w:val="000000"/>
          <w:sz w:val="20"/>
          <w:szCs w:val="20"/>
          <w:lang w:val="ru-RU"/>
        </w:rPr>
        <w:t>Табела 12: Подаци о пруженој правној помоћи</w:t>
      </w:r>
      <w:r w:rsidRPr="00CD46D4">
        <w:rPr>
          <w:rFonts w:cs="Times New Roman"/>
          <w:color w:val="000000"/>
          <w:sz w:val="20"/>
          <w:szCs w:val="20"/>
        </w:rPr>
        <w:t> </w:t>
      </w:r>
      <w:r w:rsidRPr="00FD6B73">
        <w:rPr>
          <w:rFonts w:cs="Times New Roman"/>
          <w:color w:val="000000"/>
          <w:sz w:val="20"/>
          <w:szCs w:val="20"/>
          <w:lang w:val="ru-RU"/>
        </w:rPr>
        <w:t>ТРЗ</w:t>
      </w:r>
      <w:r w:rsidRPr="00CD46D4">
        <w:rPr>
          <w:rFonts w:cs="Times New Roman"/>
          <w:color w:val="000000"/>
          <w:sz w:val="20"/>
          <w:szCs w:val="20"/>
        </w:rPr>
        <w:t> </w:t>
      </w:r>
      <w:r w:rsidRPr="00FD6B73">
        <w:rPr>
          <w:rFonts w:cs="Times New Roman"/>
          <w:color w:val="000000"/>
          <w:sz w:val="20"/>
          <w:szCs w:val="20"/>
          <w:lang w:val="ru-RU"/>
        </w:rPr>
        <w:t>на захтев Специјалног тужилаштва ЕУЛЕКС-а у Приштини</w:t>
      </w:r>
      <w:r w:rsidR="002B5935">
        <w:rPr>
          <w:rFonts w:cs="Times New Roman"/>
          <w:color w:val="000000"/>
          <w:sz w:val="20"/>
          <w:szCs w:val="20"/>
          <w:lang w:val="ru-RU"/>
        </w:rPr>
        <w:t xml:space="preserve"> </w:t>
      </w:r>
      <w:r w:rsidR="00FA5C44">
        <w:rPr>
          <w:rFonts w:cs="Times New Roman"/>
          <w:color w:val="000000"/>
          <w:sz w:val="20"/>
          <w:szCs w:val="20"/>
          <w:lang w:val="ru-RU"/>
        </w:rPr>
        <w:t>(н</w:t>
      </w:r>
      <w:r w:rsidRPr="00FD6B73">
        <w:rPr>
          <w:rFonts w:cs="Times New Roman"/>
          <w:color w:val="000000"/>
          <w:sz w:val="20"/>
          <w:szCs w:val="20"/>
          <w:lang w:val="ru-RU"/>
        </w:rPr>
        <w:t>а основу Процедуре узајамне правне помоћи)</w:t>
      </w:r>
      <w:r w:rsidR="002B5935">
        <w:rPr>
          <w:rFonts w:cs="Times New Roman"/>
          <w:color w:val="000000"/>
          <w:sz w:val="20"/>
          <w:szCs w:val="20"/>
          <w:lang w:val="ru-RU"/>
        </w:rPr>
        <w:t xml:space="preserve"> </w:t>
      </w:r>
      <w:r w:rsidRPr="00FD6B73">
        <w:rPr>
          <w:rFonts w:cs="Times New Roman"/>
          <w:color w:val="000000"/>
          <w:sz w:val="20"/>
          <w:szCs w:val="20"/>
          <w:lang w:val="ru-RU"/>
        </w:rPr>
        <w:t>за период од 01.01.2016. до 31.12.2020.</w:t>
      </w:r>
      <w:r w:rsidR="002B5935">
        <w:rPr>
          <w:rFonts w:cs="Times New Roman"/>
          <w:color w:val="000000"/>
          <w:sz w:val="20"/>
          <w:szCs w:val="20"/>
          <w:lang w:val="ru-RU"/>
        </w:rPr>
        <w:t xml:space="preserve"> </w:t>
      </w:r>
      <w:r w:rsidRPr="00FD6B73">
        <w:rPr>
          <w:rFonts w:cs="Times New Roman"/>
          <w:color w:val="000000"/>
          <w:sz w:val="20"/>
          <w:szCs w:val="20"/>
          <w:lang w:val="ru-RU"/>
        </w:rPr>
        <w:t>г</w:t>
      </w:r>
      <w:r w:rsidR="002B5935">
        <w:rPr>
          <w:rFonts w:cs="Times New Roman"/>
          <w:color w:val="000000"/>
          <w:sz w:val="20"/>
          <w:szCs w:val="20"/>
          <w:lang w:val="ru-RU"/>
        </w:rPr>
        <w:t>одине</w:t>
      </w:r>
    </w:p>
    <w:tbl>
      <w:tblPr>
        <w:tblW w:w="5000" w:type="pct"/>
        <w:jc w:val="center"/>
        <w:tblCellMar>
          <w:top w:w="15" w:type="dxa"/>
          <w:left w:w="15" w:type="dxa"/>
          <w:bottom w:w="15" w:type="dxa"/>
          <w:right w:w="15" w:type="dxa"/>
        </w:tblCellMar>
        <w:tblLook w:val="04A0" w:firstRow="1" w:lastRow="0" w:firstColumn="1" w:lastColumn="0" w:noHBand="0" w:noVBand="1"/>
      </w:tblPr>
      <w:tblGrid>
        <w:gridCol w:w="1467"/>
        <w:gridCol w:w="1605"/>
        <w:gridCol w:w="1665"/>
        <w:gridCol w:w="2341"/>
        <w:gridCol w:w="2272"/>
      </w:tblGrid>
      <w:tr w:rsidR="00AF1189" w:rsidRPr="00CD46D4" w14:paraId="482FCC2D" w14:textId="77777777" w:rsidTr="00AF1189">
        <w:trPr>
          <w:jc w:val="center"/>
        </w:trPr>
        <w:tc>
          <w:tcPr>
            <w:tcW w:w="78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687D1C9"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Година</w:t>
            </w:r>
          </w:p>
        </w:tc>
        <w:tc>
          <w:tcPr>
            <w:tcW w:w="858"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5388070D" w14:textId="77777777" w:rsidR="00AF1189" w:rsidRPr="00CD46D4" w:rsidRDefault="00AF1189" w:rsidP="00F10AC7">
            <w:pPr>
              <w:spacing w:after="120" w:line="240" w:lineRule="auto"/>
              <w:jc w:val="center"/>
              <w:rPr>
                <w:rFonts w:cs="Times New Roman"/>
              </w:rPr>
            </w:pPr>
            <w:r w:rsidRPr="00CD46D4">
              <w:rPr>
                <w:rFonts w:cs="Times New Roman"/>
                <w:b/>
                <w:bCs/>
                <w:color w:val="000000"/>
              </w:rPr>
              <w:t>Затражено</w:t>
            </w:r>
          </w:p>
        </w:tc>
        <w:tc>
          <w:tcPr>
            <w:tcW w:w="89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24836174" w14:textId="77777777" w:rsidR="00AF1189" w:rsidRPr="00CD46D4" w:rsidRDefault="00AF1189" w:rsidP="00F10AC7">
            <w:pPr>
              <w:spacing w:after="120" w:line="240" w:lineRule="auto"/>
              <w:jc w:val="center"/>
              <w:rPr>
                <w:rFonts w:cs="Times New Roman"/>
              </w:rPr>
            </w:pPr>
            <w:r w:rsidRPr="00CD46D4">
              <w:rPr>
                <w:rFonts w:cs="Times New Roman"/>
                <w:b/>
                <w:bCs/>
                <w:color w:val="000000"/>
              </w:rPr>
              <w:t>Удовољено</w:t>
            </w:r>
          </w:p>
        </w:tc>
        <w:tc>
          <w:tcPr>
            <w:tcW w:w="1252"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5F3E6FE9" w14:textId="77777777" w:rsidR="00AF1189" w:rsidRPr="00CD46D4" w:rsidRDefault="00AF1189" w:rsidP="00F10AC7">
            <w:pPr>
              <w:spacing w:after="120" w:line="240" w:lineRule="auto"/>
              <w:jc w:val="center"/>
              <w:rPr>
                <w:rFonts w:cs="Times New Roman"/>
              </w:rPr>
            </w:pPr>
            <w:r w:rsidRPr="00CD46D4">
              <w:rPr>
                <w:rFonts w:cs="Times New Roman"/>
                <w:b/>
                <w:bCs/>
                <w:color w:val="000000"/>
              </w:rPr>
              <w:t>Предмети у раду</w:t>
            </w:r>
          </w:p>
        </w:tc>
        <w:tc>
          <w:tcPr>
            <w:tcW w:w="121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79583680" w14:textId="77777777" w:rsidR="00AF1189" w:rsidRPr="00CD46D4" w:rsidRDefault="00AF1189" w:rsidP="00F10AC7">
            <w:pPr>
              <w:spacing w:after="120" w:line="240" w:lineRule="auto"/>
              <w:jc w:val="center"/>
              <w:rPr>
                <w:rFonts w:cs="Times New Roman"/>
              </w:rPr>
            </w:pPr>
            <w:r w:rsidRPr="00CD46D4">
              <w:rPr>
                <w:rFonts w:cs="Times New Roman"/>
                <w:b/>
                <w:bCs/>
                <w:color w:val="000000"/>
              </w:rPr>
              <w:t>Није удовољено</w:t>
            </w:r>
          </w:p>
        </w:tc>
      </w:tr>
      <w:tr w:rsidR="00AF1189" w:rsidRPr="00CD46D4" w14:paraId="015BA53A" w14:textId="77777777" w:rsidTr="00AF1189">
        <w:trPr>
          <w:jc w:val="center"/>
        </w:trPr>
        <w:tc>
          <w:tcPr>
            <w:tcW w:w="784" w:type="pct"/>
            <w:tcBorders>
              <w:top w:val="single" w:sz="4" w:space="0" w:color="000000"/>
              <w:left w:val="single" w:sz="4" w:space="0" w:color="000000"/>
              <w:bottom w:val="single" w:sz="4" w:space="0" w:color="000000"/>
              <w:right w:val="single" w:sz="4" w:space="0" w:color="000000"/>
            </w:tcBorders>
          </w:tcPr>
          <w:p w14:paraId="6CB8C7F7" w14:textId="6289842A" w:rsidR="00AF1189" w:rsidRPr="00CD46D4" w:rsidRDefault="00FA5C44" w:rsidP="00F10AC7">
            <w:pPr>
              <w:spacing w:after="120" w:line="240" w:lineRule="auto"/>
              <w:jc w:val="center"/>
              <w:rPr>
                <w:rFonts w:cs="Times New Roman"/>
                <w:color w:val="000000"/>
              </w:rPr>
            </w:pPr>
            <w:r>
              <w:rPr>
                <w:rFonts w:cs="Times New Roman"/>
                <w:color w:val="000000"/>
              </w:rPr>
              <w:t>2016</w:t>
            </w:r>
          </w:p>
        </w:tc>
        <w:tc>
          <w:tcPr>
            <w:tcW w:w="8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DC44F9" w14:textId="77777777" w:rsidR="00AF1189" w:rsidRPr="00CD46D4" w:rsidRDefault="00AF1189" w:rsidP="00F10AC7">
            <w:pPr>
              <w:spacing w:after="120" w:line="240" w:lineRule="auto"/>
              <w:jc w:val="center"/>
              <w:rPr>
                <w:rFonts w:cs="Times New Roman"/>
              </w:rPr>
            </w:pPr>
            <w:r w:rsidRPr="00CD46D4">
              <w:rPr>
                <w:rFonts w:cs="Times New Roman"/>
              </w:rPr>
              <w:t>0</w:t>
            </w:r>
          </w:p>
        </w:tc>
        <w:tc>
          <w:tcPr>
            <w:tcW w:w="89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4EA9D9" w14:textId="77777777" w:rsidR="00AF1189" w:rsidRPr="00CD46D4" w:rsidRDefault="00AF1189" w:rsidP="00F10AC7">
            <w:pPr>
              <w:spacing w:after="120" w:line="240" w:lineRule="auto"/>
              <w:jc w:val="center"/>
              <w:rPr>
                <w:rFonts w:cs="Times New Roman"/>
              </w:rPr>
            </w:pPr>
            <w:r w:rsidRPr="00CD46D4">
              <w:rPr>
                <w:rFonts w:cs="Times New Roman"/>
              </w:rPr>
              <w:t>0</w:t>
            </w:r>
          </w:p>
        </w:tc>
        <w:tc>
          <w:tcPr>
            <w:tcW w:w="125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D6B5CF" w14:textId="77777777" w:rsidR="00AF1189" w:rsidRPr="00CD46D4" w:rsidRDefault="00AF1189" w:rsidP="00F10AC7">
            <w:pPr>
              <w:spacing w:after="120" w:line="240" w:lineRule="auto"/>
              <w:jc w:val="center"/>
              <w:rPr>
                <w:rFonts w:cs="Times New Roman"/>
              </w:rPr>
            </w:pPr>
            <w:r w:rsidRPr="00CD46D4">
              <w:rPr>
                <w:rFonts w:cs="Times New Roman"/>
              </w:rPr>
              <w:t>0</w:t>
            </w:r>
          </w:p>
        </w:tc>
        <w:tc>
          <w:tcPr>
            <w:tcW w:w="12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09A716" w14:textId="77777777" w:rsidR="00AF1189" w:rsidRPr="00CD46D4" w:rsidRDefault="00AF1189" w:rsidP="00F10AC7">
            <w:pPr>
              <w:spacing w:after="120" w:line="240" w:lineRule="auto"/>
              <w:jc w:val="center"/>
              <w:rPr>
                <w:rFonts w:cs="Times New Roman"/>
              </w:rPr>
            </w:pPr>
            <w:r w:rsidRPr="00CD46D4">
              <w:rPr>
                <w:rFonts w:cs="Times New Roman"/>
              </w:rPr>
              <w:t>0</w:t>
            </w:r>
          </w:p>
        </w:tc>
      </w:tr>
      <w:tr w:rsidR="00AF1189" w:rsidRPr="00CD46D4" w14:paraId="4258EF39" w14:textId="77777777" w:rsidTr="00AF1189">
        <w:trPr>
          <w:jc w:val="center"/>
        </w:trPr>
        <w:tc>
          <w:tcPr>
            <w:tcW w:w="784" w:type="pct"/>
            <w:tcBorders>
              <w:top w:val="single" w:sz="4" w:space="0" w:color="000000"/>
              <w:left w:val="single" w:sz="4" w:space="0" w:color="000000"/>
              <w:bottom w:val="single" w:sz="4" w:space="0" w:color="000000"/>
              <w:right w:val="single" w:sz="4" w:space="0" w:color="000000"/>
            </w:tcBorders>
          </w:tcPr>
          <w:p w14:paraId="33DE5852" w14:textId="11AA2AD4" w:rsidR="00AF1189" w:rsidRPr="00CD46D4" w:rsidRDefault="00FA5C44" w:rsidP="00F10AC7">
            <w:pPr>
              <w:spacing w:after="120" w:line="240" w:lineRule="auto"/>
              <w:jc w:val="center"/>
              <w:rPr>
                <w:rFonts w:cs="Times New Roman"/>
                <w:color w:val="000000"/>
              </w:rPr>
            </w:pPr>
            <w:r>
              <w:rPr>
                <w:rFonts w:cs="Times New Roman"/>
                <w:color w:val="000000"/>
              </w:rPr>
              <w:t>2017</w:t>
            </w:r>
          </w:p>
        </w:tc>
        <w:tc>
          <w:tcPr>
            <w:tcW w:w="8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EF08BF"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89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2F6D41"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125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7F1B07"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12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C88CD"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r>
      <w:tr w:rsidR="00AF1189" w:rsidRPr="00CD46D4" w14:paraId="15756334" w14:textId="77777777" w:rsidTr="00AF1189">
        <w:trPr>
          <w:jc w:val="center"/>
        </w:trPr>
        <w:tc>
          <w:tcPr>
            <w:tcW w:w="784" w:type="pct"/>
            <w:tcBorders>
              <w:top w:val="single" w:sz="4" w:space="0" w:color="000000"/>
              <w:left w:val="single" w:sz="4" w:space="0" w:color="000000"/>
              <w:bottom w:val="single" w:sz="4" w:space="0" w:color="000000"/>
              <w:right w:val="single" w:sz="4" w:space="0" w:color="000000"/>
            </w:tcBorders>
          </w:tcPr>
          <w:p w14:paraId="68DE33DF" w14:textId="33E222DC" w:rsidR="00AF1189" w:rsidRPr="00CD46D4" w:rsidRDefault="00AF1189" w:rsidP="00F10AC7">
            <w:pPr>
              <w:spacing w:after="120" w:line="240" w:lineRule="auto"/>
              <w:jc w:val="center"/>
              <w:rPr>
                <w:rFonts w:cs="Times New Roman"/>
                <w:color w:val="000000"/>
              </w:rPr>
            </w:pPr>
            <w:r w:rsidRPr="00CD46D4">
              <w:rPr>
                <w:rFonts w:cs="Times New Roman"/>
                <w:color w:val="000000"/>
              </w:rPr>
              <w:t>2</w:t>
            </w:r>
            <w:r w:rsidR="00FA5C44">
              <w:rPr>
                <w:rFonts w:cs="Times New Roman"/>
                <w:color w:val="000000"/>
              </w:rPr>
              <w:t>018</w:t>
            </w:r>
          </w:p>
        </w:tc>
        <w:tc>
          <w:tcPr>
            <w:tcW w:w="8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78EDDF"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w:t>
            </w:r>
          </w:p>
        </w:tc>
        <w:tc>
          <w:tcPr>
            <w:tcW w:w="89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A4127"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w:t>
            </w:r>
          </w:p>
        </w:tc>
        <w:tc>
          <w:tcPr>
            <w:tcW w:w="125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25766"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12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FC2EA"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r>
      <w:tr w:rsidR="00AF1189" w:rsidRPr="00CD46D4" w14:paraId="63318DE8" w14:textId="77777777" w:rsidTr="00AF1189">
        <w:trPr>
          <w:jc w:val="center"/>
        </w:trPr>
        <w:tc>
          <w:tcPr>
            <w:tcW w:w="784" w:type="pct"/>
            <w:tcBorders>
              <w:top w:val="single" w:sz="4" w:space="0" w:color="000000"/>
              <w:left w:val="single" w:sz="4" w:space="0" w:color="000000"/>
              <w:bottom w:val="single" w:sz="4" w:space="0" w:color="000000"/>
              <w:right w:val="single" w:sz="4" w:space="0" w:color="000000"/>
            </w:tcBorders>
          </w:tcPr>
          <w:p w14:paraId="536B6D59" w14:textId="5CA27713" w:rsidR="00AF1189" w:rsidRPr="00CD46D4" w:rsidRDefault="00FA5C44" w:rsidP="00F10AC7">
            <w:pPr>
              <w:spacing w:after="120" w:line="240" w:lineRule="auto"/>
              <w:jc w:val="center"/>
              <w:rPr>
                <w:rFonts w:cs="Times New Roman"/>
                <w:color w:val="000000"/>
              </w:rPr>
            </w:pPr>
            <w:r>
              <w:rPr>
                <w:rFonts w:cs="Times New Roman"/>
                <w:color w:val="000000"/>
              </w:rPr>
              <w:t>2019</w:t>
            </w:r>
          </w:p>
        </w:tc>
        <w:tc>
          <w:tcPr>
            <w:tcW w:w="8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ED6A8"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89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8DD760"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125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8C70BE"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12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DEE08"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r>
      <w:tr w:rsidR="00AF1189" w:rsidRPr="00CD46D4" w14:paraId="60CB7451" w14:textId="77777777" w:rsidTr="00AF1189">
        <w:trPr>
          <w:jc w:val="center"/>
        </w:trPr>
        <w:tc>
          <w:tcPr>
            <w:tcW w:w="784" w:type="pct"/>
            <w:tcBorders>
              <w:top w:val="single" w:sz="4" w:space="0" w:color="000000"/>
              <w:left w:val="single" w:sz="4" w:space="0" w:color="000000"/>
              <w:bottom w:val="single" w:sz="4" w:space="0" w:color="000000"/>
              <w:right w:val="single" w:sz="4" w:space="0" w:color="000000"/>
            </w:tcBorders>
          </w:tcPr>
          <w:p w14:paraId="7F1DF7C9" w14:textId="392EBA49" w:rsidR="00AF1189" w:rsidRPr="00CD46D4" w:rsidRDefault="00FA5C44" w:rsidP="00F10AC7">
            <w:pPr>
              <w:spacing w:after="120" w:line="240" w:lineRule="auto"/>
              <w:jc w:val="center"/>
              <w:rPr>
                <w:rFonts w:cs="Times New Roman"/>
                <w:color w:val="000000"/>
              </w:rPr>
            </w:pPr>
            <w:r>
              <w:rPr>
                <w:rFonts w:cs="Times New Roman"/>
                <w:color w:val="000000"/>
              </w:rPr>
              <w:t>2020</w:t>
            </w:r>
          </w:p>
        </w:tc>
        <w:tc>
          <w:tcPr>
            <w:tcW w:w="8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7D98C"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89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21AFB2"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125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DFF5B"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12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1A08AB"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r>
      <w:tr w:rsidR="00AF1189" w:rsidRPr="00CD46D4" w14:paraId="26D8E898" w14:textId="77777777" w:rsidTr="00AF1189">
        <w:trPr>
          <w:jc w:val="center"/>
        </w:trPr>
        <w:tc>
          <w:tcPr>
            <w:tcW w:w="784" w:type="pct"/>
            <w:tcBorders>
              <w:top w:val="single" w:sz="4" w:space="0" w:color="000000"/>
              <w:left w:val="single" w:sz="4" w:space="0" w:color="000000"/>
              <w:bottom w:val="single" w:sz="4" w:space="0" w:color="000000"/>
              <w:right w:val="single" w:sz="4" w:space="0" w:color="000000"/>
            </w:tcBorders>
          </w:tcPr>
          <w:p w14:paraId="783A436E"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 xml:space="preserve">Укупно </w:t>
            </w:r>
          </w:p>
        </w:tc>
        <w:tc>
          <w:tcPr>
            <w:tcW w:w="8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9C466"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1</w:t>
            </w:r>
          </w:p>
        </w:tc>
        <w:tc>
          <w:tcPr>
            <w:tcW w:w="89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07D8F"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1</w:t>
            </w:r>
          </w:p>
        </w:tc>
        <w:tc>
          <w:tcPr>
            <w:tcW w:w="125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4D9E36"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0</w:t>
            </w:r>
          </w:p>
        </w:tc>
        <w:tc>
          <w:tcPr>
            <w:tcW w:w="12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B2722"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0</w:t>
            </w:r>
          </w:p>
        </w:tc>
      </w:tr>
    </w:tbl>
    <w:p w14:paraId="6A5FCD42" w14:textId="77777777" w:rsidR="00AD36AA" w:rsidRPr="00CD46D4" w:rsidRDefault="00AD36AA" w:rsidP="00F10AC7">
      <w:pPr>
        <w:spacing w:before="240" w:after="120" w:line="240" w:lineRule="auto"/>
        <w:rPr>
          <w:rFonts w:cs="Times New Roman"/>
        </w:rPr>
      </w:pPr>
    </w:p>
    <w:p w14:paraId="78525199" w14:textId="5122F569" w:rsidR="00AF1189" w:rsidRPr="00FD6B73" w:rsidRDefault="00AF1189" w:rsidP="00FA5C44">
      <w:pPr>
        <w:spacing w:before="240" w:after="120" w:line="240" w:lineRule="auto"/>
        <w:jc w:val="left"/>
        <w:rPr>
          <w:rFonts w:cs="Times New Roman"/>
          <w:lang w:val="ru-RU"/>
        </w:rPr>
      </w:pPr>
      <w:r w:rsidRPr="00FD6B73">
        <w:rPr>
          <w:rFonts w:cs="Times New Roman"/>
          <w:lang w:val="ru-RU"/>
        </w:rPr>
        <w:lastRenderedPageBreak/>
        <w:t>Табела 13 и График 12 приказују обесхрабрујуће р</w:t>
      </w:r>
      <w:r w:rsidR="00FA5C44">
        <w:rPr>
          <w:rFonts w:cs="Times New Roman"/>
          <w:lang w:val="ru-RU"/>
        </w:rPr>
        <w:t xml:space="preserve">езултате одлучивања Специјалног </w:t>
      </w:r>
      <w:r w:rsidRPr="00FD6B73">
        <w:rPr>
          <w:rFonts w:cs="Times New Roman"/>
          <w:lang w:val="ru-RU"/>
        </w:rPr>
        <w:t>тужилаштва ЕУЛЕКС-а у Приштини о захтевима Т</w:t>
      </w:r>
      <w:r w:rsidR="00FA5C44">
        <w:rPr>
          <w:rFonts w:cs="Times New Roman"/>
          <w:lang w:val="ru-RU"/>
        </w:rPr>
        <w:t xml:space="preserve">РЗ по процедури узајамне правне </w:t>
      </w:r>
      <w:r w:rsidRPr="00FD6B73">
        <w:rPr>
          <w:rFonts w:cs="Times New Roman"/>
          <w:lang w:val="ru-RU"/>
        </w:rPr>
        <w:t>помоћи. Наиме, од 98 захтева колико је упућено у по</w:t>
      </w:r>
      <w:r w:rsidR="00FA5C44">
        <w:rPr>
          <w:rFonts w:cs="Times New Roman"/>
          <w:lang w:val="ru-RU"/>
        </w:rPr>
        <w:t xml:space="preserve">сматраном петогодишњем периоду, </w:t>
      </w:r>
      <w:r w:rsidRPr="00FD6B73">
        <w:rPr>
          <w:rFonts w:cs="Times New Roman"/>
          <w:lang w:val="ru-RU"/>
        </w:rPr>
        <w:t>уз сталну тенденцију пораста броја захтева од стране ТРЗ, у</w:t>
      </w:r>
      <w:r w:rsidR="00FA5C44">
        <w:rPr>
          <w:rFonts w:cs="Times New Roman"/>
          <w:lang w:val="ru-RU"/>
        </w:rPr>
        <w:t xml:space="preserve">довољено је само у 8 случајева, </w:t>
      </w:r>
      <w:r w:rsidRPr="00FD6B73">
        <w:rPr>
          <w:rFonts w:cs="Times New Roman"/>
          <w:lang w:val="ru-RU"/>
        </w:rPr>
        <w:t>односно 92% није удовољено.</w:t>
      </w:r>
      <w:r w:rsidRPr="00FD6B73">
        <w:rPr>
          <w:rFonts w:cs="Times New Roman"/>
          <w:color w:val="FF0000"/>
          <w:lang w:val="ru-RU"/>
        </w:rPr>
        <w:br/>
      </w:r>
    </w:p>
    <w:p w14:paraId="09116368" w14:textId="15061D0C" w:rsidR="00AF1189" w:rsidRPr="00FD6B73" w:rsidRDefault="00AF1189" w:rsidP="00AD36AA">
      <w:pPr>
        <w:spacing w:line="240" w:lineRule="auto"/>
        <w:jc w:val="center"/>
        <w:rPr>
          <w:rFonts w:cs="Times New Roman"/>
          <w:sz w:val="20"/>
          <w:szCs w:val="20"/>
          <w:lang w:val="ru-RU"/>
        </w:rPr>
      </w:pPr>
      <w:r w:rsidRPr="00FD6B73">
        <w:rPr>
          <w:rFonts w:cs="Times New Roman"/>
          <w:color w:val="000000"/>
          <w:sz w:val="20"/>
          <w:szCs w:val="20"/>
          <w:lang w:val="ru-RU"/>
        </w:rPr>
        <w:t>Табела 13: Подаци о затраженој правној помоћи</w:t>
      </w:r>
      <w:r w:rsidRPr="00CD46D4">
        <w:rPr>
          <w:rFonts w:cs="Times New Roman"/>
          <w:color w:val="000000"/>
          <w:sz w:val="20"/>
          <w:szCs w:val="20"/>
        </w:rPr>
        <w:t> </w:t>
      </w:r>
      <w:r w:rsidR="00FA5C44">
        <w:rPr>
          <w:rFonts w:cs="Times New Roman"/>
          <w:color w:val="000000"/>
          <w:sz w:val="20"/>
          <w:szCs w:val="20"/>
          <w:lang w:val="ru-RU"/>
        </w:rPr>
        <w:t>ТРЗ</w:t>
      </w:r>
      <w:r w:rsidRPr="00CD46D4">
        <w:rPr>
          <w:rFonts w:cs="Times New Roman"/>
          <w:color w:val="000000"/>
          <w:sz w:val="20"/>
          <w:szCs w:val="20"/>
        </w:rPr>
        <w:t> </w:t>
      </w:r>
      <w:r w:rsidRPr="00FD6B73">
        <w:rPr>
          <w:rFonts w:cs="Times New Roman"/>
          <w:color w:val="000000"/>
          <w:sz w:val="20"/>
          <w:szCs w:val="20"/>
          <w:lang w:val="ru-RU"/>
        </w:rPr>
        <w:t>Специјалном тужилаштву ЕУЛЕКС-а у Приштини</w:t>
      </w:r>
      <w:r w:rsidR="002B5935">
        <w:rPr>
          <w:rFonts w:cs="Times New Roman"/>
          <w:color w:val="000000"/>
          <w:sz w:val="20"/>
          <w:szCs w:val="20"/>
          <w:lang w:val="ru-RU"/>
        </w:rPr>
        <w:t xml:space="preserve"> </w:t>
      </w:r>
      <w:r w:rsidRPr="00FD6B73">
        <w:rPr>
          <w:rFonts w:cs="Times New Roman"/>
          <w:color w:val="000000"/>
          <w:sz w:val="20"/>
          <w:szCs w:val="20"/>
          <w:lang w:val="ru-RU"/>
        </w:rPr>
        <w:t>(</w:t>
      </w:r>
      <w:r w:rsidR="00FA5C44">
        <w:rPr>
          <w:rFonts w:cs="Times New Roman"/>
          <w:color w:val="000000"/>
          <w:sz w:val="20"/>
          <w:szCs w:val="20"/>
          <w:lang w:val="ru-RU"/>
        </w:rPr>
        <w:t>н</w:t>
      </w:r>
      <w:r w:rsidRPr="00FD6B73">
        <w:rPr>
          <w:rFonts w:cs="Times New Roman"/>
          <w:color w:val="000000"/>
          <w:sz w:val="20"/>
          <w:szCs w:val="20"/>
          <w:lang w:val="ru-RU"/>
        </w:rPr>
        <w:t>а основу Процедуре узајамне правне помоћи)</w:t>
      </w:r>
      <w:r w:rsidR="002B5935">
        <w:rPr>
          <w:rFonts w:cs="Times New Roman"/>
          <w:color w:val="000000"/>
          <w:sz w:val="20"/>
          <w:szCs w:val="20"/>
          <w:lang w:val="ru-RU"/>
        </w:rPr>
        <w:t xml:space="preserve"> </w:t>
      </w:r>
      <w:r w:rsidRPr="00FD6B73">
        <w:rPr>
          <w:rFonts w:cs="Times New Roman"/>
          <w:color w:val="000000"/>
          <w:sz w:val="20"/>
          <w:szCs w:val="20"/>
          <w:lang w:val="ru-RU"/>
        </w:rPr>
        <w:t>за период од 01.01.2016. до 31.12.2016.</w:t>
      </w:r>
      <w:r w:rsidR="002B5935">
        <w:rPr>
          <w:rFonts w:cs="Times New Roman"/>
          <w:color w:val="000000"/>
          <w:sz w:val="20"/>
          <w:szCs w:val="20"/>
          <w:lang w:val="ru-RU"/>
        </w:rPr>
        <w:t xml:space="preserve"> </w:t>
      </w:r>
      <w:r w:rsidRPr="00FD6B73">
        <w:rPr>
          <w:rFonts w:cs="Times New Roman"/>
          <w:color w:val="000000"/>
          <w:sz w:val="20"/>
          <w:szCs w:val="20"/>
          <w:lang w:val="ru-RU"/>
        </w:rPr>
        <w:t>г</w:t>
      </w:r>
      <w:r w:rsidR="002B5935">
        <w:rPr>
          <w:rFonts w:cs="Times New Roman"/>
          <w:color w:val="000000"/>
          <w:sz w:val="20"/>
          <w:szCs w:val="20"/>
          <w:lang w:val="ru-RU"/>
        </w:rPr>
        <w:t>одине</w:t>
      </w:r>
    </w:p>
    <w:tbl>
      <w:tblPr>
        <w:tblW w:w="5000" w:type="pct"/>
        <w:jc w:val="center"/>
        <w:tblCellMar>
          <w:top w:w="15" w:type="dxa"/>
          <w:left w:w="15" w:type="dxa"/>
          <w:bottom w:w="15" w:type="dxa"/>
          <w:right w:w="15" w:type="dxa"/>
        </w:tblCellMar>
        <w:tblLook w:val="04A0" w:firstRow="1" w:lastRow="0" w:firstColumn="1" w:lastColumn="0" w:noHBand="0" w:noVBand="1"/>
      </w:tblPr>
      <w:tblGrid>
        <w:gridCol w:w="1362"/>
        <w:gridCol w:w="2283"/>
        <w:gridCol w:w="2369"/>
        <w:gridCol w:w="3336"/>
      </w:tblGrid>
      <w:tr w:rsidR="00AF1189" w:rsidRPr="00CD46D4" w14:paraId="2E780DB8" w14:textId="77777777" w:rsidTr="00AF1189">
        <w:trPr>
          <w:jc w:val="center"/>
        </w:trPr>
        <w:tc>
          <w:tcPr>
            <w:tcW w:w="728"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1F33F7"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Година</w:t>
            </w:r>
          </w:p>
        </w:tc>
        <w:tc>
          <w:tcPr>
            <w:tcW w:w="1221"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77198ADB" w14:textId="77777777" w:rsidR="00AF1189" w:rsidRPr="00CD46D4" w:rsidRDefault="00AF1189" w:rsidP="00F10AC7">
            <w:pPr>
              <w:spacing w:after="120" w:line="240" w:lineRule="auto"/>
              <w:jc w:val="center"/>
              <w:rPr>
                <w:rFonts w:cs="Times New Roman"/>
              </w:rPr>
            </w:pPr>
            <w:r w:rsidRPr="00CD46D4">
              <w:rPr>
                <w:rFonts w:cs="Times New Roman"/>
                <w:b/>
                <w:bCs/>
                <w:color w:val="000000"/>
              </w:rPr>
              <w:t>Затражено</w:t>
            </w:r>
          </w:p>
        </w:tc>
        <w:tc>
          <w:tcPr>
            <w:tcW w:w="126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29F0E4C7" w14:textId="77777777" w:rsidR="00AF1189" w:rsidRPr="00CD46D4" w:rsidRDefault="00AF1189" w:rsidP="00F10AC7">
            <w:pPr>
              <w:spacing w:after="120" w:line="240" w:lineRule="auto"/>
              <w:jc w:val="center"/>
              <w:rPr>
                <w:rFonts w:cs="Times New Roman"/>
              </w:rPr>
            </w:pPr>
            <w:r w:rsidRPr="00CD46D4">
              <w:rPr>
                <w:rFonts w:cs="Times New Roman"/>
                <w:b/>
                <w:bCs/>
                <w:color w:val="000000"/>
              </w:rPr>
              <w:t>Удовољено</w:t>
            </w:r>
          </w:p>
        </w:tc>
        <w:tc>
          <w:tcPr>
            <w:tcW w:w="178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hideMark/>
          </w:tcPr>
          <w:p w14:paraId="19856B74" w14:textId="77777777" w:rsidR="00AF1189" w:rsidRPr="00CD46D4" w:rsidRDefault="00AF1189" w:rsidP="00F10AC7">
            <w:pPr>
              <w:spacing w:after="120" w:line="240" w:lineRule="auto"/>
              <w:jc w:val="center"/>
              <w:rPr>
                <w:rFonts w:cs="Times New Roman"/>
              </w:rPr>
            </w:pPr>
            <w:r w:rsidRPr="00CD46D4">
              <w:rPr>
                <w:rFonts w:cs="Times New Roman"/>
                <w:b/>
                <w:bCs/>
                <w:color w:val="000000"/>
              </w:rPr>
              <w:t>Није одговорено</w:t>
            </w:r>
          </w:p>
        </w:tc>
      </w:tr>
      <w:tr w:rsidR="00AF1189" w:rsidRPr="00CD46D4" w14:paraId="194300F0" w14:textId="77777777" w:rsidTr="00AF1189">
        <w:trPr>
          <w:jc w:val="center"/>
        </w:trPr>
        <w:tc>
          <w:tcPr>
            <w:tcW w:w="728" w:type="pct"/>
            <w:tcBorders>
              <w:top w:val="single" w:sz="4" w:space="0" w:color="000000"/>
              <w:left w:val="single" w:sz="4" w:space="0" w:color="000000"/>
              <w:bottom w:val="single" w:sz="4" w:space="0" w:color="000000"/>
              <w:right w:val="single" w:sz="4" w:space="0" w:color="000000"/>
            </w:tcBorders>
          </w:tcPr>
          <w:p w14:paraId="4EB317BF" w14:textId="00293A62" w:rsidR="00AF1189" w:rsidRPr="00CD46D4" w:rsidRDefault="00FA5C44" w:rsidP="00F10AC7">
            <w:pPr>
              <w:spacing w:after="120" w:line="240" w:lineRule="auto"/>
              <w:jc w:val="center"/>
              <w:rPr>
                <w:rFonts w:cs="Times New Roman"/>
                <w:color w:val="000000"/>
              </w:rPr>
            </w:pPr>
            <w:r>
              <w:rPr>
                <w:rFonts w:cs="Times New Roman"/>
                <w:color w:val="000000"/>
              </w:rPr>
              <w:t>2016</w:t>
            </w:r>
          </w:p>
        </w:tc>
        <w:tc>
          <w:tcPr>
            <w:tcW w:w="12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A2D44D" w14:textId="77777777" w:rsidR="00AF1189" w:rsidRPr="00CD46D4" w:rsidRDefault="00AF1189" w:rsidP="00F10AC7">
            <w:pPr>
              <w:spacing w:after="120" w:line="240" w:lineRule="auto"/>
              <w:jc w:val="center"/>
              <w:rPr>
                <w:rFonts w:cs="Times New Roman"/>
              </w:rPr>
            </w:pPr>
            <w:r w:rsidRPr="00CD46D4">
              <w:rPr>
                <w:rFonts w:cs="Times New Roman"/>
              </w:rPr>
              <w:t>9</w:t>
            </w:r>
          </w:p>
        </w:tc>
        <w:tc>
          <w:tcPr>
            <w:tcW w:w="126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B7669D" w14:textId="77777777" w:rsidR="00AF1189" w:rsidRPr="00CD46D4" w:rsidRDefault="00AF1189" w:rsidP="00F10AC7">
            <w:pPr>
              <w:spacing w:after="120" w:line="240" w:lineRule="auto"/>
              <w:jc w:val="center"/>
              <w:rPr>
                <w:rFonts w:cs="Times New Roman"/>
              </w:rPr>
            </w:pPr>
            <w:r w:rsidRPr="00CD46D4">
              <w:rPr>
                <w:rFonts w:cs="Times New Roman"/>
              </w:rPr>
              <w:t>0</w:t>
            </w:r>
          </w:p>
        </w:tc>
        <w:tc>
          <w:tcPr>
            <w:tcW w:w="17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E86A4E" w14:textId="77777777" w:rsidR="00AF1189" w:rsidRPr="00CD46D4" w:rsidRDefault="00AF1189" w:rsidP="00F10AC7">
            <w:pPr>
              <w:spacing w:after="120" w:line="240" w:lineRule="auto"/>
              <w:jc w:val="center"/>
              <w:rPr>
                <w:rFonts w:cs="Times New Roman"/>
              </w:rPr>
            </w:pPr>
            <w:r w:rsidRPr="00CD46D4">
              <w:rPr>
                <w:rFonts w:cs="Times New Roman"/>
              </w:rPr>
              <w:t>9</w:t>
            </w:r>
          </w:p>
        </w:tc>
      </w:tr>
      <w:tr w:rsidR="00AF1189" w:rsidRPr="00CD46D4" w14:paraId="450A12C6" w14:textId="77777777" w:rsidTr="00AF1189">
        <w:trPr>
          <w:jc w:val="center"/>
        </w:trPr>
        <w:tc>
          <w:tcPr>
            <w:tcW w:w="728" w:type="pct"/>
            <w:tcBorders>
              <w:top w:val="single" w:sz="4" w:space="0" w:color="000000"/>
              <w:left w:val="single" w:sz="4" w:space="0" w:color="000000"/>
              <w:bottom w:val="single" w:sz="4" w:space="0" w:color="000000"/>
              <w:right w:val="single" w:sz="4" w:space="0" w:color="000000"/>
            </w:tcBorders>
          </w:tcPr>
          <w:p w14:paraId="3A87BF6B" w14:textId="04288D55" w:rsidR="00AF1189" w:rsidRPr="00CD46D4" w:rsidRDefault="00FA5C44" w:rsidP="00F10AC7">
            <w:pPr>
              <w:spacing w:after="120" w:line="240" w:lineRule="auto"/>
              <w:jc w:val="center"/>
              <w:rPr>
                <w:rFonts w:cs="Times New Roman"/>
                <w:color w:val="000000"/>
              </w:rPr>
            </w:pPr>
            <w:r>
              <w:rPr>
                <w:rFonts w:cs="Times New Roman"/>
                <w:color w:val="000000"/>
              </w:rPr>
              <w:t>2017</w:t>
            </w:r>
          </w:p>
        </w:tc>
        <w:tc>
          <w:tcPr>
            <w:tcW w:w="12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7499C"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11</w:t>
            </w:r>
          </w:p>
        </w:tc>
        <w:tc>
          <w:tcPr>
            <w:tcW w:w="126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FA210"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0</w:t>
            </w:r>
          </w:p>
        </w:tc>
        <w:tc>
          <w:tcPr>
            <w:tcW w:w="17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D92917"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11</w:t>
            </w:r>
          </w:p>
        </w:tc>
      </w:tr>
      <w:tr w:rsidR="00AF1189" w:rsidRPr="00CD46D4" w14:paraId="13BA1C48" w14:textId="77777777" w:rsidTr="00AF1189">
        <w:trPr>
          <w:jc w:val="center"/>
        </w:trPr>
        <w:tc>
          <w:tcPr>
            <w:tcW w:w="728" w:type="pct"/>
            <w:tcBorders>
              <w:top w:val="single" w:sz="4" w:space="0" w:color="000000"/>
              <w:left w:val="single" w:sz="4" w:space="0" w:color="000000"/>
              <w:bottom w:val="single" w:sz="4" w:space="0" w:color="000000"/>
              <w:right w:val="single" w:sz="4" w:space="0" w:color="000000"/>
            </w:tcBorders>
          </w:tcPr>
          <w:p w14:paraId="2E7F1158" w14:textId="13D5C40B" w:rsidR="00AF1189" w:rsidRPr="00CD46D4" w:rsidRDefault="00FA5C44" w:rsidP="00F10AC7">
            <w:pPr>
              <w:spacing w:after="120" w:line="240" w:lineRule="auto"/>
              <w:jc w:val="center"/>
              <w:rPr>
                <w:rFonts w:cs="Times New Roman"/>
                <w:color w:val="000000"/>
              </w:rPr>
            </w:pPr>
            <w:r>
              <w:rPr>
                <w:rFonts w:cs="Times New Roman"/>
                <w:color w:val="000000"/>
              </w:rPr>
              <w:t>2018</w:t>
            </w:r>
          </w:p>
        </w:tc>
        <w:tc>
          <w:tcPr>
            <w:tcW w:w="12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C92785"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28</w:t>
            </w:r>
          </w:p>
        </w:tc>
        <w:tc>
          <w:tcPr>
            <w:tcW w:w="126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FE0F41"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3</w:t>
            </w:r>
          </w:p>
        </w:tc>
        <w:tc>
          <w:tcPr>
            <w:tcW w:w="17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9C06B6"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25</w:t>
            </w:r>
          </w:p>
        </w:tc>
      </w:tr>
      <w:tr w:rsidR="00AF1189" w:rsidRPr="00CD46D4" w14:paraId="22C4C5DA" w14:textId="77777777" w:rsidTr="00AF1189">
        <w:trPr>
          <w:jc w:val="center"/>
        </w:trPr>
        <w:tc>
          <w:tcPr>
            <w:tcW w:w="728" w:type="pct"/>
            <w:tcBorders>
              <w:top w:val="single" w:sz="4" w:space="0" w:color="000000"/>
              <w:left w:val="single" w:sz="4" w:space="0" w:color="000000"/>
              <w:bottom w:val="single" w:sz="4" w:space="0" w:color="000000"/>
              <w:right w:val="single" w:sz="4" w:space="0" w:color="000000"/>
            </w:tcBorders>
          </w:tcPr>
          <w:p w14:paraId="65DBB76B" w14:textId="44015785" w:rsidR="00AF1189" w:rsidRPr="00CD46D4" w:rsidRDefault="00FA5C44" w:rsidP="00F10AC7">
            <w:pPr>
              <w:spacing w:after="120" w:line="240" w:lineRule="auto"/>
              <w:jc w:val="center"/>
              <w:rPr>
                <w:rFonts w:cs="Times New Roman"/>
                <w:color w:val="000000"/>
              </w:rPr>
            </w:pPr>
            <w:r>
              <w:rPr>
                <w:rFonts w:cs="Times New Roman"/>
                <w:color w:val="000000"/>
              </w:rPr>
              <w:t>2019</w:t>
            </w:r>
          </w:p>
        </w:tc>
        <w:tc>
          <w:tcPr>
            <w:tcW w:w="12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1865BA"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22</w:t>
            </w:r>
          </w:p>
        </w:tc>
        <w:tc>
          <w:tcPr>
            <w:tcW w:w="126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0372F3"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w:t>
            </w:r>
          </w:p>
        </w:tc>
        <w:tc>
          <w:tcPr>
            <w:tcW w:w="17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5DC113"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20</w:t>
            </w:r>
          </w:p>
        </w:tc>
      </w:tr>
      <w:tr w:rsidR="00AF1189" w:rsidRPr="00CD46D4" w14:paraId="20CFBA25" w14:textId="77777777" w:rsidTr="00AF1189">
        <w:trPr>
          <w:jc w:val="center"/>
        </w:trPr>
        <w:tc>
          <w:tcPr>
            <w:tcW w:w="728" w:type="pct"/>
            <w:tcBorders>
              <w:top w:val="single" w:sz="4" w:space="0" w:color="000000"/>
              <w:left w:val="single" w:sz="4" w:space="0" w:color="000000"/>
              <w:bottom w:val="single" w:sz="4" w:space="0" w:color="000000"/>
              <w:right w:val="single" w:sz="4" w:space="0" w:color="000000"/>
            </w:tcBorders>
          </w:tcPr>
          <w:p w14:paraId="71E70EC3" w14:textId="7E3730BA" w:rsidR="00AF1189" w:rsidRPr="00CD46D4" w:rsidRDefault="00FA5C44" w:rsidP="00F10AC7">
            <w:pPr>
              <w:spacing w:after="120" w:line="240" w:lineRule="auto"/>
              <w:jc w:val="center"/>
              <w:rPr>
                <w:rFonts w:cs="Times New Roman"/>
                <w:color w:val="000000"/>
              </w:rPr>
            </w:pPr>
            <w:r>
              <w:rPr>
                <w:rFonts w:cs="Times New Roman"/>
                <w:color w:val="000000"/>
              </w:rPr>
              <w:t>2020</w:t>
            </w:r>
          </w:p>
        </w:tc>
        <w:tc>
          <w:tcPr>
            <w:tcW w:w="12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2E557C"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28</w:t>
            </w:r>
          </w:p>
        </w:tc>
        <w:tc>
          <w:tcPr>
            <w:tcW w:w="126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25F9F"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3</w:t>
            </w:r>
          </w:p>
        </w:tc>
        <w:tc>
          <w:tcPr>
            <w:tcW w:w="17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6B2DFA" w14:textId="77777777" w:rsidR="00AF1189" w:rsidRPr="00CD46D4" w:rsidRDefault="00AF1189" w:rsidP="00F10AC7">
            <w:pPr>
              <w:spacing w:after="120" w:line="240" w:lineRule="auto"/>
              <w:jc w:val="center"/>
              <w:rPr>
                <w:rFonts w:cs="Times New Roman"/>
                <w:color w:val="000000"/>
              </w:rPr>
            </w:pPr>
            <w:r w:rsidRPr="00CD46D4">
              <w:rPr>
                <w:rFonts w:cs="Times New Roman"/>
                <w:color w:val="000000"/>
              </w:rPr>
              <w:t>25</w:t>
            </w:r>
          </w:p>
        </w:tc>
      </w:tr>
      <w:tr w:rsidR="00AF1189" w:rsidRPr="00CD46D4" w14:paraId="36947940" w14:textId="77777777" w:rsidTr="00AF1189">
        <w:trPr>
          <w:jc w:val="center"/>
        </w:trPr>
        <w:tc>
          <w:tcPr>
            <w:tcW w:w="728" w:type="pct"/>
            <w:tcBorders>
              <w:top w:val="single" w:sz="4" w:space="0" w:color="000000"/>
              <w:left w:val="single" w:sz="4" w:space="0" w:color="000000"/>
              <w:bottom w:val="single" w:sz="4" w:space="0" w:color="000000"/>
              <w:right w:val="single" w:sz="4" w:space="0" w:color="000000"/>
            </w:tcBorders>
          </w:tcPr>
          <w:p w14:paraId="5C24EDB0" w14:textId="77777777" w:rsidR="00AF1189" w:rsidRPr="00CD46D4" w:rsidRDefault="00AF1189" w:rsidP="00F10AC7">
            <w:pPr>
              <w:spacing w:after="120" w:line="240" w:lineRule="auto"/>
              <w:jc w:val="center"/>
              <w:rPr>
                <w:rFonts w:cs="Times New Roman"/>
                <w:color w:val="000000"/>
              </w:rPr>
            </w:pPr>
            <w:r w:rsidRPr="00CD46D4">
              <w:rPr>
                <w:rFonts w:cs="Times New Roman"/>
                <w:b/>
                <w:bCs/>
                <w:color w:val="000000"/>
              </w:rPr>
              <w:t>Укупно</w:t>
            </w:r>
          </w:p>
        </w:tc>
        <w:tc>
          <w:tcPr>
            <w:tcW w:w="122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BF6763"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98</w:t>
            </w:r>
          </w:p>
        </w:tc>
        <w:tc>
          <w:tcPr>
            <w:tcW w:w="126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EDEA67"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8</w:t>
            </w:r>
          </w:p>
        </w:tc>
        <w:tc>
          <w:tcPr>
            <w:tcW w:w="178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6360E" w14:textId="77777777" w:rsidR="00AF1189" w:rsidRPr="00CD46D4" w:rsidRDefault="00AF1189" w:rsidP="00F10AC7">
            <w:pPr>
              <w:spacing w:after="120" w:line="240" w:lineRule="auto"/>
              <w:jc w:val="center"/>
              <w:rPr>
                <w:rFonts w:cs="Times New Roman"/>
                <w:b/>
                <w:bCs/>
                <w:color w:val="000000"/>
              </w:rPr>
            </w:pPr>
            <w:r w:rsidRPr="00CD46D4">
              <w:rPr>
                <w:rFonts w:cs="Times New Roman"/>
                <w:b/>
                <w:bCs/>
                <w:color w:val="000000"/>
              </w:rPr>
              <w:t>90</w:t>
            </w:r>
          </w:p>
        </w:tc>
      </w:tr>
    </w:tbl>
    <w:p w14:paraId="78FC4EA2" w14:textId="77777777" w:rsidR="00AD36AA" w:rsidRPr="00CD46D4" w:rsidRDefault="00AD36AA" w:rsidP="008F3371">
      <w:pPr>
        <w:spacing w:after="0" w:line="240" w:lineRule="auto"/>
        <w:rPr>
          <w:rFonts w:cs="Times New Roman"/>
          <w:color w:val="000000"/>
          <w:sz w:val="20"/>
          <w:szCs w:val="20"/>
        </w:rPr>
      </w:pPr>
    </w:p>
    <w:p w14:paraId="02619A83" w14:textId="77777777" w:rsidR="00AD36AA" w:rsidRPr="00CD46D4" w:rsidRDefault="00AD36AA" w:rsidP="00AD36AA">
      <w:pPr>
        <w:spacing w:after="0" w:line="240" w:lineRule="auto"/>
        <w:jc w:val="center"/>
        <w:rPr>
          <w:rFonts w:cs="Times New Roman"/>
          <w:color w:val="000000"/>
          <w:sz w:val="20"/>
          <w:szCs w:val="20"/>
        </w:rPr>
      </w:pPr>
    </w:p>
    <w:p w14:paraId="13870276" w14:textId="0D22E260" w:rsidR="00AF1189" w:rsidRDefault="00AF1189" w:rsidP="002B5935">
      <w:pPr>
        <w:spacing w:after="0" w:line="240" w:lineRule="auto"/>
        <w:jc w:val="center"/>
        <w:rPr>
          <w:rFonts w:cs="Times New Roman"/>
          <w:color w:val="000000"/>
          <w:sz w:val="20"/>
          <w:szCs w:val="20"/>
          <w:lang w:val="ru-RU"/>
        </w:rPr>
      </w:pPr>
      <w:r w:rsidRPr="00FD6B73">
        <w:rPr>
          <w:rFonts w:cs="Times New Roman"/>
          <w:color w:val="000000"/>
          <w:sz w:val="20"/>
          <w:szCs w:val="20"/>
          <w:lang w:val="ru-RU"/>
        </w:rPr>
        <w:t>График 12: Структура одлука о затраженој правној помоћи</w:t>
      </w:r>
      <w:r w:rsidRPr="00CD46D4">
        <w:rPr>
          <w:rFonts w:cs="Times New Roman"/>
          <w:color w:val="000000"/>
          <w:sz w:val="20"/>
          <w:szCs w:val="20"/>
        </w:rPr>
        <w:t> </w:t>
      </w:r>
      <w:r w:rsidR="00FA5C44">
        <w:rPr>
          <w:rFonts w:cs="Times New Roman"/>
          <w:color w:val="000000"/>
          <w:sz w:val="20"/>
          <w:szCs w:val="20"/>
          <w:lang w:val="ru-RU"/>
        </w:rPr>
        <w:t>ТРЗ</w:t>
      </w:r>
      <w:r w:rsidRPr="00CD46D4">
        <w:rPr>
          <w:rFonts w:cs="Times New Roman"/>
          <w:color w:val="000000"/>
          <w:sz w:val="20"/>
          <w:szCs w:val="20"/>
        </w:rPr>
        <w:t> </w:t>
      </w:r>
      <w:r w:rsidRPr="00FD6B73">
        <w:rPr>
          <w:rFonts w:cs="Times New Roman"/>
          <w:color w:val="000000"/>
          <w:sz w:val="20"/>
          <w:szCs w:val="20"/>
          <w:lang w:val="ru-RU"/>
        </w:rPr>
        <w:t>Специјалном тужилаштву ЕУЛЕКС-а у Приштини</w:t>
      </w:r>
      <w:r w:rsidR="002B5935">
        <w:rPr>
          <w:rFonts w:cs="Times New Roman"/>
          <w:color w:val="000000"/>
          <w:sz w:val="20"/>
          <w:szCs w:val="20"/>
          <w:lang w:val="ru-RU"/>
        </w:rPr>
        <w:t xml:space="preserve"> </w:t>
      </w:r>
      <w:r w:rsidR="00FA5C44">
        <w:rPr>
          <w:rFonts w:cs="Times New Roman"/>
          <w:color w:val="000000"/>
          <w:sz w:val="20"/>
          <w:szCs w:val="20"/>
          <w:lang w:val="ru-RU"/>
        </w:rPr>
        <w:t>(н</w:t>
      </w:r>
      <w:r w:rsidRPr="00FD6B73">
        <w:rPr>
          <w:rFonts w:cs="Times New Roman"/>
          <w:color w:val="000000"/>
          <w:sz w:val="20"/>
          <w:szCs w:val="20"/>
          <w:lang w:val="ru-RU"/>
        </w:rPr>
        <w:t>а основу Процедуре узајамне правне помоћи)</w:t>
      </w:r>
      <w:r w:rsidR="002B5935">
        <w:rPr>
          <w:rFonts w:cs="Times New Roman"/>
          <w:color w:val="000000"/>
          <w:sz w:val="20"/>
          <w:szCs w:val="20"/>
          <w:lang w:val="ru-RU"/>
        </w:rPr>
        <w:t xml:space="preserve"> </w:t>
      </w:r>
      <w:r w:rsidRPr="00FD6B73">
        <w:rPr>
          <w:rFonts w:cs="Times New Roman"/>
          <w:color w:val="000000"/>
          <w:sz w:val="20"/>
          <w:szCs w:val="20"/>
          <w:lang w:val="ru-RU"/>
        </w:rPr>
        <w:t>за период од 01.01.2016. до 31.12.2016.</w:t>
      </w:r>
      <w:r w:rsidR="002B5935">
        <w:rPr>
          <w:rFonts w:cs="Times New Roman"/>
          <w:color w:val="000000"/>
          <w:sz w:val="20"/>
          <w:szCs w:val="20"/>
          <w:lang w:val="ru-RU"/>
        </w:rPr>
        <w:t xml:space="preserve"> </w:t>
      </w:r>
      <w:r w:rsidRPr="00FD6B73">
        <w:rPr>
          <w:rFonts w:cs="Times New Roman"/>
          <w:color w:val="000000"/>
          <w:sz w:val="20"/>
          <w:szCs w:val="20"/>
          <w:lang w:val="ru-RU"/>
        </w:rPr>
        <w:t>г</w:t>
      </w:r>
      <w:r w:rsidR="002B5935">
        <w:rPr>
          <w:rFonts w:cs="Times New Roman"/>
          <w:color w:val="000000"/>
          <w:sz w:val="20"/>
          <w:szCs w:val="20"/>
          <w:lang w:val="ru-RU"/>
        </w:rPr>
        <w:t>одине</w:t>
      </w:r>
    </w:p>
    <w:p w14:paraId="0E5322DE" w14:textId="77777777" w:rsidR="00FA5C44" w:rsidRPr="00FD6B73" w:rsidRDefault="00FA5C44" w:rsidP="002B5935">
      <w:pPr>
        <w:spacing w:after="0" w:line="240" w:lineRule="auto"/>
        <w:jc w:val="center"/>
        <w:rPr>
          <w:rFonts w:cs="Times New Roman"/>
          <w:sz w:val="20"/>
          <w:szCs w:val="20"/>
          <w:lang w:val="ru-RU"/>
        </w:rPr>
      </w:pPr>
    </w:p>
    <w:p w14:paraId="3D7616F3" w14:textId="77777777" w:rsidR="00AF1189" w:rsidRPr="00CD46D4" w:rsidRDefault="00AF1189" w:rsidP="00F10AC7">
      <w:pPr>
        <w:spacing w:after="120" w:line="240" w:lineRule="auto"/>
        <w:jc w:val="center"/>
        <w:rPr>
          <w:rFonts w:cs="Times New Roman"/>
        </w:rPr>
      </w:pPr>
      <w:r w:rsidRPr="008F3371">
        <w:rPr>
          <w:noProof/>
        </w:rPr>
        <w:drawing>
          <wp:inline distT="0" distB="0" distL="0" distR="0" wp14:anchorId="55A9A45E" wp14:editId="681383B0">
            <wp:extent cx="5237921" cy="3085106"/>
            <wp:effectExtent l="0" t="0" r="1270" b="127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65B36F3" w14:textId="35569608" w:rsidR="00AF1189" w:rsidRDefault="00AF1189" w:rsidP="00F10AC7">
      <w:pPr>
        <w:spacing w:after="120" w:line="240" w:lineRule="auto"/>
        <w:rPr>
          <w:rFonts w:cs="Times New Roman"/>
          <w:lang w:val="ru-RU"/>
        </w:rPr>
      </w:pPr>
      <w:r w:rsidRPr="00FD6B73">
        <w:rPr>
          <w:rFonts w:cs="Times New Roman"/>
          <w:lang w:val="ru-RU"/>
        </w:rPr>
        <w:t>Када је реч о регионалној сарадњи кроз механизме међународне правне помоћи по замолницама, из Табеле 14 уочава се да се овај вид сарадње интензивно одвијао, при чему је</w:t>
      </w:r>
      <w:r w:rsidR="00FA5C44">
        <w:rPr>
          <w:rFonts w:cs="Times New Roman"/>
          <w:lang w:val="ru-RU"/>
        </w:rPr>
        <w:t xml:space="preserve"> Република</w:t>
      </w:r>
      <w:r w:rsidRPr="00FD6B73">
        <w:rPr>
          <w:rFonts w:cs="Times New Roman"/>
          <w:lang w:val="ru-RU"/>
        </w:rPr>
        <w:t xml:space="preserve"> Србија у посматраном периоду примила 61</w:t>
      </w:r>
      <w:r w:rsidR="002B5935">
        <w:rPr>
          <w:rFonts w:cs="Times New Roman"/>
          <w:lang w:val="ru-RU"/>
        </w:rPr>
        <w:t>7</w:t>
      </w:r>
      <w:r w:rsidRPr="00FD6B73">
        <w:rPr>
          <w:rFonts w:cs="Times New Roman"/>
          <w:lang w:val="ru-RU"/>
        </w:rPr>
        <w:t xml:space="preserve"> замолница, а упутила 357.</w:t>
      </w:r>
      <w:r w:rsidR="00FA5C44">
        <w:rPr>
          <w:rFonts w:cs="Times New Roman"/>
          <w:lang w:val="ru-RU"/>
        </w:rPr>
        <w:t xml:space="preserve"> </w:t>
      </w:r>
    </w:p>
    <w:p w14:paraId="1CEFAEC4" w14:textId="77777777" w:rsidR="00FA5C44" w:rsidRPr="00FD6B73" w:rsidRDefault="00FA5C44" w:rsidP="00F10AC7">
      <w:pPr>
        <w:spacing w:after="120" w:line="240" w:lineRule="auto"/>
        <w:rPr>
          <w:rFonts w:cs="Times New Roman"/>
          <w:lang w:val="ru-RU"/>
        </w:rPr>
      </w:pPr>
    </w:p>
    <w:p w14:paraId="2457FDD8" w14:textId="15472A38" w:rsidR="00AF1189" w:rsidRPr="00FD6B73" w:rsidRDefault="00AF1189" w:rsidP="00F10AC7">
      <w:pPr>
        <w:spacing w:after="120" w:line="240" w:lineRule="auto"/>
        <w:jc w:val="center"/>
        <w:rPr>
          <w:rFonts w:cs="Times New Roman"/>
          <w:sz w:val="20"/>
          <w:szCs w:val="20"/>
          <w:lang w:val="ru-RU"/>
        </w:rPr>
      </w:pPr>
      <w:r w:rsidRPr="00FD6B73">
        <w:rPr>
          <w:rFonts w:cs="Times New Roman"/>
          <w:sz w:val="20"/>
          <w:szCs w:val="20"/>
          <w:lang w:val="ru-RU"/>
        </w:rPr>
        <w:lastRenderedPageBreak/>
        <w:t xml:space="preserve">Табела 14: </w:t>
      </w:r>
      <w:r w:rsidRPr="00FD6B73">
        <w:rPr>
          <w:rFonts w:cs="Times New Roman"/>
          <w:color w:val="000000"/>
          <w:sz w:val="20"/>
          <w:szCs w:val="20"/>
          <w:lang w:val="ru-RU"/>
        </w:rPr>
        <w:t>Подаци о правној помоћи</w:t>
      </w:r>
      <w:r w:rsidRPr="00CD46D4">
        <w:rPr>
          <w:rFonts w:cs="Times New Roman"/>
          <w:color w:val="000000"/>
          <w:sz w:val="20"/>
          <w:szCs w:val="20"/>
        </w:rPr>
        <w:t> </w:t>
      </w:r>
      <w:r w:rsidRPr="00FD6B73">
        <w:rPr>
          <w:rFonts w:cs="Times New Roman"/>
          <w:sz w:val="20"/>
          <w:szCs w:val="20"/>
          <w:lang w:val="ru-RU"/>
        </w:rPr>
        <w:t xml:space="preserve">по замолницама у периоду </w:t>
      </w:r>
      <w:r w:rsidR="00FA5C44">
        <w:rPr>
          <w:rFonts w:cs="Times New Roman"/>
          <w:sz w:val="20"/>
          <w:szCs w:val="20"/>
          <w:lang w:val="ru-RU"/>
        </w:rPr>
        <w:t xml:space="preserve">од </w:t>
      </w:r>
      <w:r w:rsidRPr="00FD6B73">
        <w:rPr>
          <w:rFonts w:cs="Times New Roman"/>
          <w:sz w:val="20"/>
          <w:szCs w:val="20"/>
          <w:lang w:val="ru-RU"/>
        </w:rPr>
        <w:t>2016</w:t>
      </w:r>
      <w:r w:rsidR="00FA5C44">
        <w:rPr>
          <w:rFonts w:cs="Times New Roman"/>
          <w:sz w:val="20"/>
          <w:szCs w:val="20"/>
          <w:lang w:val="ru-RU"/>
        </w:rPr>
        <w:t xml:space="preserve">. до </w:t>
      </w:r>
      <w:r w:rsidRPr="00FD6B73">
        <w:rPr>
          <w:rFonts w:cs="Times New Roman"/>
          <w:sz w:val="20"/>
          <w:szCs w:val="20"/>
          <w:lang w:val="ru-RU"/>
        </w:rPr>
        <w:t>2020.</w:t>
      </w:r>
      <w:r w:rsidR="002B5935">
        <w:rPr>
          <w:rFonts w:cs="Times New Roman"/>
          <w:sz w:val="20"/>
          <w:szCs w:val="20"/>
          <w:lang w:val="ru-RU"/>
        </w:rPr>
        <w:t xml:space="preserve"> године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294"/>
        <w:gridCol w:w="1294"/>
        <w:gridCol w:w="1294"/>
        <w:gridCol w:w="1294"/>
        <w:gridCol w:w="1294"/>
      </w:tblGrid>
      <w:tr w:rsidR="00AF1189" w:rsidRPr="00CD46D4" w14:paraId="4BF5F9C6" w14:textId="77777777" w:rsidTr="00AF1189">
        <w:trPr>
          <w:trHeight w:val="300"/>
          <w:jc w:val="center"/>
        </w:trPr>
        <w:tc>
          <w:tcPr>
            <w:tcW w:w="2880" w:type="dxa"/>
            <w:shd w:val="clear" w:color="D9E1F2" w:fill="D9E1F2"/>
            <w:noWrap/>
            <w:vAlign w:val="bottom"/>
            <w:hideMark/>
          </w:tcPr>
          <w:p w14:paraId="5EB1FACB"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Замолнице</w:t>
            </w:r>
          </w:p>
        </w:tc>
        <w:tc>
          <w:tcPr>
            <w:tcW w:w="1294" w:type="dxa"/>
            <w:shd w:val="clear" w:color="D9E1F2" w:fill="D9E1F2"/>
            <w:noWrap/>
            <w:vAlign w:val="bottom"/>
            <w:hideMark/>
          </w:tcPr>
          <w:p w14:paraId="6CEF27D8"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Делимично удовољено</w:t>
            </w:r>
          </w:p>
        </w:tc>
        <w:tc>
          <w:tcPr>
            <w:tcW w:w="1294" w:type="dxa"/>
            <w:shd w:val="clear" w:color="D9E1F2" w:fill="D9E1F2"/>
            <w:noWrap/>
            <w:vAlign w:val="bottom"/>
            <w:hideMark/>
          </w:tcPr>
          <w:p w14:paraId="2DD86B1A" w14:textId="77777777" w:rsidR="00AF1189" w:rsidRPr="00CD46D4" w:rsidRDefault="00AF1189" w:rsidP="00F10AC7">
            <w:pPr>
              <w:spacing w:after="120" w:line="240" w:lineRule="auto"/>
              <w:rPr>
                <w:rFonts w:cs="Times New Roman"/>
                <w:b/>
                <w:bCs/>
                <w:color w:val="000000"/>
                <w:sz w:val="20"/>
                <w:szCs w:val="20"/>
              </w:rPr>
            </w:pPr>
            <w:r w:rsidRPr="00CD46D4">
              <w:rPr>
                <w:rFonts w:cs="Times New Roman"/>
                <w:b/>
                <w:bCs/>
                <w:color w:val="000000"/>
                <w:sz w:val="20"/>
                <w:szCs w:val="20"/>
              </w:rPr>
              <w:t>Није удовољено</w:t>
            </w:r>
          </w:p>
        </w:tc>
        <w:tc>
          <w:tcPr>
            <w:tcW w:w="1294" w:type="dxa"/>
            <w:shd w:val="clear" w:color="D9E1F2" w:fill="D9E1F2"/>
            <w:noWrap/>
            <w:vAlign w:val="bottom"/>
            <w:hideMark/>
          </w:tcPr>
          <w:p w14:paraId="629191FF"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Удовољено</w:t>
            </w:r>
          </w:p>
        </w:tc>
        <w:tc>
          <w:tcPr>
            <w:tcW w:w="1294" w:type="dxa"/>
            <w:shd w:val="clear" w:color="D9E1F2" w:fill="D9E1F2"/>
            <w:noWrap/>
            <w:vAlign w:val="bottom"/>
            <w:hideMark/>
          </w:tcPr>
          <w:p w14:paraId="059ABD68"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У раду</w:t>
            </w:r>
          </w:p>
        </w:tc>
        <w:tc>
          <w:tcPr>
            <w:tcW w:w="1294" w:type="dxa"/>
            <w:shd w:val="clear" w:color="D9E1F2" w:fill="D9E1F2"/>
            <w:noWrap/>
            <w:vAlign w:val="bottom"/>
            <w:hideMark/>
          </w:tcPr>
          <w:p w14:paraId="1C60E320"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Укупно</w:t>
            </w:r>
          </w:p>
        </w:tc>
      </w:tr>
      <w:tr w:rsidR="00AF1189" w:rsidRPr="00CD46D4" w14:paraId="110F7CC6" w14:textId="77777777" w:rsidTr="00AF1189">
        <w:trPr>
          <w:trHeight w:val="300"/>
          <w:jc w:val="center"/>
        </w:trPr>
        <w:tc>
          <w:tcPr>
            <w:tcW w:w="2880" w:type="dxa"/>
            <w:shd w:val="clear" w:color="auto" w:fill="auto"/>
            <w:noWrap/>
            <w:vAlign w:val="bottom"/>
            <w:hideMark/>
          </w:tcPr>
          <w:p w14:paraId="367BEEC8"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Из Србије</w:t>
            </w:r>
          </w:p>
        </w:tc>
        <w:tc>
          <w:tcPr>
            <w:tcW w:w="1294" w:type="dxa"/>
            <w:shd w:val="clear" w:color="auto" w:fill="auto"/>
            <w:noWrap/>
            <w:vAlign w:val="bottom"/>
            <w:hideMark/>
          </w:tcPr>
          <w:p w14:paraId="4B843DEE"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15</w:t>
            </w:r>
          </w:p>
        </w:tc>
        <w:tc>
          <w:tcPr>
            <w:tcW w:w="1294" w:type="dxa"/>
            <w:shd w:val="clear" w:color="auto" w:fill="auto"/>
            <w:noWrap/>
            <w:vAlign w:val="bottom"/>
            <w:hideMark/>
          </w:tcPr>
          <w:p w14:paraId="2B48B40C"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17</w:t>
            </w:r>
          </w:p>
        </w:tc>
        <w:tc>
          <w:tcPr>
            <w:tcW w:w="1294" w:type="dxa"/>
            <w:shd w:val="clear" w:color="auto" w:fill="auto"/>
            <w:noWrap/>
            <w:vAlign w:val="bottom"/>
            <w:hideMark/>
          </w:tcPr>
          <w:p w14:paraId="1F2FE902"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281</w:t>
            </w:r>
          </w:p>
        </w:tc>
        <w:tc>
          <w:tcPr>
            <w:tcW w:w="1294" w:type="dxa"/>
            <w:shd w:val="clear" w:color="auto" w:fill="auto"/>
            <w:noWrap/>
            <w:vAlign w:val="bottom"/>
            <w:hideMark/>
          </w:tcPr>
          <w:p w14:paraId="0C0AB17E"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44</w:t>
            </w:r>
          </w:p>
        </w:tc>
        <w:tc>
          <w:tcPr>
            <w:tcW w:w="1294" w:type="dxa"/>
            <w:shd w:val="clear" w:color="auto" w:fill="auto"/>
            <w:noWrap/>
            <w:vAlign w:val="bottom"/>
            <w:hideMark/>
          </w:tcPr>
          <w:p w14:paraId="1147F85B"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357</w:t>
            </w:r>
          </w:p>
        </w:tc>
      </w:tr>
      <w:tr w:rsidR="00AF1189" w:rsidRPr="00CD46D4" w14:paraId="6E72DD08" w14:textId="77777777" w:rsidTr="00AF1189">
        <w:trPr>
          <w:trHeight w:val="300"/>
          <w:jc w:val="center"/>
        </w:trPr>
        <w:tc>
          <w:tcPr>
            <w:tcW w:w="2880" w:type="dxa"/>
            <w:shd w:val="clear" w:color="auto" w:fill="auto"/>
            <w:noWrap/>
            <w:vAlign w:val="bottom"/>
            <w:hideMark/>
          </w:tcPr>
          <w:p w14:paraId="1A3276DF" w14:textId="77777777" w:rsidR="00AF1189" w:rsidRPr="00CD46D4" w:rsidRDefault="00AF1189" w:rsidP="00F10AC7">
            <w:pPr>
              <w:spacing w:after="120" w:line="240" w:lineRule="auto"/>
              <w:ind w:firstLineChars="100" w:firstLine="200"/>
              <w:jc w:val="center"/>
              <w:rPr>
                <w:rFonts w:cs="Times New Roman"/>
                <w:color w:val="000000"/>
                <w:sz w:val="20"/>
                <w:szCs w:val="20"/>
              </w:rPr>
            </w:pPr>
            <w:r w:rsidRPr="00CD46D4">
              <w:rPr>
                <w:rFonts w:cs="Times New Roman"/>
                <w:color w:val="000000"/>
                <w:sz w:val="20"/>
                <w:szCs w:val="20"/>
              </w:rPr>
              <w:t>Босна и Херцеговина</w:t>
            </w:r>
          </w:p>
        </w:tc>
        <w:tc>
          <w:tcPr>
            <w:tcW w:w="1294" w:type="dxa"/>
            <w:shd w:val="clear" w:color="auto" w:fill="auto"/>
            <w:noWrap/>
            <w:vAlign w:val="bottom"/>
            <w:hideMark/>
          </w:tcPr>
          <w:p w14:paraId="1D0712AB"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11</w:t>
            </w:r>
          </w:p>
        </w:tc>
        <w:tc>
          <w:tcPr>
            <w:tcW w:w="1294" w:type="dxa"/>
            <w:shd w:val="clear" w:color="auto" w:fill="auto"/>
            <w:noWrap/>
            <w:vAlign w:val="bottom"/>
            <w:hideMark/>
          </w:tcPr>
          <w:p w14:paraId="3363F2CD"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9</w:t>
            </w:r>
          </w:p>
        </w:tc>
        <w:tc>
          <w:tcPr>
            <w:tcW w:w="1294" w:type="dxa"/>
            <w:shd w:val="clear" w:color="auto" w:fill="auto"/>
            <w:noWrap/>
            <w:vAlign w:val="bottom"/>
            <w:hideMark/>
          </w:tcPr>
          <w:p w14:paraId="1C6683A8"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97</w:t>
            </w:r>
          </w:p>
        </w:tc>
        <w:tc>
          <w:tcPr>
            <w:tcW w:w="1294" w:type="dxa"/>
            <w:shd w:val="clear" w:color="auto" w:fill="auto"/>
            <w:noWrap/>
            <w:vAlign w:val="bottom"/>
            <w:hideMark/>
          </w:tcPr>
          <w:p w14:paraId="23D58E10"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34</w:t>
            </w:r>
          </w:p>
        </w:tc>
        <w:tc>
          <w:tcPr>
            <w:tcW w:w="1294" w:type="dxa"/>
            <w:shd w:val="clear" w:color="auto" w:fill="auto"/>
            <w:noWrap/>
            <w:vAlign w:val="bottom"/>
            <w:hideMark/>
          </w:tcPr>
          <w:p w14:paraId="52B7C0F8"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151</w:t>
            </w:r>
          </w:p>
        </w:tc>
      </w:tr>
      <w:tr w:rsidR="00AF1189" w:rsidRPr="00CD46D4" w14:paraId="14404CE7" w14:textId="77777777" w:rsidTr="00AF1189">
        <w:trPr>
          <w:trHeight w:val="300"/>
          <w:jc w:val="center"/>
        </w:trPr>
        <w:tc>
          <w:tcPr>
            <w:tcW w:w="2880" w:type="dxa"/>
            <w:shd w:val="clear" w:color="auto" w:fill="auto"/>
            <w:noWrap/>
            <w:vAlign w:val="bottom"/>
            <w:hideMark/>
          </w:tcPr>
          <w:p w14:paraId="47966E2C" w14:textId="77777777" w:rsidR="00AF1189" w:rsidRPr="00CD46D4" w:rsidRDefault="00AF1189" w:rsidP="00F10AC7">
            <w:pPr>
              <w:spacing w:after="120" w:line="240" w:lineRule="auto"/>
              <w:ind w:firstLineChars="100" w:firstLine="200"/>
              <w:jc w:val="center"/>
              <w:rPr>
                <w:rFonts w:cs="Times New Roman"/>
                <w:color w:val="000000"/>
                <w:sz w:val="20"/>
                <w:szCs w:val="20"/>
              </w:rPr>
            </w:pPr>
            <w:r w:rsidRPr="00CD46D4">
              <w:rPr>
                <w:rFonts w:cs="Times New Roman"/>
                <w:color w:val="000000"/>
                <w:sz w:val="20"/>
                <w:szCs w:val="20"/>
              </w:rPr>
              <w:t>Република Хрватска</w:t>
            </w:r>
          </w:p>
        </w:tc>
        <w:tc>
          <w:tcPr>
            <w:tcW w:w="1294" w:type="dxa"/>
            <w:shd w:val="clear" w:color="auto" w:fill="auto"/>
            <w:noWrap/>
            <w:vAlign w:val="bottom"/>
            <w:hideMark/>
          </w:tcPr>
          <w:p w14:paraId="710D67F8"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4</w:t>
            </w:r>
          </w:p>
        </w:tc>
        <w:tc>
          <w:tcPr>
            <w:tcW w:w="1294" w:type="dxa"/>
            <w:shd w:val="clear" w:color="auto" w:fill="auto"/>
            <w:noWrap/>
            <w:vAlign w:val="bottom"/>
            <w:hideMark/>
          </w:tcPr>
          <w:p w14:paraId="2A5A9B11"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8</w:t>
            </w:r>
          </w:p>
        </w:tc>
        <w:tc>
          <w:tcPr>
            <w:tcW w:w="1294" w:type="dxa"/>
            <w:shd w:val="clear" w:color="auto" w:fill="auto"/>
            <w:noWrap/>
            <w:vAlign w:val="bottom"/>
            <w:hideMark/>
          </w:tcPr>
          <w:p w14:paraId="70FBAC52"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178</w:t>
            </w:r>
          </w:p>
        </w:tc>
        <w:tc>
          <w:tcPr>
            <w:tcW w:w="1294" w:type="dxa"/>
            <w:shd w:val="clear" w:color="auto" w:fill="auto"/>
            <w:noWrap/>
            <w:vAlign w:val="bottom"/>
            <w:hideMark/>
          </w:tcPr>
          <w:p w14:paraId="020EBB22"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10</w:t>
            </w:r>
          </w:p>
        </w:tc>
        <w:tc>
          <w:tcPr>
            <w:tcW w:w="1294" w:type="dxa"/>
            <w:shd w:val="clear" w:color="auto" w:fill="auto"/>
            <w:noWrap/>
            <w:vAlign w:val="bottom"/>
            <w:hideMark/>
          </w:tcPr>
          <w:p w14:paraId="0A2DA5DA"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200</w:t>
            </w:r>
          </w:p>
        </w:tc>
      </w:tr>
      <w:tr w:rsidR="00AF1189" w:rsidRPr="00CD46D4" w14:paraId="72033935" w14:textId="77777777" w:rsidTr="00AF1189">
        <w:trPr>
          <w:trHeight w:val="300"/>
          <w:jc w:val="center"/>
        </w:trPr>
        <w:tc>
          <w:tcPr>
            <w:tcW w:w="2880" w:type="dxa"/>
            <w:shd w:val="clear" w:color="auto" w:fill="auto"/>
            <w:noWrap/>
            <w:vAlign w:val="bottom"/>
            <w:hideMark/>
          </w:tcPr>
          <w:p w14:paraId="01D306F0" w14:textId="77777777" w:rsidR="00AF1189" w:rsidRPr="00CD46D4" w:rsidRDefault="00AF1189" w:rsidP="00F10AC7">
            <w:pPr>
              <w:spacing w:after="120" w:line="240" w:lineRule="auto"/>
              <w:ind w:firstLineChars="100" w:firstLine="200"/>
              <w:jc w:val="center"/>
              <w:rPr>
                <w:rFonts w:cs="Times New Roman"/>
                <w:color w:val="000000"/>
                <w:sz w:val="20"/>
                <w:szCs w:val="20"/>
              </w:rPr>
            </w:pPr>
            <w:r w:rsidRPr="00CD46D4">
              <w:rPr>
                <w:rFonts w:cs="Times New Roman"/>
                <w:color w:val="000000"/>
                <w:sz w:val="20"/>
                <w:szCs w:val="20"/>
              </w:rPr>
              <w:t>Црна Гора</w:t>
            </w:r>
          </w:p>
        </w:tc>
        <w:tc>
          <w:tcPr>
            <w:tcW w:w="1294" w:type="dxa"/>
            <w:shd w:val="clear" w:color="auto" w:fill="auto"/>
            <w:noWrap/>
            <w:vAlign w:val="bottom"/>
            <w:hideMark/>
          </w:tcPr>
          <w:p w14:paraId="17BDE54B"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0</w:t>
            </w:r>
          </w:p>
        </w:tc>
        <w:tc>
          <w:tcPr>
            <w:tcW w:w="1294" w:type="dxa"/>
            <w:shd w:val="clear" w:color="auto" w:fill="auto"/>
            <w:noWrap/>
            <w:vAlign w:val="bottom"/>
            <w:hideMark/>
          </w:tcPr>
          <w:p w14:paraId="6B121DA3"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0</w:t>
            </w:r>
          </w:p>
        </w:tc>
        <w:tc>
          <w:tcPr>
            <w:tcW w:w="1294" w:type="dxa"/>
            <w:shd w:val="clear" w:color="auto" w:fill="auto"/>
            <w:noWrap/>
            <w:vAlign w:val="bottom"/>
            <w:hideMark/>
          </w:tcPr>
          <w:p w14:paraId="3107F5EE"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6</w:t>
            </w:r>
          </w:p>
        </w:tc>
        <w:tc>
          <w:tcPr>
            <w:tcW w:w="1294" w:type="dxa"/>
            <w:shd w:val="clear" w:color="auto" w:fill="auto"/>
            <w:noWrap/>
            <w:vAlign w:val="bottom"/>
            <w:hideMark/>
          </w:tcPr>
          <w:p w14:paraId="19728980"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0</w:t>
            </w:r>
          </w:p>
        </w:tc>
        <w:tc>
          <w:tcPr>
            <w:tcW w:w="1294" w:type="dxa"/>
            <w:shd w:val="clear" w:color="auto" w:fill="auto"/>
            <w:noWrap/>
            <w:vAlign w:val="bottom"/>
            <w:hideMark/>
          </w:tcPr>
          <w:p w14:paraId="5A11A567"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6</w:t>
            </w:r>
          </w:p>
        </w:tc>
      </w:tr>
      <w:tr w:rsidR="00AF1189" w:rsidRPr="00CD46D4" w14:paraId="473B1D1F" w14:textId="77777777" w:rsidTr="00AF1189">
        <w:trPr>
          <w:trHeight w:val="300"/>
          <w:jc w:val="center"/>
        </w:trPr>
        <w:tc>
          <w:tcPr>
            <w:tcW w:w="2880" w:type="dxa"/>
            <w:shd w:val="clear" w:color="auto" w:fill="auto"/>
            <w:noWrap/>
            <w:vAlign w:val="bottom"/>
            <w:hideMark/>
          </w:tcPr>
          <w:p w14:paraId="00B68977"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У Србију</w:t>
            </w:r>
          </w:p>
        </w:tc>
        <w:tc>
          <w:tcPr>
            <w:tcW w:w="1294" w:type="dxa"/>
            <w:shd w:val="clear" w:color="auto" w:fill="auto"/>
            <w:noWrap/>
            <w:vAlign w:val="bottom"/>
            <w:hideMark/>
          </w:tcPr>
          <w:p w14:paraId="75C43A39"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20</w:t>
            </w:r>
          </w:p>
        </w:tc>
        <w:tc>
          <w:tcPr>
            <w:tcW w:w="1294" w:type="dxa"/>
            <w:shd w:val="clear" w:color="auto" w:fill="auto"/>
            <w:noWrap/>
            <w:vAlign w:val="bottom"/>
            <w:hideMark/>
          </w:tcPr>
          <w:p w14:paraId="03FA8C0E"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40</w:t>
            </w:r>
          </w:p>
        </w:tc>
        <w:tc>
          <w:tcPr>
            <w:tcW w:w="1294" w:type="dxa"/>
            <w:shd w:val="clear" w:color="auto" w:fill="auto"/>
            <w:noWrap/>
            <w:vAlign w:val="bottom"/>
            <w:hideMark/>
          </w:tcPr>
          <w:p w14:paraId="3DDBB0F4" w14:textId="2553E38A" w:rsidR="00AF1189" w:rsidRPr="002B5935" w:rsidRDefault="005538E0" w:rsidP="002B5935">
            <w:pPr>
              <w:spacing w:after="120" w:line="240" w:lineRule="auto"/>
              <w:jc w:val="center"/>
              <w:rPr>
                <w:rFonts w:cs="Times New Roman"/>
                <w:b/>
                <w:bCs/>
                <w:sz w:val="20"/>
                <w:szCs w:val="20"/>
                <w:lang w:val="sr-Cyrl-RS"/>
              </w:rPr>
            </w:pPr>
            <w:r>
              <w:rPr>
                <w:rFonts w:cs="Times New Roman"/>
                <w:b/>
                <w:bCs/>
                <w:sz w:val="20"/>
                <w:szCs w:val="20"/>
              </w:rPr>
              <w:t>4</w:t>
            </w:r>
            <w:r w:rsidR="002B5935">
              <w:rPr>
                <w:rFonts w:cs="Times New Roman"/>
                <w:b/>
                <w:bCs/>
                <w:sz w:val="20"/>
                <w:szCs w:val="20"/>
                <w:lang w:val="sr-Cyrl-RS"/>
              </w:rPr>
              <w:t>29</w:t>
            </w:r>
          </w:p>
        </w:tc>
        <w:tc>
          <w:tcPr>
            <w:tcW w:w="1294" w:type="dxa"/>
            <w:shd w:val="clear" w:color="auto" w:fill="auto"/>
            <w:noWrap/>
            <w:vAlign w:val="bottom"/>
            <w:hideMark/>
          </w:tcPr>
          <w:p w14:paraId="30205F80" w14:textId="77777777" w:rsidR="00AF1189" w:rsidRPr="00CD46D4" w:rsidRDefault="00AF1189" w:rsidP="00F10AC7">
            <w:pPr>
              <w:spacing w:after="120" w:line="240" w:lineRule="auto"/>
              <w:jc w:val="center"/>
              <w:rPr>
                <w:rFonts w:cs="Times New Roman"/>
                <w:b/>
                <w:bCs/>
                <w:sz w:val="20"/>
                <w:szCs w:val="20"/>
              </w:rPr>
            </w:pPr>
            <w:r w:rsidRPr="00CD46D4">
              <w:rPr>
                <w:rFonts w:cs="Times New Roman"/>
                <w:b/>
                <w:bCs/>
                <w:sz w:val="20"/>
                <w:szCs w:val="20"/>
              </w:rPr>
              <w:t>128</w:t>
            </w:r>
          </w:p>
        </w:tc>
        <w:tc>
          <w:tcPr>
            <w:tcW w:w="1294" w:type="dxa"/>
            <w:shd w:val="clear" w:color="auto" w:fill="auto"/>
            <w:noWrap/>
            <w:vAlign w:val="bottom"/>
            <w:hideMark/>
          </w:tcPr>
          <w:p w14:paraId="64FC89B0" w14:textId="07776F52" w:rsidR="00AF1189" w:rsidRPr="002B5935" w:rsidRDefault="005538E0" w:rsidP="002B5935">
            <w:pPr>
              <w:spacing w:after="120" w:line="240" w:lineRule="auto"/>
              <w:jc w:val="center"/>
              <w:rPr>
                <w:rFonts w:cs="Times New Roman"/>
                <w:b/>
                <w:bCs/>
                <w:sz w:val="20"/>
                <w:szCs w:val="20"/>
                <w:lang w:val="sr-Cyrl-RS"/>
              </w:rPr>
            </w:pPr>
            <w:r>
              <w:rPr>
                <w:rFonts w:cs="Times New Roman"/>
                <w:b/>
                <w:bCs/>
                <w:sz w:val="20"/>
                <w:szCs w:val="20"/>
              </w:rPr>
              <w:t>61</w:t>
            </w:r>
            <w:r w:rsidR="002B5935">
              <w:rPr>
                <w:rFonts w:cs="Times New Roman"/>
                <w:b/>
                <w:bCs/>
                <w:sz w:val="20"/>
                <w:szCs w:val="20"/>
                <w:lang w:val="sr-Cyrl-RS"/>
              </w:rPr>
              <w:t>7</w:t>
            </w:r>
          </w:p>
        </w:tc>
      </w:tr>
      <w:tr w:rsidR="00AF1189" w:rsidRPr="00CD46D4" w14:paraId="68B30E96" w14:textId="77777777" w:rsidTr="00AF1189">
        <w:trPr>
          <w:trHeight w:val="300"/>
          <w:jc w:val="center"/>
        </w:trPr>
        <w:tc>
          <w:tcPr>
            <w:tcW w:w="2880" w:type="dxa"/>
            <w:shd w:val="clear" w:color="auto" w:fill="auto"/>
            <w:noWrap/>
            <w:vAlign w:val="bottom"/>
            <w:hideMark/>
          </w:tcPr>
          <w:p w14:paraId="41D91597" w14:textId="77777777" w:rsidR="00AF1189" w:rsidRPr="00CD46D4" w:rsidRDefault="00AF1189" w:rsidP="00F10AC7">
            <w:pPr>
              <w:spacing w:after="120" w:line="240" w:lineRule="auto"/>
              <w:ind w:firstLineChars="100" w:firstLine="200"/>
              <w:jc w:val="center"/>
              <w:rPr>
                <w:rFonts w:cs="Times New Roman"/>
                <w:color w:val="000000"/>
                <w:sz w:val="20"/>
                <w:szCs w:val="20"/>
              </w:rPr>
            </w:pPr>
            <w:r w:rsidRPr="00CD46D4">
              <w:rPr>
                <w:rFonts w:cs="Times New Roman"/>
                <w:color w:val="000000"/>
                <w:sz w:val="20"/>
                <w:szCs w:val="20"/>
              </w:rPr>
              <w:t>Босна и Херцеговина</w:t>
            </w:r>
          </w:p>
        </w:tc>
        <w:tc>
          <w:tcPr>
            <w:tcW w:w="1294" w:type="dxa"/>
            <w:shd w:val="clear" w:color="auto" w:fill="auto"/>
            <w:noWrap/>
            <w:vAlign w:val="bottom"/>
            <w:hideMark/>
          </w:tcPr>
          <w:p w14:paraId="401E07D7"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4</w:t>
            </w:r>
          </w:p>
        </w:tc>
        <w:tc>
          <w:tcPr>
            <w:tcW w:w="1294" w:type="dxa"/>
            <w:shd w:val="clear" w:color="auto" w:fill="auto"/>
            <w:noWrap/>
            <w:vAlign w:val="bottom"/>
            <w:hideMark/>
          </w:tcPr>
          <w:p w14:paraId="5B1F8F9B"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28</w:t>
            </w:r>
          </w:p>
        </w:tc>
        <w:tc>
          <w:tcPr>
            <w:tcW w:w="1294" w:type="dxa"/>
            <w:shd w:val="clear" w:color="auto" w:fill="auto"/>
            <w:noWrap/>
            <w:vAlign w:val="bottom"/>
            <w:hideMark/>
          </w:tcPr>
          <w:p w14:paraId="64D5189B" w14:textId="77777777" w:rsidR="00AF1189" w:rsidRPr="00CD46D4" w:rsidRDefault="00AF1189" w:rsidP="00F10AC7">
            <w:pPr>
              <w:spacing w:after="120" w:line="240" w:lineRule="auto"/>
              <w:jc w:val="center"/>
              <w:rPr>
                <w:rFonts w:cs="Times New Roman"/>
                <w:sz w:val="20"/>
                <w:szCs w:val="20"/>
              </w:rPr>
            </w:pPr>
            <w:r w:rsidRPr="00CD46D4">
              <w:rPr>
                <w:rFonts w:cs="Times New Roman"/>
                <w:sz w:val="20"/>
                <w:szCs w:val="20"/>
              </w:rPr>
              <w:t>206</w:t>
            </w:r>
          </w:p>
        </w:tc>
        <w:tc>
          <w:tcPr>
            <w:tcW w:w="1294" w:type="dxa"/>
            <w:shd w:val="clear" w:color="auto" w:fill="auto"/>
            <w:noWrap/>
            <w:vAlign w:val="bottom"/>
            <w:hideMark/>
          </w:tcPr>
          <w:p w14:paraId="5E1DD058" w14:textId="77777777" w:rsidR="00AF1189" w:rsidRPr="00CD46D4" w:rsidRDefault="00AF1189" w:rsidP="00F10AC7">
            <w:pPr>
              <w:spacing w:after="120" w:line="240" w:lineRule="auto"/>
              <w:jc w:val="center"/>
              <w:rPr>
                <w:rFonts w:cs="Times New Roman"/>
                <w:sz w:val="20"/>
                <w:szCs w:val="20"/>
              </w:rPr>
            </w:pPr>
            <w:r w:rsidRPr="00CD46D4">
              <w:rPr>
                <w:rFonts w:cs="Times New Roman"/>
                <w:sz w:val="20"/>
                <w:szCs w:val="20"/>
              </w:rPr>
              <w:t>55</w:t>
            </w:r>
          </w:p>
        </w:tc>
        <w:tc>
          <w:tcPr>
            <w:tcW w:w="1294" w:type="dxa"/>
            <w:shd w:val="clear" w:color="auto" w:fill="auto"/>
            <w:noWrap/>
            <w:vAlign w:val="bottom"/>
            <w:hideMark/>
          </w:tcPr>
          <w:p w14:paraId="38CE983C" w14:textId="77777777" w:rsidR="00AF1189" w:rsidRPr="00CD46D4" w:rsidRDefault="00AF1189" w:rsidP="00F10AC7">
            <w:pPr>
              <w:spacing w:after="120" w:line="240" w:lineRule="auto"/>
              <w:jc w:val="center"/>
              <w:rPr>
                <w:rFonts w:cs="Times New Roman"/>
                <w:b/>
                <w:bCs/>
                <w:sz w:val="20"/>
                <w:szCs w:val="20"/>
              </w:rPr>
            </w:pPr>
            <w:r w:rsidRPr="00CD46D4">
              <w:rPr>
                <w:rFonts w:cs="Times New Roman"/>
                <w:b/>
                <w:bCs/>
                <w:sz w:val="20"/>
                <w:szCs w:val="20"/>
              </w:rPr>
              <w:t>293</w:t>
            </w:r>
          </w:p>
        </w:tc>
      </w:tr>
      <w:tr w:rsidR="00AF1189" w:rsidRPr="00CD46D4" w14:paraId="04184DDC" w14:textId="77777777" w:rsidTr="00AF1189">
        <w:trPr>
          <w:trHeight w:val="300"/>
          <w:jc w:val="center"/>
        </w:trPr>
        <w:tc>
          <w:tcPr>
            <w:tcW w:w="2880" w:type="dxa"/>
            <w:shd w:val="clear" w:color="auto" w:fill="auto"/>
            <w:noWrap/>
            <w:vAlign w:val="bottom"/>
            <w:hideMark/>
          </w:tcPr>
          <w:p w14:paraId="384373B3" w14:textId="77777777" w:rsidR="00AF1189" w:rsidRPr="00CD46D4" w:rsidRDefault="00AF1189" w:rsidP="00F10AC7">
            <w:pPr>
              <w:spacing w:after="120" w:line="240" w:lineRule="auto"/>
              <w:ind w:firstLineChars="100" w:firstLine="200"/>
              <w:jc w:val="center"/>
              <w:rPr>
                <w:rFonts w:cs="Times New Roman"/>
                <w:color w:val="000000"/>
                <w:sz w:val="20"/>
                <w:szCs w:val="20"/>
              </w:rPr>
            </w:pPr>
            <w:r w:rsidRPr="00CD46D4">
              <w:rPr>
                <w:rFonts w:cs="Times New Roman"/>
                <w:color w:val="000000"/>
                <w:sz w:val="20"/>
                <w:szCs w:val="20"/>
              </w:rPr>
              <w:t>Република Северна Македонија</w:t>
            </w:r>
          </w:p>
        </w:tc>
        <w:tc>
          <w:tcPr>
            <w:tcW w:w="1294" w:type="dxa"/>
            <w:shd w:val="clear" w:color="auto" w:fill="auto"/>
            <w:vAlign w:val="bottom"/>
          </w:tcPr>
          <w:p w14:paraId="0EBA6063"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0</w:t>
            </w:r>
          </w:p>
        </w:tc>
        <w:tc>
          <w:tcPr>
            <w:tcW w:w="1294" w:type="dxa"/>
            <w:shd w:val="clear" w:color="auto" w:fill="auto"/>
            <w:noWrap/>
            <w:vAlign w:val="bottom"/>
            <w:hideMark/>
          </w:tcPr>
          <w:p w14:paraId="1F107EF3"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1</w:t>
            </w:r>
          </w:p>
        </w:tc>
        <w:tc>
          <w:tcPr>
            <w:tcW w:w="1294" w:type="dxa"/>
            <w:shd w:val="clear" w:color="auto" w:fill="auto"/>
            <w:noWrap/>
            <w:vAlign w:val="bottom"/>
            <w:hideMark/>
          </w:tcPr>
          <w:p w14:paraId="56E2E09B" w14:textId="77777777" w:rsidR="00AF1189" w:rsidRPr="00CD46D4" w:rsidRDefault="00AF1189" w:rsidP="00F10AC7">
            <w:pPr>
              <w:spacing w:after="120" w:line="240" w:lineRule="auto"/>
              <w:jc w:val="center"/>
              <w:rPr>
                <w:rFonts w:cs="Times New Roman"/>
                <w:sz w:val="20"/>
                <w:szCs w:val="20"/>
              </w:rPr>
            </w:pPr>
            <w:r w:rsidRPr="00CD46D4">
              <w:rPr>
                <w:rFonts w:cs="Times New Roman"/>
                <w:sz w:val="20"/>
                <w:szCs w:val="20"/>
              </w:rPr>
              <w:t>0</w:t>
            </w:r>
          </w:p>
        </w:tc>
        <w:tc>
          <w:tcPr>
            <w:tcW w:w="1294" w:type="dxa"/>
            <w:shd w:val="clear" w:color="auto" w:fill="auto"/>
            <w:noWrap/>
            <w:vAlign w:val="bottom"/>
            <w:hideMark/>
          </w:tcPr>
          <w:p w14:paraId="58CF7A37" w14:textId="77777777" w:rsidR="00AF1189" w:rsidRPr="00CD46D4" w:rsidRDefault="00AF1189" w:rsidP="00F10AC7">
            <w:pPr>
              <w:spacing w:after="120" w:line="240" w:lineRule="auto"/>
              <w:jc w:val="center"/>
              <w:rPr>
                <w:rFonts w:cs="Times New Roman"/>
                <w:sz w:val="20"/>
                <w:szCs w:val="20"/>
              </w:rPr>
            </w:pPr>
            <w:r w:rsidRPr="00CD46D4">
              <w:rPr>
                <w:rFonts w:cs="Times New Roman"/>
                <w:sz w:val="20"/>
                <w:szCs w:val="20"/>
              </w:rPr>
              <w:t>0</w:t>
            </w:r>
          </w:p>
        </w:tc>
        <w:tc>
          <w:tcPr>
            <w:tcW w:w="1294" w:type="dxa"/>
            <w:shd w:val="clear" w:color="auto" w:fill="auto"/>
            <w:noWrap/>
            <w:vAlign w:val="bottom"/>
            <w:hideMark/>
          </w:tcPr>
          <w:p w14:paraId="2A907D01" w14:textId="77777777" w:rsidR="00AF1189" w:rsidRPr="00CD46D4" w:rsidRDefault="00AF1189" w:rsidP="00F10AC7">
            <w:pPr>
              <w:spacing w:after="120" w:line="240" w:lineRule="auto"/>
              <w:jc w:val="center"/>
              <w:rPr>
                <w:rFonts w:cs="Times New Roman"/>
                <w:b/>
                <w:bCs/>
                <w:sz w:val="20"/>
                <w:szCs w:val="20"/>
              </w:rPr>
            </w:pPr>
            <w:r w:rsidRPr="00CD46D4">
              <w:rPr>
                <w:rFonts w:cs="Times New Roman"/>
                <w:b/>
                <w:bCs/>
                <w:sz w:val="20"/>
                <w:szCs w:val="20"/>
              </w:rPr>
              <w:t>1</w:t>
            </w:r>
          </w:p>
        </w:tc>
      </w:tr>
      <w:tr w:rsidR="00AF1189" w:rsidRPr="00CD46D4" w14:paraId="7D9E0163" w14:textId="77777777" w:rsidTr="00AF1189">
        <w:trPr>
          <w:trHeight w:val="300"/>
          <w:jc w:val="center"/>
        </w:trPr>
        <w:tc>
          <w:tcPr>
            <w:tcW w:w="2880" w:type="dxa"/>
            <w:shd w:val="clear" w:color="auto" w:fill="auto"/>
            <w:noWrap/>
            <w:vAlign w:val="bottom"/>
            <w:hideMark/>
          </w:tcPr>
          <w:p w14:paraId="336F90C4" w14:textId="77777777" w:rsidR="00AF1189" w:rsidRPr="00CD46D4" w:rsidRDefault="00AF1189" w:rsidP="00F10AC7">
            <w:pPr>
              <w:spacing w:after="120" w:line="240" w:lineRule="auto"/>
              <w:ind w:firstLineChars="100" w:firstLine="200"/>
              <w:jc w:val="center"/>
              <w:rPr>
                <w:rFonts w:cs="Times New Roman"/>
                <w:color w:val="000000"/>
                <w:sz w:val="20"/>
                <w:szCs w:val="20"/>
              </w:rPr>
            </w:pPr>
            <w:r w:rsidRPr="00CD46D4">
              <w:rPr>
                <w:rFonts w:cs="Times New Roman"/>
                <w:color w:val="000000"/>
                <w:sz w:val="20"/>
                <w:szCs w:val="20"/>
              </w:rPr>
              <w:t>Република Хрватска</w:t>
            </w:r>
          </w:p>
        </w:tc>
        <w:tc>
          <w:tcPr>
            <w:tcW w:w="1294" w:type="dxa"/>
            <w:shd w:val="clear" w:color="auto" w:fill="auto"/>
            <w:noWrap/>
            <w:vAlign w:val="bottom"/>
            <w:hideMark/>
          </w:tcPr>
          <w:p w14:paraId="5A11909C"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12</w:t>
            </w:r>
          </w:p>
        </w:tc>
        <w:tc>
          <w:tcPr>
            <w:tcW w:w="1294" w:type="dxa"/>
            <w:shd w:val="clear" w:color="auto" w:fill="auto"/>
            <w:noWrap/>
            <w:vAlign w:val="bottom"/>
            <w:hideMark/>
          </w:tcPr>
          <w:p w14:paraId="6EE58F9A"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11</w:t>
            </w:r>
          </w:p>
        </w:tc>
        <w:tc>
          <w:tcPr>
            <w:tcW w:w="1294" w:type="dxa"/>
            <w:shd w:val="clear" w:color="auto" w:fill="auto"/>
            <w:noWrap/>
            <w:vAlign w:val="bottom"/>
            <w:hideMark/>
          </w:tcPr>
          <w:p w14:paraId="77C30C77" w14:textId="77777777" w:rsidR="00AF1189" w:rsidRPr="00CD46D4" w:rsidRDefault="00AF1189" w:rsidP="00F10AC7">
            <w:pPr>
              <w:spacing w:after="120" w:line="240" w:lineRule="auto"/>
              <w:jc w:val="center"/>
              <w:rPr>
                <w:rFonts w:cs="Times New Roman"/>
                <w:sz w:val="20"/>
                <w:szCs w:val="20"/>
              </w:rPr>
            </w:pPr>
            <w:r w:rsidRPr="00CD46D4">
              <w:rPr>
                <w:rFonts w:cs="Times New Roman"/>
                <w:sz w:val="20"/>
                <w:szCs w:val="20"/>
              </w:rPr>
              <w:t>210</w:t>
            </w:r>
          </w:p>
        </w:tc>
        <w:tc>
          <w:tcPr>
            <w:tcW w:w="1294" w:type="dxa"/>
            <w:shd w:val="clear" w:color="auto" w:fill="auto"/>
            <w:noWrap/>
            <w:vAlign w:val="bottom"/>
            <w:hideMark/>
          </w:tcPr>
          <w:p w14:paraId="10C22573" w14:textId="77777777" w:rsidR="00AF1189" w:rsidRPr="00CD46D4" w:rsidRDefault="00AF1189" w:rsidP="00F10AC7">
            <w:pPr>
              <w:spacing w:after="120" w:line="240" w:lineRule="auto"/>
              <w:jc w:val="center"/>
              <w:rPr>
                <w:rFonts w:cs="Times New Roman"/>
                <w:sz w:val="20"/>
                <w:szCs w:val="20"/>
              </w:rPr>
            </w:pPr>
            <w:r w:rsidRPr="00CD46D4">
              <w:rPr>
                <w:rFonts w:cs="Times New Roman"/>
                <w:sz w:val="20"/>
                <w:szCs w:val="20"/>
              </w:rPr>
              <w:t>71</w:t>
            </w:r>
          </w:p>
        </w:tc>
        <w:tc>
          <w:tcPr>
            <w:tcW w:w="1294" w:type="dxa"/>
            <w:shd w:val="clear" w:color="auto" w:fill="auto"/>
            <w:noWrap/>
            <w:vAlign w:val="bottom"/>
            <w:hideMark/>
          </w:tcPr>
          <w:p w14:paraId="032355C4" w14:textId="77777777" w:rsidR="00AF1189" w:rsidRPr="00CD46D4" w:rsidRDefault="00AF1189" w:rsidP="00F10AC7">
            <w:pPr>
              <w:spacing w:after="120" w:line="240" w:lineRule="auto"/>
              <w:jc w:val="center"/>
              <w:rPr>
                <w:rFonts w:cs="Times New Roman"/>
                <w:b/>
                <w:bCs/>
                <w:sz w:val="20"/>
                <w:szCs w:val="20"/>
              </w:rPr>
            </w:pPr>
            <w:r w:rsidRPr="00CD46D4">
              <w:rPr>
                <w:rFonts w:cs="Times New Roman"/>
                <w:b/>
                <w:bCs/>
                <w:sz w:val="20"/>
                <w:szCs w:val="20"/>
              </w:rPr>
              <w:t>304</w:t>
            </w:r>
          </w:p>
        </w:tc>
      </w:tr>
      <w:tr w:rsidR="00AF1189" w:rsidRPr="00CD46D4" w14:paraId="15EEB5E3" w14:textId="77777777" w:rsidTr="00AF1189">
        <w:trPr>
          <w:trHeight w:val="300"/>
          <w:jc w:val="center"/>
        </w:trPr>
        <w:tc>
          <w:tcPr>
            <w:tcW w:w="2880" w:type="dxa"/>
            <w:shd w:val="clear" w:color="auto" w:fill="auto"/>
            <w:noWrap/>
            <w:vAlign w:val="bottom"/>
            <w:hideMark/>
          </w:tcPr>
          <w:p w14:paraId="31A83438" w14:textId="77777777" w:rsidR="00AF1189" w:rsidRPr="00CD46D4" w:rsidRDefault="00AF1189" w:rsidP="00F10AC7">
            <w:pPr>
              <w:spacing w:after="120" w:line="240" w:lineRule="auto"/>
              <w:ind w:firstLineChars="100" w:firstLine="200"/>
              <w:jc w:val="center"/>
              <w:rPr>
                <w:rFonts w:cs="Times New Roman"/>
                <w:color w:val="000000"/>
                <w:sz w:val="20"/>
                <w:szCs w:val="20"/>
              </w:rPr>
            </w:pPr>
            <w:r w:rsidRPr="00CD46D4">
              <w:rPr>
                <w:rFonts w:cs="Times New Roman"/>
                <w:color w:val="000000"/>
                <w:sz w:val="20"/>
                <w:szCs w:val="20"/>
              </w:rPr>
              <w:t>Црна Гора</w:t>
            </w:r>
          </w:p>
        </w:tc>
        <w:tc>
          <w:tcPr>
            <w:tcW w:w="1294" w:type="dxa"/>
            <w:shd w:val="clear" w:color="auto" w:fill="auto"/>
            <w:noWrap/>
            <w:vAlign w:val="bottom"/>
            <w:hideMark/>
          </w:tcPr>
          <w:p w14:paraId="1CE81F7D"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4</w:t>
            </w:r>
          </w:p>
        </w:tc>
        <w:tc>
          <w:tcPr>
            <w:tcW w:w="1294" w:type="dxa"/>
            <w:shd w:val="clear" w:color="auto" w:fill="auto"/>
            <w:noWrap/>
            <w:vAlign w:val="bottom"/>
            <w:hideMark/>
          </w:tcPr>
          <w:p w14:paraId="100CBB68" w14:textId="77777777" w:rsidR="00AF1189" w:rsidRPr="00CD46D4" w:rsidRDefault="00AF1189" w:rsidP="00F10AC7">
            <w:pPr>
              <w:spacing w:after="120" w:line="240" w:lineRule="auto"/>
              <w:jc w:val="center"/>
              <w:rPr>
                <w:rFonts w:cs="Times New Roman"/>
                <w:color w:val="000000"/>
                <w:sz w:val="20"/>
                <w:szCs w:val="20"/>
              </w:rPr>
            </w:pPr>
            <w:r w:rsidRPr="00CD46D4">
              <w:rPr>
                <w:rFonts w:cs="Times New Roman"/>
                <w:color w:val="000000"/>
                <w:sz w:val="20"/>
                <w:szCs w:val="20"/>
              </w:rPr>
              <w:t>0</w:t>
            </w:r>
          </w:p>
        </w:tc>
        <w:tc>
          <w:tcPr>
            <w:tcW w:w="1294" w:type="dxa"/>
            <w:shd w:val="clear" w:color="auto" w:fill="auto"/>
            <w:noWrap/>
            <w:vAlign w:val="bottom"/>
            <w:hideMark/>
          </w:tcPr>
          <w:p w14:paraId="537E32B6" w14:textId="77777777" w:rsidR="00AF1189" w:rsidRPr="00CD46D4" w:rsidRDefault="00AF1189" w:rsidP="00F10AC7">
            <w:pPr>
              <w:spacing w:after="120" w:line="240" w:lineRule="auto"/>
              <w:jc w:val="center"/>
              <w:rPr>
                <w:rFonts w:cs="Times New Roman"/>
                <w:sz w:val="20"/>
                <w:szCs w:val="20"/>
              </w:rPr>
            </w:pPr>
            <w:r w:rsidRPr="00CD46D4">
              <w:rPr>
                <w:rFonts w:cs="Times New Roman"/>
                <w:sz w:val="20"/>
                <w:szCs w:val="20"/>
              </w:rPr>
              <w:t>13</w:t>
            </w:r>
          </w:p>
        </w:tc>
        <w:tc>
          <w:tcPr>
            <w:tcW w:w="1294" w:type="dxa"/>
            <w:shd w:val="clear" w:color="auto" w:fill="auto"/>
            <w:noWrap/>
            <w:vAlign w:val="bottom"/>
            <w:hideMark/>
          </w:tcPr>
          <w:p w14:paraId="2B6C5738" w14:textId="77777777" w:rsidR="00AF1189" w:rsidRPr="00CD46D4" w:rsidRDefault="00AF1189" w:rsidP="00F10AC7">
            <w:pPr>
              <w:spacing w:after="120" w:line="240" w:lineRule="auto"/>
              <w:jc w:val="center"/>
              <w:rPr>
                <w:rFonts w:cs="Times New Roman"/>
                <w:sz w:val="20"/>
                <w:szCs w:val="20"/>
              </w:rPr>
            </w:pPr>
            <w:r w:rsidRPr="00CD46D4">
              <w:rPr>
                <w:rFonts w:cs="Times New Roman"/>
                <w:sz w:val="20"/>
                <w:szCs w:val="20"/>
              </w:rPr>
              <w:t>2</w:t>
            </w:r>
          </w:p>
        </w:tc>
        <w:tc>
          <w:tcPr>
            <w:tcW w:w="1294" w:type="dxa"/>
            <w:shd w:val="clear" w:color="auto" w:fill="auto"/>
            <w:noWrap/>
            <w:vAlign w:val="bottom"/>
            <w:hideMark/>
          </w:tcPr>
          <w:p w14:paraId="765AD6C8" w14:textId="77777777" w:rsidR="00AF1189" w:rsidRPr="00CD46D4" w:rsidRDefault="00AF1189" w:rsidP="00F10AC7">
            <w:pPr>
              <w:spacing w:after="120" w:line="240" w:lineRule="auto"/>
              <w:jc w:val="center"/>
              <w:rPr>
                <w:rFonts w:cs="Times New Roman"/>
                <w:b/>
                <w:bCs/>
                <w:sz w:val="20"/>
                <w:szCs w:val="20"/>
              </w:rPr>
            </w:pPr>
            <w:r w:rsidRPr="00CD46D4">
              <w:rPr>
                <w:rFonts w:cs="Times New Roman"/>
                <w:b/>
                <w:bCs/>
                <w:sz w:val="20"/>
                <w:szCs w:val="20"/>
              </w:rPr>
              <w:t>19</w:t>
            </w:r>
          </w:p>
        </w:tc>
      </w:tr>
      <w:tr w:rsidR="00AF1189" w:rsidRPr="00CD46D4" w14:paraId="041B61E8" w14:textId="77777777" w:rsidTr="00AF1189">
        <w:trPr>
          <w:trHeight w:val="300"/>
          <w:jc w:val="center"/>
        </w:trPr>
        <w:tc>
          <w:tcPr>
            <w:tcW w:w="2880" w:type="dxa"/>
            <w:shd w:val="clear" w:color="D9E1F2" w:fill="D9E1F2"/>
            <w:noWrap/>
            <w:vAlign w:val="bottom"/>
            <w:hideMark/>
          </w:tcPr>
          <w:p w14:paraId="01C4896E"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Укупно</w:t>
            </w:r>
          </w:p>
        </w:tc>
        <w:tc>
          <w:tcPr>
            <w:tcW w:w="1294" w:type="dxa"/>
            <w:shd w:val="clear" w:color="D9E1F2" w:fill="D9E1F2"/>
            <w:noWrap/>
            <w:vAlign w:val="bottom"/>
            <w:hideMark/>
          </w:tcPr>
          <w:p w14:paraId="6BD8EAC5"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35</w:t>
            </w:r>
          </w:p>
        </w:tc>
        <w:tc>
          <w:tcPr>
            <w:tcW w:w="1294" w:type="dxa"/>
            <w:shd w:val="clear" w:color="D9E1F2" w:fill="D9E1F2"/>
            <w:noWrap/>
            <w:vAlign w:val="bottom"/>
            <w:hideMark/>
          </w:tcPr>
          <w:p w14:paraId="7BB36F0B" w14:textId="77777777" w:rsidR="00AF1189" w:rsidRPr="00CD46D4" w:rsidRDefault="00AF1189" w:rsidP="00F10AC7">
            <w:pPr>
              <w:spacing w:after="120" w:line="240" w:lineRule="auto"/>
              <w:jc w:val="center"/>
              <w:rPr>
                <w:rFonts w:cs="Times New Roman"/>
                <w:b/>
                <w:bCs/>
                <w:color w:val="000000"/>
                <w:sz w:val="20"/>
                <w:szCs w:val="20"/>
              </w:rPr>
            </w:pPr>
            <w:r w:rsidRPr="00CD46D4">
              <w:rPr>
                <w:rFonts w:cs="Times New Roman"/>
                <w:b/>
                <w:bCs/>
                <w:color w:val="000000"/>
                <w:sz w:val="20"/>
                <w:szCs w:val="20"/>
              </w:rPr>
              <w:t>57</w:t>
            </w:r>
          </w:p>
        </w:tc>
        <w:tc>
          <w:tcPr>
            <w:tcW w:w="1294" w:type="dxa"/>
            <w:shd w:val="clear" w:color="D9E1F2" w:fill="D9E1F2"/>
            <w:noWrap/>
            <w:vAlign w:val="bottom"/>
            <w:hideMark/>
          </w:tcPr>
          <w:p w14:paraId="2DB7E3EC" w14:textId="77777777" w:rsidR="00AF1189" w:rsidRPr="00CD46D4" w:rsidRDefault="005538E0" w:rsidP="00F10AC7">
            <w:pPr>
              <w:spacing w:after="120" w:line="240" w:lineRule="auto"/>
              <w:jc w:val="center"/>
              <w:rPr>
                <w:rFonts w:cs="Times New Roman"/>
                <w:b/>
                <w:bCs/>
                <w:sz w:val="20"/>
                <w:szCs w:val="20"/>
              </w:rPr>
            </w:pPr>
            <w:r>
              <w:rPr>
                <w:rFonts w:cs="Times New Roman"/>
                <w:b/>
                <w:bCs/>
                <w:sz w:val="20"/>
                <w:szCs w:val="20"/>
              </w:rPr>
              <w:t>711</w:t>
            </w:r>
          </w:p>
        </w:tc>
        <w:tc>
          <w:tcPr>
            <w:tcW w:w="1294" w:type="dxa"/>
            <w:shd w:val="clear" w:color="D9E1F2" w:fill="D9E1F2"/>
            <w:noWrap/>
            <w:vAlign w:val="bottom"/>
            <w:hideMark/>
          </w:tcPr>
          <w:p w14:paraId="02AF9002" w14:textId="77777777" w:rsidR="00AF1189" w:rsidRPr="00CD46D4" w:rsidRDefault="00AF1189" w:rsidP="00F10AC7">
            <w:pPr>
              <w:spacing w:after="120" w:line="240" w:lineRule="auto"/>
              <w:jc w:val="center"/>
              <w:rPr>
                <w:rFonts w:cs="Times New Roman"/>
                <w:b/>
                <w:bCs/>
                <w:sz w:val="20"/>
                <w:szCs w:val="20"/>
              </w:rPr>
            </w:pPr>
            <w:r w:rsidRPr="00CD46D4">
              <w:rPr>
                <w:rFonts w:cs="Times New Roman"/>
                <w:b/>
                <w:bCs/>
                <w:sz w:val="20"/>
                <w:szCs w:val="20"/>
              </w:rPr>
              <w:t>172</w:t>
            </w:r>
          </w:p>
        </w:tc>
        <w:tc>
          <w:tcPr>
            <w:tcW w:w="1294" w:type="dxa"/>
            <w:shd w:val="clear" w:color="D9E1F2" w:fill="D9E1F2"/>
            <w:noWrap/>
            <w:vAlign w:val="bottom"/>
            <w:hideMark/>
          </w:tcPr>
          <w:p w14:paraId="243443D7" w14:textId="77777777" w:rsidR="00AF1189" w:rsidRPr="00CD46D4" w:rsidRDefault="005538E0" w:rsidP="00F10AC7">
            <w:pPr>
              <w:spacing w:after="120" w:line="240" w:lineRule="auto"/>
              <w:jc w:val="center"/>
              <w:rPr>
                <w:rFonts w:cs="Times New Roman"/>
                <w:b/>
                <w:bCs/>
                <w:sz w:val="20"/>
                <w:szCs w:val="20"/>
              </w:rPr>
            </w:pPr>
            <w:r>
              <w:rPr>
                <w:rFonts w:cs="Times New Roman"/>
                <w:b/>
                <w:bCs/>
                <w:sz w:val="20"/>
                <w:szCs w:val="20"/>
              </w:rPr>
              <w:t>975</w:t>
            </w:r>
          </w:p>
        </w:tc>
      </w:tr>
    </w:tbl>
    <w:p w14:paraId="2987C0BF" w14:textId="77777777" w:rsidR="00AD36AA" w:rsidRPr="00CD46D4" w:rsidRDefault="00AD36AA" w:rsidP="00F10AC7">
      <w:pPr>
        <w:spacing w:after="120" w:line="240" w:lineRule="auto"/>
        <w:rPr>
          <w:rFonts w:cs="Times New Roman"/>
        </w:rPr>
      </w:pPr>
    </w:p>
    <w:p w14:paraId="57FA3375" w14:textId="77777777" w:rsidR="00AD36AA" w:rsidRPr="00FD6B73" w:rsidRDefault="00AF1189" w:rsidP="00F10AC7">
      <w:pPr>
        <w:spacing w:after="120" w:line="240" w:lineRule="auto"/>
        <w:rPr>
          <w:rFonts w:cs="Times New Roman"/>
          <w:lang w:val="ru-RU"/>
        </w:rPr>
      </w:pPr>
      <w:r w:rsidRPr="00FD6B73">
        <w:rPr>
          <w:rFonts w:cs="Times New Roman"/>
          <w:lang w:val="ru-RU"/>
        </w:rPr>
        <w:t>Подаци приказани на Графику 13 показују да је процес текао успешно, при чему је укупно, посматрано на обостраном нивоу, делимично или у потпуности удовољено око 76% замолница.</w:t>
      </w:r>
    </w:p>
    <w:p w14:paraId="3494E1B4" w14:textId="42CCE220" w:rsidR="00AF1189" w:rsidRPr="00FD6B73" w:rsidRDefault="00AF1189" w:rsidP="00F10AC7">
      <w:pPr>
        <w:spacing w:after="120" w:line="240" w:lineRule="auto"/>
        <w:jc w:val="center"/>
        <w:rPr>
          <w:rFonts w:cs="Times New Roman"/>
          <w:sz w:val="20"/>
          <w:szCs w:val="20"/>
          <w:lang w:val="ru-RU"/>
        </w:rPr>
      </w:pPr>
      <w:r w:rsidRPr="00FD6B73">
        <w:rPr>
          <w:rFonts w:cs="Times New Roman"/>
          <w:sz w:val="20"/>
          <w:szCs w:val="20"/>
          <w:lang w:val="ru-RU"/>
        </w:rPr>
        <w:t xml:space="preserve">График 13: Укупна сарадња по замолницама у предметима за ратне злочине у периоду </w:t>
      </w:r>
      <w:r w:rsidR="00FA5C44">
        <w:rPr>
          <w:rFonts w:cs="Times New Roman"/>
          <w:sz w:val="20"/>
          <w:szCs w:val="20"/>
          <w:lang w:val="ru-RU"/>
        </w:rPr>
        <w:t xml:space="preserve">од 2016. до </w:t>
      </w:r>
      <w:r w:rsidRPr="00FD6B73">
        <w:rPr>
          <w:rFonts w:cs="Times New Roman"/>
          <w:sz w:val="20"/>
          <w:szCs w:val="20"/>
          <w:lang w:val="ru-RU"/>
        </w:rPr>
        <w:t>2020. године</w:t>
      </w:r>
    </w:p>
    <w:p w14:paraId="4EA373D5" w14:textId="77777777" w:rsidR="00AF1189" w:rsidRPr="00CD46D4" w:rsidRDefault="00AF1189" w:rsidP="00F10AC7">
      <w:pPr>
        <w:spacing w:after="120" w:line="240" w:lineRule="auto"/>
        <w:jc w:val="center"/>
        <w:rPr>
          <w:rFonts w:cs="Times New Roman"/>
        </w:rPr>
      </w:pPr>
      <w:r w:rsidRPr="008F3371">
        <w:rPr>
          <w:noProof/>
        </w:rPr>
        <w:drawing>
          <wp:inline distT="0" distB="0" distL="0" distR="0" wp14:anchorId="4FAFD319" wp14:editId="27424FF5">
            <wp:extent cx="5178398" cy="2926080"/>
            <wp:effectExtent l="0" t="0" r="3810" b="762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F9F8A1E" w14:textId="77777777" w:rsidR="00AF1189" w:rsidRPr="00FD6B73" w:rsidRDefault="00AF1189" w:rsidP="00F10AC7">
      <w:pPr>
        <w:spacing w:after="120" w:line="240" w:lineRule="auto"/>
        <w:rPr>
          <w:rFonts w:cs="Times New Roman"/>
          <w:lang w:val="ru-RU"/>
        </w:rPr>
      </w:pPr>
      <w:r w:rsidRPr="00FD6B73">
        <w:rPr>
          <w:rFonts w:cs="Times New Roman"/>
          <w:lang w:val="ru-RU"/>
        </w:rPr>
        <w:t xml:space="preserve">Поредећи структуру одлука по примљеним и упућеним замолницама, приказаној на Графицима 14 и 15 се уочава разлика у погледу структуре одлука по примљеним и упућеним замолницама и то у корист позитивних одлука по примљеним замолницама, будући да је Република Србија у чак 83% случајева у целости или делимично поступила </w:t>
      </w:r>
      <w:r w:rsidRPr="00FD6B73">
        <w:rPr>
          <w:rFonts w:cs="Times New Roman"/>
          <w:lang w:val="ru-RU"/>
        </w:rPr>
        <w:lastRenderedPageBreak/>
        <w:t>по примљеним замолницама, док је у погледу замолница које је упутила Република Србија овај проценат нешто нижи и износи 73%.</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665"/>
      </w:tblGrid>
      <w:tr w:rsidR="00272C5F" w:rsidRPr="00627105" w14:paraId="7FABB2C1" w14:textId="77777777" w:rsidTr="00BD350B">
        <w:trPr>
          <w:jc w:val="center"/>
        </w:trPr>
        <w:tc>
          <w:tcPr>
            <w:tcW w:w="4675" w:type="dxa"/>
          </w:tcPr>
          <w:p w14:paraId="568295A3" w14:textId="77777777" w:rsidR="00AF1189" w:rsidRPr="00FD6B73" w:rsidRDefault="00AF1189" w:rsidP="00F10AC7">
            <w:pPr>
              <w:spacing w:after="120"/>
              <w:rPr>
                <w:rFonts w:cs="Times New Roman"/>
                <w:lang w:val="ru-RU"/>
              </w:rPr>
            </w:pPr>
            <w:r w:rsidRPr="00FD6B73">
              <w:rPr>
                <w:rFonts w:cs="Times New Roman"/>
                <w:sz w:val="20"/>
                <w:szCs w:val="20"/>
                <w:lang w:val="ru-RU"/>
              </w:rPr>
              <w:t>График 14: Структура одлука по упућеним замолницама</w:t>
            </w:r>
          </w:p>
        </w:tc>
        <w:tc>
          <w:tcPr>
            <w:tcW w:w="4675" w:type="dxa"/>
          </w:tcPr>
          <w:p w14:paraId="6AB3680D" w14:textId="77777777" w:rsidR="00AF1189" w:rsidRPr="00FD6B73" w:rsidRDefault="00AF1189" w:rsidP="00F10AC7">
            <w:pPr>
              <w:spacing w:after="120"/>
              <w:rPr>
                <w:rFonts w:cs="Times New Roman"/>
                <w:lang w:val="ru-RU"/>
              </w:rPr>
            </w:pPr>
            <w:r w:rsidRPr="00FD6B73">
              <w:rPr>
                <w:rFonts w:cs="Times New Roman"/>
                <w:sz w:val="20"/>
                <w:szCs w:val="20"/>
                <w:lang w:val="ru-RU"/>
              </w:rPr>
              <w:t>График 15: Структура одлука по примљеним замолницама</w:t>
            </w:r>
          </w:p>
        </w:tc>
      </w:tr>
      <w:tr w:rsidR="00272C5F" w:rsidRPr="00CD46D4" w14:paraId="446CC413" w14:textId="77777777" w:rsidTr="00BD350B">
        <w:trPr>
          <w:jc w:val="center"/>
        </w:trPr>
        <w:tc>
          <w:tcPr>
            <w:tcW w:w="4675" w:type="dxa"/>
          </w:tcPr>
          <w:p w14:paraId="78F595DD" w14:textId="77777777" w:rsidR="00AF1189" w:rsidRPr="00CD46D4" w:rsidRDefault="00AF1189" w:rsidP="00F10AC7">
            <w:pPr>
              <w:spacing w:after="120"/>
              <w:rPr>
                <w:rFonts w:cs="Times New Roman"/>
              </w:rPr>
            </w:pPr>
            <w:r w:rsidRPr="008F3371">
              <w:rPr>
                <w:noProof/>
              </w:rPr>
              <w:drawing>
                <wp:inline distT="0" distB="0" distL="0" distR="0" wp14:anchorId="360236BB" wp14:editId="0DFA7DC7">
                  <wp:extent cx="2889250" cy="3234906"/>
                  <wp:effectExtent l="0" t="0" r="6350" b="381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4675" w:type="dxa"/>
          </w:tcPr>
          <w:p w14:paraId="008333F4" w14:textId="77777777" w:rsidR="00AF1189" w:rsidRPr="00CD46D4" w:rsidRDefault="00AF1189" w:rsidP="00F10AC7">
            <w:pPr>
              <w:spacing w:after="120"/>
              <w:rPr>
                <w:rFonts w:cs="Times New Roman"/>
              </w:rPr>
            </w:pPr>
            <w:r w:rsidRPr="008F3371">
              <w:rPr>
                <w:noProof/>
              </w:rPr>
              <w:drawing>
                <wp:inline distT="0" distB="0" distL="0" distR="0" wp14:anchorId="5DB7E69A" wp14:editId="73167B55">
                  <wp:extent cx="2870200" cy="3234690"/>
                  <wp:effectExtent l="0" t="0" r="6350" b="381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14:paraId="1BAADBBB" w14:textId="77777777" w:rsidR="00AF1189" w:rsidRPr="00CD46D4" w:rsidRDefault="00AF1189" w:rsidP="00F10AC7">
      <w:pPr>
        <w:spacing w:after="120" w:line="240" w:lineRule="auto"/>
        <w:rPr>
          <w:rFonts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F1189" w:rsidRPr="00627105" w14:paraId="0CD6B2D2" w14:textId="77777777" w:rsidTr="00AF1189">
        <w:tc>
          <w:tcPr>
            <w:tcW w:w="9350" w:type="dxa"/>
            <w:shd w:val="clear" w:color="auto" w:fill="DEEAF6" w:themeFill="accent1" w:themeFillTint="33"/>
          </w:tcPr>
          <w:p w14:paraId="04BC572D" w14:textId="77777777" w:rsidR="00AF1189" w:rsidRPr="00FD6B73" w:rsidRDefault="00AF1189" w:rsidP="00F10AC7">
            <w:pPr>
              <w:spacing w:after="120"/>
              <w:rPr>
                <w:rFonts w:cs="Times New Roman"/>
                <w:lang w:val="ru-RU"/>
              </w:rPr>
            </w:pPr>
            <w:r w:rsidRPr="00FD6B73">
              <w:rPr>
                <w:rFonts w:cs="Times New Roman"/>
                <w:lang w:val="ru-RU"/>
              </w:rPr>
              <w:t>Примери добре праксе у развоју регионалне сарадње, успостављени у области откривања судбине несталих лица, могли би послужити као модел регионалног форума у усклађивању рада и унапређењу сарадње и у другим областима од значаја за процесуриање ратних злочина.</w:t>
            </w:r>
          </w:p>
          <w:p w14:paraId="4868FC57" w14:textId="77777777" w:rsidR="00AF1189" w:rsidRPr="00FD6B73" w:rsidRDefault="00AF1189" w:rsidP="00F10AC7">
            <w:pPr>
              <w:spacing w:after="120"/>
              <w:rPr>
                <w:rFonts w:cs="Times New Roman"/>
                <w:lang w:val="ru-RU"/>
              </w:rPr>
            </w:pPr>
            <w:r w:rsidRPr="00FD6B73">
              <w:rPr>
                <w:rFonts w:cs="Times New Roman"/>
                <w:lang w:val="ru-RU"/>
              </w:rPr>
              <w:t>Поред наведеног, постоји додатни простор за унапређење сарадње у погледу подршке жртвама и сведоцима.</w:t>
            </w:r>
          </w:p>
          <w:p w14:paraId="7EA568C6" w14:textId="0BF63E83" w:rsidR="00AF1189" w:rsidRPr="00FD6B73" w:rsidRDefault="00AF1189" w:rsidP="00F10AC7">
            <w:pPr>
              <w:spacing w:after="120"/>
              <w:rPr>
                <w:rFonts w:cs="Times New Roman"/>
                <w:lang w:val="ru-RU"/>
              </w:rPr>
            </w:pPr>
            <w:r w:rsidRPr="00FD6B73">
              <w:rPr>
                <w:rFonts w:cs="Times New Roman"/>
                <w:lang w:val="ru-RU"/>
              </w:rPr>
              <w:t>Статистички подаци о правној помоћи по меморандумима и споразумима показују недостатак реципроцитета и потребу отварања регионалног дијалога кроз који би се идентификовале и отклониле препреке да захтевима које упућује ТРЗ буде</w:t>
            </w:r>
            <w:r w:rsidR="002B5935">
              <w:rPr>
                <w:rFonts w:cs="Times New Roman"/>
                <w:lang w:val="ru-RU"/>
              </w:rPr>
              <w:t xml:space="preserve"> </w:t>
            </w:r>
            <w:r w:rsidRPr="00FD6B73">
              <w:rPr>
                <w:rFonts w:cs="Times New Roman"/>
                <w:lang w:val="ru-RU"/>
              </w:rPr>
              <w:t>удовољено у вишем проценту.</w:t>
            </w:r>
          </w:p>
          <w:p w14:paraId="2AB16599" w14:textId="77777777" w:rsidR="00AF1189" w:rsidRPr="00FD6B73" w:rsidRDefault="00AF1189" w:rsidP="00F10AC7">
            <w:pPr>
              <w:spacing w:after="120"/>
              <w:rPr>
                <w:rFonts w:cs="Times New Roman"/>
                <w:lang w:val="ru-RU"/>
              </w:rPr>
            </w:pPr>
            <w:r w:rsidRPr="00FD6B73">
              <w:rPr>
                <w:rFonts w:cs="Times New Roman"/>
                <w:lang w:val="ru-RU"/>
              </w:rPr>
              <w:t>Механизам успостављања заједничких тимова потребно је користити у свим предметима у којима би они могли допринети ефикаснијем прикупљању доказа и размени информација.</w:t>
            </w:r>
          </w:p>
          <w:p w14:paraId="7293672F" w14:textId="3C590B5E" w:rsidR="00AF1189" w:rsidRPr="00FD6B73" w:rsidRDefault="00AF1189" w:rsidP="00F10AC7">
            <w:pPr>
              <w:spacing w:after="120"/>
              <w:rPr>
                <w:rFonts w:cs="Times New Roman"/>
                <w:lang w:val="ru-RU"/>
              </w:rPr>
            </w:pPr>
            <w:r w:rsidRPr="00FD6B73">
              <w:rPr>
                <w:rFonts w:cs="Times New Roman"/>
                <w:lang w:val="ru-RU"/>
              </w:rPr>
              <w:t>Размена искустава судија и јавних тужилаца који поступају у предметима ратних злочина, од непроцењивог је значаја за унапређење ефикасности и квалитета њиховог рада.</w:t>
            </w:r>
          </w:p>
          <w:p w14:paraId="1BEA76A7" w14:textId="77777777" w:rsidR="006074A4" w:rsidRPr="00FD6B73" w:rsidRDefault="006074A4" w:rsidP="00F10AC7">
            <w:pPr>
              <w:spacing w:after="120"/>
              <w:rPr>
                <w:rFonts w:cs="Times New Roman"/>
                <w:lang w:val="ru-RU"/>
              </w:rPr>
            </w:pPr>
          </w:p>
        </w:tc>
      </w:tr>
    </w:tbl>
    <w:p w14:paraId="2396E713" w14:textId="77777777" w:rsidR="00AF1189" w:rsidRPr="00FD6B73" w:rsidRDefault="00AF1189" w:rsidP="00F10AC7">
      <w:pPr>
        <w:spacing w:after="120" w:line="240" w:lineRule="auto"/>
        <w:rPr>
          <w:rFonts w:cs="Times New Roman"/>
          <w:lang w:val="ru-RU"/>
        </w:rPr>
      </w:pPr>
    </w:p>
    <w:p w14:paraId="6F2B9400" w14:textId="77777777" w:rsidR="006074A4" w:rsidRPr="00FD6B73" w:rsidRDefault="006074A4" w:rsidP="00F10AC7">
      <w:pPr>
        <w:spacing w:after="120" w:line="240" w:lineRule="auto"/>
        <w:rPr>
          <w:rFonts w:cs="Times New Roman"/>
          <w:lang w:val="ru-RU"/>
        </w:rPr>
      </w:pPr>
    </w:p>
    <w:p w14:paraId="75D9A481" w14:textId="77777777" w:rsidR="006074A4" w:rsidRPr="00FD6B73" w:rsidRDefault="006074A4" w:rsidP="00F10AC7">
      <w:pPr>
        <w:spacing w:after="120" w:line="240" w:lineRule="auto"/>
        <w:rPr>
          <w:rFonts w:cs="Times New Roman"/>
          <w:lang w:val="ru-RU"/>
        </w:rPr>
      </w:pPr>
    </w:p>
    <w:p w14:paraId="3988E745" w14:textId="77777777" w:rsidR="00AF1189" w:rsidRPr="00FD6B73" w:rsidRDefault="00036EF3" w:rsidP="00F10AC7">
      <w:pPr>
        <w:pStyle w:val="Heading2"/>
        <w:numPr>
          <w:ilvl w:val="1"/>
          <w:numId w:val="1"/>
        </w:numPr>
        <w:spacing w:line="240" w:lineRule="auto"/>
        <w:rPr>
          <w:rFonts w:cs="Times New Roman"/>
          <w:lang w:val="ru-RU"/>
        </w:rPr>
      </w:pPr>
      <w:bookmarkStart w:id="56" w:name="_Toc69325795"/>
      <w:bookmarkStart w:id="57" w:name="_Toc72932075"/>
      <w:bookmarkStart w:id="58" w:name="_Toc84580782"/>
      <w:r w:rsidRPr="00FD6B73">
        <w:rPr>
          <w:rFonts w:cs="Times New Roman"/>
          <w:lang w:val="ru-RU"/>
        </w:rPr>
        <w:t>Унапређење укупног односа друштва према питању суђења за ратне злочине</w:t>
      </w:r>
      <w:bookmarkEnd w:id="56"/>
      <w:bookmarkEnd w:id="57"/>
      <w:bookmarkEnd w:id="58"/>
    </w:p>
    <w:p w14:paraId="541D0607" w14:textId="77777777" w:rsidR="00AF1189" w:rsidRPr="00FD6B73" w:rsidRDefault="00AF1189" w:rsidP="00F10AC7">
      <w:pPr>
        <w:spacing w:after="120" w:line="240" w:lineRule="auto"/>
        <w:rPr>
          <w:rFonts w:cs="Times New Roman"/>
          <w:lang w:val="ru-RU"/>
        </w:rPr>
      </w:pPr>
    </w:p>
    <w:p w14:paraId="787D0AB7" w14:textId="71E66134" w:rsidR="00AF1189" w:rsidRPr="00FD6B73" w:rsidRDefault="002B5935" w:rsidP="00F10AC7">
      <w:pPr>
        <w:spacing w:after="120" w:line="240" w:lineRule="auto"/>
        <w:rPr>
          <w:rFonts w:cs="Times New Roman"/>
          <w:bCs/>
          <w:lang w:val="ru-RU"/>
        </w:rPr>
      </w:pPr>
      <w:r>
        <w:rPr>
          <w:rFonts w:cs="Times New Roman"/>
          <w:bCs/>
          <w:lang w:val="ru-RU"/>
        </w:rPr>
        <w:t xml:space="preserve">У </w:t>
      </w:r>
      <w:r w:rsidR="00FA5C44">
        <w:rPr>
          <w:rFonts w:cs="Times New Roman"/>
          <w:bCs/>
          <w:lang w:val="ru-RU"/>
        </w:rPr>
        <w:t>НСПРЗ</w:t>
      </w:r>
      <w:r>
        <w:rPr>
          <w:rFonts w:cs="Times New Roman"/>
          <w:bCs/>
          <w:lang w:val="ru-RU"/>
        </w:rPr>
        <w:t xml:space="preserve"> се инсистирало </w:t>
      </w:r>
      <w:r w:rsidR="00AF1189" w:rsidRPr="00FD6B73">
        <w:rPr>
          <w:rFonts w:cs="Times New Roman"/>
          <w:bCs/>
          <w:lang w:val="ru-RU"/>
        </w:rPr>
        <w:t>на промени укупног односа друштва према питању суђења за ратне злочине</w:t>
      </w:r>
      <w:r w:rsidR="00AD4730" w:rsidRPr="00FD6B73">
        <w:rPr>
          <w:rFonts w:cs="Times New Roman"/>
          <w:bCs/>
          <w:lang w:val="ru-RU"/>
        </w:rPr>
        <w:t>,</w:t>
      </w:r>
      <w:r w:rsidR="00AF1189" w:rsidRPr="00FD6B73">
        <w:rPr>
          <w:rFonts w:cs="Times New Roman"/>
          <w:bCs/>
          <w:lang w:val="ru-RU"/>
        </w:rPr>
        <w:t xml:space="preserve"> важан је елемент механизама транзиционе правде. </w:t>
      </w:r>
      <w:r w:rsidR="008F0444" w:rsidRPr="00FD6B73">
        <w:rPr>
          <w:rFonts w:eastAsiaTheme="majorEastAsia" w:cs="Times New Roman"/>
          <w:lang w:val="ru-RU"/>
        </w:rPr>
        <w:t>НСПРЗ</w:t>
      </w:r>
      <w:r w:rsidR="00AF1189" w:rsidRPr="00FD6B73">
        <w:rPr>
          <w:rFonts w:cs="Times New Roman"/>
          <w:bCs/>
          <w:lang w:val="ru-RU"/>
        </w:rPr>
        <w:t xml:space="preserve"> је овом питању приступила из више углова:</w:t>
      </w:r>
    </w:p>
    <w:p w14:paraId="7010F5F4" w14:textId="77777777" w:rsidR="00AF1189" w:rsidRPr="00FD6B73" w:rsidRDefault="00AF1189" w:rsidP="00F10AC7">
      <w:pPr>
        <w:spacing w:after="120" w:line="240" w:lineRule="auto"/>
        <w:rPr>
          <w:rFonts w:cs="Times New Roman"/>
          <w:bCs/>
          <w:lang w:val="ru-RU"/>
        </w:rPr>
      </w:pPr>
      <w:r w:rsidRPr="00FD6B73">
        <w:rPr>
          <w:rFonts w:cs="Times New Roman"/>
          <w:bCs/>
          <w:lang w:val="ru-RU"/>
        </w:rPr>
        <w:t xml:space="preserve">Најпре, кроз олакшану доступност информација о суђењима за ратне злочине, што је и учињено кроз значајно унапређење интернет страница надлежних органа, нарочито ТРЗ, која за разлику он интернет страна надлежних судова, чини доступним на српском и енглеском језику сва обавештења, нормативни оквир, извештаје и оптужнице. Истовремено, преводи </w:t>
      </w:r>
      <w:r w:rsidR="005538E0" w:rsidRPr="00FD6B73">
        <w:rPr>
          <w:rFonts w:cs="Times New Roman"/>
          <w:bCs/>
          <w:lang w:val="ru-RU"/>
        </w:rPr>
        <w:t>судске праксе и даље су доступни</w:t>
      </w:r>
      <w:r w:rsidRPr="00FD6B73">
        <w:rPr>
          <w:rFonts w:cs="Times New Roman"/>
          <w:bCs/>
          <w:lang w:val="ru-RU"/>
        </w:rPr>
        <w:t xml:space="preserve"> у ограниченом обиму.</w:t>
      </w:r>
    </w:p>
    <w:p w14:paraId="55B88BFF" w14:textId="5593CD51" w:rsidR="00AF1189" w:rsidRPr="00FD6B73" w:rsidRDefault="00AF1189" w:rsidP="00F10AC7">
      <w:pPr>
        <w:spacing w:after="120" w:line="240" w:lineRule="auto"/>
        <w:rPr>
          <w:rFonts w:cs="Times New Roman"/>
          <w:lang w:val="ru-RU"/>
        </w:rPr>
      </w:pPr>
      <w:r w:rsidRPr="00FD6B73">
        <w:rPr>
          <w:rFonts w:cs="Times New Roman"/>
          <w:bCs/>
          <w:lang w:val="ru-RU"/>
        </w:rPr>
        <w:t xml:space="preserve">Други сегмент унапређења информисања јавности односио се на редовно објављивање </w:t>
      </w:r>
      <w:r w:rsidRPr="00FD6B73">
        <w:rPr>
          <w:rFonts w:cs="Times New Roman"/>
          <w:lang w:val="ru-RU"/>
        </w:rPr>
        <w:t xml:space="preserve">извештаја о раду правосудних институција надлежних за процесуирање ратних злочина и извештаја о спровођењу свих релевантних стратешких докумената у области процесуирања ратних злочина (Акциони план за Поглавље 23, </w:t>
      </w:r>
      <w:r w:rsidR="00FA5C44">
        <w:rPr>
          <w:rFonts w:cs="Times New Roman"/>
          <w:bCs/>
          <w:lang w:val="ru-RU"/>
        </w:rPr>
        <w:t>НСПРЗ</w:t>
      </w:r>
      <w:r w:rsidRPr="00FD6B73">
        <w:rPr>
          <w:rFonts w:cs="Times New Roman"/>
          <w:lang w:val="ru-RU"/>
        </w:rPr>
        <w:t xml:space="preserve">, </w:t>
      </w:r>
      <w:r w:rsidRPr="00CD46D4">
        <w:rPr>
          <w:rFonts w:cs="Times New Roman"/>
        </w:rPr>
        <w:t>T</w:t>
      </w:r>
      <w:r w:rsidRPr="00FD6B73">
        <w:rPr>
          <w:rFonts w:cs="Times New Roman"/>
          <w:lang w:val="ru-RU"/>
        </w:rPr>
        <w:t>ужилачка стратегија).</w:t>
      </w:r>
    </w:p>
    <w:p w14:paraId="23DFA74E" w14:textId="265D2AF6" w:rsidR="00AF1189" w:rsidRPr="00FD6B73" w:rsidRDefault="00AF1189" w:rsidP="00F10AC7">
      <w:pPr>
        <w:spacing w:after="120" w:line="240" w:lineRule="auto"/>
        <w:rPr>
          <w:rFonts w:cs="Times New Roman"/>
          <w:bCs/>
          <w:lang w:val="ru-RU"/>
        </w:rPr>
      </w:pPr>
      <w:r w:rsidRPr="00FD6B73">
        <w:rPr>
          <w:rFonts w:cs="Times New Roman"/>
          <w:lang w:val="ru-RU"/>
        </w:rPr>
        <w:t>У овом сегменту, важно је напоменути да су годишњи извештаји о раду судова у Републици Србији које сваке године у марту објављује Врховни касациони суд</w:t>
      </w:r>
      <w:r w:rsidRPr="00CD46D4">
        <w:rPr>
          <w:rStyle w:val="FootnoteReference"/>
          <w:rFonts w:cs="Times New Roman"/>
        </w:rPr>
        <w:footnoteReference w:id="54"/>
      </w:r>
      <w:r w:rsidRPr="00FD6B73">
        <w:rPr>
          <w:rFonts w:cs="Times New Roman"/>
          <w:lang w:val="ru-RU"/>
        </w:rPr>
        <w:t xml:space="preserve">, последњих година значајно унапређени и да укључује и свеобухватне статистике у погледу предмета ратних злочина. Поред тога, ова врста података доступна је и у извештајима о спровођењу </w:t>
      </w:r>
      <w:r w:rsidR="000B0462">
        <w:rPr>
          <w:rFonts w:cs="Times New Roman"/>
          <w:bCs/>
          <w:lang w:val="ru-RU"/>
        </w:rPr>
        <w:t>НСПРЗ</w:t>
      </w:r>
      <w:r w:rsidRPr="00CD46D4">
        <w:rPr>
          <w:rStyle w:val="FootnoteReference"/>
          <w:rFonts w:cs="Times New Roman"/>
        </w:rPr>
        <w:footnoteReference w:id="55"/>
      </w:r>
      <w:r w:rsidRPr="00FD6B73">
        <w:rPr>
          <w:rFonts w:cs="Times New Roman"/>
          <w:lang w:val="ru-RU"/>
        </w:rPr>
        <w:t xml:space="preserve"> и Акционог плана за поглавље 23</w:t>
      </w:r>
      <w:r w:rsidRPr="00CD46D4">
        <w:rPr>
          <w:rStyle w:val="FootnoteReference"/>
          <w:rFonts w:cs="Times New Roman"/>
        </w:rPr>
        <w:footnoteReference w:id="56"/>
      </w:r>
      <w:r w:rsidRPr="00FD6B73">
        <w:rPr>
          <w:rFonts w:cs="Times New Roman"/>
          <w:lang w:val="ru-RU"/>
        </w:rPr>
        <w:t xml:space="preserve"> који су у целокупном периоду спровођења </w:t>
      </w:r>
      <w:r w:rsidR="000B0462">
        <w:rPr>
          <w:rFonts w:cs="Times New Roman"/>
          <w:bCs/>
          <w:lang w:val="ru-RU"/>
        </w:rPr>
        <w:t xml:space="preserve">НСПРЗ </w:t>
      </w:r>
      <w:r w:rsidRPr="00FD6B73">
        <w:rPr>
          <w:rFonts w:cs="Times New Roman"/>
          <w:lang w:val="ru-RU"/>
        </w:rPr>
        <w:t>објављивани на српском и енглеском језику на интернет странама Министарства правде и ТРЗ.</w:t>
      </w:r>
      <w:r w:rsidRPr="00CD46D4">
        <w:rPr>
          <w:rStyle w:val="FootnoteReference"/>
          <w:rFonts w:cs="Times New Roman"/>
        </w:rPr>
        <w:footnoteReference w:id="57"/>
      </w:r>
    </w:p>
    <w:p w14:paraId="562223DE" w14:textId="3CBFA688" w:rsidR="00AF1189" w:rsidRPr="00FD6B73" w:rsidRDefault="00AF1189" w:rsidP="00F10AC7">
      <w:pPr>
        <w:spacing w:after="120" w:line="240" w:lineRule="auto"/>
        <w:rPr>
          <w:rFonts w:cs="Times New Roman"/>
          <w:lang w:val="ru-RU"/>
        </w:rPr>
      </w:pPr>
      <w:r w:rsidRPr="00FD6B73">
        <w:rPr>
          <w:rFonts w:cs="Times New Roman"/>
          <w:lang w:val="ru-RU"/>
        </w:rPr>
        <w:t xml:space="preserve">Иако је било предвиђено редовно одржавање састанака представника институција надлежних за процесуирање ратних злочина у механизам сарадње са организацијама цивилног друштва, кроз њихово повремено учешће на састанцима са Националним Конвентом за ЕУ, ова пракса је постојала само у раној фази примене </w:t>
      </w:r>
      <w:r w:rsidR="000B0462">
        <w:rPr>
          <w:rFonts w:cs="Times New Roman"/>
          <w:bCs/>
          <w:lang w:val="ru-RU"/>
        </w:rPr>
        <w:t>НСПРЗ</w:t>
      </w:r>
      <w:r w:rsidRPr="00FD6B73">
        <w:rPr>
          <w:rFonts w:cs="Times New Roman"/>
          <w:lang w:val="ru-RU"/>
        </w:rPr>
        <w:t>, да би последњих година нестала, што је неопходно променити у периоду који предстоји.</w:t>
      </w:r>
    </w:p>
    <w:p w14:paraId="76C6CEE4" w14:textId="77777777" w:rsidR="00AF1189" w:rsidRPr="00FD6B73" w:rsidRDefault="00AF1189" w:rsidP="00F10AC7">
      <w:pPr>
        <w:spacing w:after="120" w:line="240" w:lineRule="auto"/>
        <w:rPr>
          <w:rFonts w:cs="Times New Roman"/>
          <w:lang w:val="ru-RU"/>
        </w:rPr>
      </w:pPr>
      <w:r w:rsidRPr="00FD6B73">
        <w:rPr>
          <w:rFonts w:cs="Times New Roman"/>
          <w:lang w:val="ru-RU"/>
        </w:rPr>
        <w:t xml:space="preserve">Важан сегмент унапређења односа јавности у овој области јесте и унапређење капацитета запослених у медијима за адекватно извештавање о поступцима за ратне злочине, кроз периодичну организацију курсева, семинара и обука за новинаре који извештавају са суђења за ратне злочине, у сарадњи медијских удружења, институција правосуђа и међународних организација на којима би, уз помоћ судија, јавних тужилаца и независних </w:t>
      </w:r>
      <w:r w:rsidRPr="00FD6B73">
        <w:rPr>
          <w:rFonts w:cs="Times New Roman"/>
          <w:lang w:val="ru-RU"/>
        </w:rPr>
        <w:lastRenderedPageBreak/>
        <w:t>експерата, стекли додатна знања која би им олакшала информисање јавности о поступцима за ратне злочине. Ова пракса, у претходном периоду, била је заснована махом на пројектној подршци међународних организација, па би у периоду који предстоји требало радити на њеној институционализацији кроз интензивну сарадњу надлежних органа и медијских удружења.</w:t>
      </w:r>
    </w:p>
    <w:p w14:paraId="43FBF976" w14:textId="52F6EF3E" w:rsidR="00AF1189" w:rsidRPr="00FD6B73" w:rsidRDefault="00C12466" w:rsidP="00F10AC7">
      <w:pPr>
        <w:spacing w:after="120" w:line="240" w:lineRule="auto"/>
        <w:rPr>
          <w:rFonts w:cs="Times New Roman"/>
          <w:lang w:val="ru-RU"/>
        </w:rPr>
      </w:pPr>
      <w:r w:rsidRPr="000B0462">
        <w:rPr>
          <w:rFonts w:cs="Times New Roman"/>
          <w:lang w:val="ru-RU"/>
        </w:rPr>
        <w:t>Препознат</w:t>
      </w:r>
      <w:r w:rsidR="00AF1189" w:rsidRPr="000B0462">
        <w:rPr>
          <w:rFonts w:cs="Times New Roman"/>
          <w:lang w:val="ru-RU"/>
        </w:rPr>
        <w:t xml:space="preserve">а </w:t>
      </w:r>
      <w:r w:rsidRPr="000B0462">
        <w:rPr>
          <w:rFonts w:cs="Times New Roman"/>
          <w:lang w:val="ru-RU"/>
        </w:rPr>
        <w:t xml:space="preserve">је </w:t>
      </w:r>
      <w:r w:rsidR="00AF1189" w:rsidRPr="000B0462">
        <w:rPr>
          <w:rFonts w:cs="Times New Roman"/>
          <w:lang w:val="ru-RU"/>
        </w:rPr>
        <w:t>и потреб</w:t>
      </w:r>
      <w:r w:rsidR="002B5935" w:rsidRPr="000B0462">
        <w:rPr>
          <w:rFonts w:cs="Times New Roman"/>
          <w:lang w:val="ru-RU"/>
        </w:rPr>
        <w:t xml:space="preserve">а у самој </w:t>
      </w:r>
      <w:r w:rsidR="000B0462">
        <w:rPr>
          <w:rFonts w:cs="Times New Roman"/>
          <w:bCs/>
          <w:lang w:val="ru-RU"/>
        </w:rPr>
        <w:t xml:space="preserve">НСПРЗ </w:t>
      </w:r>
      <w:r w:rsidR="00AF1189" w:rsidRPr="000B0462">
        <w:rPr>
          <w:rFonts w:cs="Times New Roman"/>
          <w:lang w:val="ru-RU"/>
        </w:rPr>
        <w:t>да теме</w:t>
      </w:r>
      <w:r w:rsidR="002B5935" w:rsidRPr="000B0462">
        <w:rPr>
          <w:rFonts w:cs="Times New Roman"/>
          <w:lang w:val="ru-RU"/>
        </w:rPr>
        <w:t xml:space="preserve"> </w:t>
      </w:r>
      <w:r w:rsidR="00AF1189" w:rsidRPr="000B0462">
        <w:rPr>
          <w:rFonts w:cs="Times New Roman"/>
          <w:lang w:val="ru-RU"/>
        </w:rPr>
        <w:t>о сукобима на просторима бивше Југославије, ратним злочинима који су у том периоду извршени и нормама међународног хуманитарног права, буду заступљене већ у школском г</w:t>
      </w:r>
      <w:r w:rsidR="002B5935" w:rsidRPr="000B0462">
        <w:rPr>
          <w:rFonts w:cs="Times New Roman"/>
          <w:lang w:val="ru-RU"/>
        </w:rPr>
        <w:t>радиву, како би</w:t>
      </w:r>
      <w:r w:rsidR="00AF1189" w:rsidRPr="000B0462">
        <w:rPr>
          <w:rFonts w:cs="Times New Roman"/>
          <w:lang w:val="ru-RU"/>
        </w:rPr>
        <w:t xml:space="preserve"> се</w:t>
      </w:r>
      <w:r w:rsidR="00AF1189" w:rsidRPr="00FD6B73">
        <w:rPr>
          <w:rFonts w:cs="Times New Roman"/>
          <w:b/>
          <w:lang w:val="ru-RU"/>
        </w:rPr>
        <w:t xml:space="preserve"> </w:t>
      </w:r>
      <w:r w:rsidR="00AF1189" w:rsidRPr="00FD6B73">
        <w:rPr>
          <w:rFonts w:cs="Times New Roman"/>
          <w:lang w:val="ru-RU"/>
        </w:rPr>
        <w:t>квалитет и садржина наставног програма који се дотиче питања везаних за историју сукоба у бившој Југославији и злочина који су током тих сукоба и</w:t>
      </w:r>
      <w:r w:rsidR="002B5935">
        <w:rPr>
          <w:rFonts w:cs="Times New Roman"/>
          <w:lang w:val="ru-RU"/>
        </w:rPr>
        <w:t>звршени, континуирано контролисао и унапређивао</w:t>
      </w:r>
      <w:r w:rsidR="00AF1189" w:rsidRPr="00FD6B73">
        <w:rPr>
          <w:rFonts w:cs="Times New Roman"/>
          <w:lang w:val="ru-RU"/>
        </w:rPr>
        <w:t xml:space="preserve"> у складу са механизмима Министарства просвете, науке и технолошког развоја. У том смислу, треба напоменути да је у претходном периоду дошло до либерализације тржишта уџбеника и значајног проширења круга наставних средстава одобрених од стране надлежних институција, чиме се подстиче слобода избора и плурализам мишљења. Поред тога, у претходном периоду је доста урађено на увођењу пројектне наставе конципиране тако да кроз тематске целине обједињује интердисциплинарни приступ и омогућава целовито сагледавање предметних догађаја кроз више наставних предмета (историја, географија, грађанско васпитање, итд).</w:t>
      </w:r>
    </w:p>
    <w:p w14:paraId="349E0ECA" w14:textId="7783FE85" w:rsidR="00AF1189" w:rsidRPr="00FD6B73" w:rsidRDefault="000B0462" w:rsidP="00F10AC7">
      <w:pPr>
        <w:spacing w:after="120" w:line="240" w:lineRule="auto"/>
        <w:rPr>
          <w:rFonts w:cs="Times New Roman"/>
          <w:lang w:val="ru-RU"/>
        </w:rPr>
      </w:pPr>
      <w:r>
        <w:rPr>
          <w:rFonts w:cs="Times New Roman"/>
          <w:bCs/>
          <w:lang w:val="ru-RU"/>
        </w:rPr>
        <w:t xml:space="preserve">НСПРЗ </w:t>
      </w:r>
      <w:r w:rsidR="00F7481C" w:rsidRPr="00FD6B73">
        <w:rPr>
          <w:rFonts w:cs="Times New Roman"/>
          <w:lang w:val="ru-RU"/>
        </w:rPr>
        <w:t xml:space="preserve">је предвиђала и потребу </w:t>
      </w:r>
      <w:r w:rsidR="00AF1189" w:rsidRPr="00FD6B73">
        <w:rPr>
          <w:rFonts w:cs="Times New Roman"/>
          <w:lang w:val="ru-RU"/>
        </w:rPr>
        <w:t>промене јавног дискурса у сегменту који је обликован јавним иступима државних функционера на тему процесуирања ратних злочина. С тим у вези, важно је напоменути да су највише државне институције објавиле текст Националне стратегије на својим интернет странама</w:t>
      </w:r>
      <w:r w:rsidR="00C12466" w:rsidRPr="00FD6B73">
        <w:rPr>
          <w:rFonts w:cs="Times New Roman"/>
          <w:lang w:val="ru-RU"/>
        </w:rPr>
        <w:t>.</w:t>
      </w:r>
      <w:r w:rsidR="00AF1189" w:rsidRPr="00CD46D4">
        <w:rPr>
          <w:rStyle w:val="FootnoteReference"/>
          <w:rFonts w:cs="Times New Roman"/>
        </w:rPr>
        <w:footnoteReference w:id="58"/>
      </w:r>
    </w:p>
    <w:p w14:paraId="2EAA3CF1" w14:textId="4F4FF762" w:rsidR="00AF1189" w:rsidRPr="00FD6B73" w:rsidRDefault="000B0462" w:rsidP="00F10AC7">
      <w:pPr>
        <w:tabs>
          <w:tab w:val="left" w:pos="5387"/>
        </w:tabs>
        <w:spacing w:after="120" w:line="240" w:lineRule="auto"/>
        <w:rPr>
          <w:rFonts w:cs="Times New Roman"/>
          <w:lang w:val="ru-RU"/>
        </w:rPr>
      </w:pPr>
      <w:r>
        <w:rPr>
          <w:rFonts w:cs="Times New Roman"/>
          <w:lang w:val="ru-RU"/>
        </w:rPr>
        <w:t>У</w:t>
      </w:r>
      <w:r w:rsidR="00F7481C" w:rsidRPr="00FD6B73">
        <w:rPr>
          <w:rFonts w:cs="Times New Roman"/>
          <w:lang w:val="ru-RU"/>
        </w:rPr>
        <w:t xml:space="preserve"> </w:t>
      </w:r>
      <w:r>
        <w:rPr>
          <w:rFonts w:cs="Times New Roman"/>
          <w:bCs/>
          <w:lang w:val="ru-RU"/>
        </w:rPr>
        <w:t>НСПРЗ</w:t>
      </w:r>
      <w:r>
        <w:rPr>
          <w:rFonts w:cs="Times New Roman"/>
          <w:lang w:val="ru-RU"/>
        </w:rPr>
        <w:t xml:space="preserve"> је</w:t>
      </w:r>
      <w:r w:rsidR="00F7481C" w:rsidRPr="00FD6B73">
        <w:rPr>
          <w:rFonts w:cs="Times New Roman"/>
          <w:lang w:val="ru-RU"/>
        </w:rPr>
        <w:t xml:space="preserve"> </w:t>
      </w:r>
      <w:r>
        <w:rPr>
          <w:rFonts w:cs="Times New Roman"/>
          <w:lang w:val="ru-RU"/>
        </w:rPr>
        <w:t>предвиђена</w:t>
      </w:r>
      <w:r w:rsidR="00F7481C" w:rsidRPr="00FD6B73">
        <w:rPr>
          <w:rFonts w:cs="Times New Roman"/>
          <w:lang w:val="ru-RU"/>
        </w:rPr>
        <w:t xml:space="preserve"> и потреба</w:t>
      </w:r>
      <w:r w:rsidR="002B5935">
        <w:rPr>
          <w:rFonts w:cs="Times New Roman"/>
          <w:lang w:val="ru-RU"/>
        </w:rPr>
        <w:t xml:space="preserve"> </w:t>
      </w:r>
      <w:r w:rsidR="00AF1189" w:rsidRPr="00FD6B73">
        <w:rPr>
          <w:rFonts w:cs="Times New Roman"/>
          <w:lang w:val="ru-RU"/>
        </w:rPr>
        <w:t>поштовања кодекса понашања за чланове Владе и народне посланике, у смислу уздржавања од недозвољеног коментарисања рада правосудних органа. У том смис</w:t>
      </w:r>
      <w:r w:rsidR="002B5935">
        <w:rPr>
          <w:rFonts w:cs="Times New Roman"/>
          <w:lang w:val="ru-RU"/>
        </w:rPr>
        <w:t>лу, треба поменути да је Влада</w:t>
      </w:r>
      <w:r w:rsidR="00AF1189" w:rsidRPr="00FD6B73">
        <w:rPr>
          <w:rFonts w:cs="Times New Roman"/>
          <w:lang w:val="ru-RU"/>
        </w:rPr>
        <w:t xml:space="preserve"> на својој 192. седници од 23. јануара 2016. године, на предлог Министарства правде, донела закључак којим је усвојила Кодекс понашања чланова Владе о границама дозвољености коментарисања судских одлука и поступака. Закључак је објављен у „Службеном гласнику </w:t>
      </w:r>
      <w:r>
        <w:rPr>
          <w:rFonts w:cs="Times New Roman"/>
          <w:lang w:val="ru-RU"/>
        </w:rPr>
        <w:t>Републике Србије</w:t>
      </w:r>
      <w:r w:rsidR="00AF1189" w:rsidRPr="00FD6B73">
        <w:rPr>
          <w:rFonts w:cs="Times New Roman"/>
          <w:lang w:val="ru-RU"/>
        </w:rPr>
        <w:t>”, број 6/16 од 28. јануара 2016. године, док је Кодекс понашања за народне посланике о границама дозвољености коментарисања судских одлука и поступака усвојен 20. јула 2017. године, а обја</w:t>
      </w:r>
      <w:r>
        <w:rPr>
          <w:rFonts w:cs="Times New Roman"/>
          <w:lang w:val="ru-RU"/>
        </w:rPr>
        <w:t>вљен је у „Службеном гласнику Републике Србије</w:t>
      </w:r>
      <w:r w:rsidR="00AF1189" w:rsidRPr="00FD6B73">
        <w:rPr>
          <w:rFonts w:cs="Times New Roman"/>
          <w:lang w:val="ru-RU"/>
        </w:rPr>
        <w:t xml:space="preserve">”, број 71/17. Поред тога, Високи савет судства, на седници одржаној 25. октобра 2016. године донео је Одлуку о допунама Пословника о раду Високог савета судства која је објављена у ,,Службеном гласнику </w:t>
      </w:r>
      <w:r>
        <w:rPr>
          <w:rFonts w:cs="Times New Roman"/>
          <w:lang w:val="ru-RU"/>
        </w:rPr>
        <w:t>Републике Србијеˮ</w:t>
      </w:r>
      <w:r w:rsidR="00AF1189" w:rsidRPr="00FD6B73">
        <w:rPr>
          <w:rFonts w:cs="Times New Roman"/>
          <w:lang w:val="ru-RU"/>
        </w:rPr>
        <w:t>, број 91/16. Наведеном одлуком прописана је процедура јавног реаговања Високог савета судства у случајевима политичког утицаја на р</w:t>
      </w:r>
      <w:r>
        <w:rPr>
          <w:rFonts w:cs="Times New Roman"/>
          <w:lang w:val="ru-RU"/>
        </w:rPr>
        <w:t xml:space="preserve">ад судства. 23. марта </w:t>
      </w:r>
      <w:r w:rsidR="00AF1189" w:rsidRPr="00FD6B73">
        <w:rPr>
          <w:rFonts w:cs="Times New Roman"/>
          <w:lang w:val="ru-RU"/>
        </w:rPr>
        <w:t>2017. године Државно веће тужилаца усвојило је Пословник о раду Државног већа тужилаца („Службени гласник РС</w:t>
      </w:r>
      <w:r w:rsidR="00586C7D">
        <w:rPr>
          <w:rFonts w:cs="Times New Roman"/>
          <w:lang w:val="ru-RU"/>
        </w:rPr>
        <w:t>ˮ</w:t>
      </w:r>
      <w:r w:rsidR="00AF1189" w:rsidRPr="00FD6B73">
        <w:rPr>
          <w:rFonts w:cs="Times New Roman"/>
          <w:lang w:val="ru-RU"/>
        </w:rPr>
        <w:t xml:space="preserve">, број 29/17), којим је установљен институт повереника за самосталност, прописано је да ову функцију обавља заменик председника Државног већа тужилаца и установљена процедура јавног реаговања Државног већа тужилаца у случајевима политичког утицаја на рад јавног тужилаштва, и то редовно (једном годишње) и ванредно (у случају потребе). С тим у вези, Државно веће </w:t>
      </w:r>
      <w:r w:rsidR="00AF1189" w:rsidRPr="00FD6B73">
        <w:rPr>
          <w:rFonts w:cs="Times New Roman"/>
          <w:lang w:val="ru-RU"/>
        </w:rPr>
        <w:lastRenderedPageBreak/>
        <w:t>тужилаца донело је 07.</w:t>
      </w:r>
      <w:r>
        <w:rPr>
          <w:rFonts w:cs="Times New Roman"/>
          <w:lang w:val="ru-RU"/>
        </w:rPr>
        <w:t xml:space="preserve"> априла </w:t>
      </w:r>
      <w:r w:rsidR="00AF1189" w:rsidRPr="00FD6B73">
        <w:rPr>
          <w:rFonts w:cs="Times New Roman"/>
          <w:lang w:val="ru-RU"/>
        </w:rPr>
        <w:t xml:space="preserve">2017. године Одлуку </w:t>
      </w:r>
      <w:r w:rsidR="00AF1189" w:rsidRPr="00CD46D4">
        <w:rPr>
          <w:rFonts w:cs="Times New Roman"/>
        </w:rPr>
        <w:t>A</w:t>
      </w:r>
      <w:r w:rsidR="00AF1189" w:rsidRPr="00FD6B73">
        <w:rPr>
          <w:rFonts w:cs="Times New Roman"/>
          <w:lang w:val="ru-RU"/>
        </w:rPr>
        <w:t xml:space="preserve"> бр. 393/17, којом је детаљно уређен начин поступања Повереника за самосталност у случајевима политичког и другог недозвољеног утицаја на рад јавног тужилаштва, у складу са чланом 9. Пословника о раду Државног већа тужилаца („Службени гласник РС</w:t>
      </w:r>
      <w:r w:rsidR="00586C7D">
        <w:rPr>
          <w:rFonts w:cs="Times New Roman"/>
          <w:lang w:val="ru-RU"/>
        </w:rPr>
        <w:t>ˮ</w:t>
      </w:r>
      <w:r w:rsidR="00AF1189" w:rsidRPr="00FD6B73">
        <w:rPr>
          <w:rFonts w:cs="Times New Roman"/>
          <w:lang w:val="ru-RU"/>
        </w:rPr>
        <w:t>, број 29/17).</w:t>
      </w:r>
    </w:p>
    <w:p w14:paraId="53F0B00F" w14:textId="77777777" w:rsidR="00AF1189" w:rsidRPr="00FD6B73" w:rsidRDefault="00AF1189" w:rsidP="00F10AC7">
      <w:pPr>
        <w:tabs>
          <w:tab w:val="left" w:pos="5387"/>
        </w:tabs>
        <w:spacing w:after="120" w:line="240" w:lineRule="auto"/>
        <w:rPr>
          <w:rFonts w:cs="Times New Roman"/>
          <w:lang w:val="ru-RU"/>
        </w:rPr>
      </w:pPr>
      <w:r w:rsidRPr="00FD6B73">
        <w:rPr>
          <w:rFonts w:cs="Times New Roman"/>
          <w:lang w:val="ru-RU"/>
        </w:rPr>
        <w:t xml:space="preserve">Када је реч о пракси коментарисања судских одлука од стране државних званичника у овој области, мора се констатовати да је она изузетно разнолика и да се креће од позитивних примера исказивања снажне подршке правосудним органима, па све до негативних коментара појединачних пресуда или поступања појединих судија, при чему ни у реаговању Високог савета судства и Државног већа тужилаца, у складу са горе поменутим, новоуспостављеним процедурама, и даље нема конзистентне праксе.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350"/>
      </w:tblGrid>
      <w:tr w:rsidR="00AF1189" w:rsidRPr="00627105" w14:paraId="56E80223" w14:textId="77777777" w:rsidTr="00AF1189">
        <w:tc>
          <w:tcPr>
            <w:tcW w:w="9350" w:type="dxa"/>
            <w:shd w:val="clear" w:color="auto" w:fill="DEEAF6" w:themeFill="accent1" w:themeFillTint="33"/>
          </w:tcPr>
          <w:p w14:paraId="539F065D" w14:textId="01F44F82" w:rsidR="00AF1189" w:rsidRPr="00FD6B73" w:rsidRDefault="00AF1189" w:rsidP="00F10AC7">
            <w:pPr>
              <w:tabs>
                <w:tab w:val="left" w:pos="5387"/>
              </w:tabs>
              <w:spacing w:after="120"/>
              <w:rPr>
                <w:rFonts w:cs="Times New Roman"/>
                <w:lang w:val="ru-RU"/>
              </w:rPr>
            </w:pPr>
            <w:r w:rsidRPr="00FD6B73">
              <w:rPr>
                <w:rFonts w:cs="Times New Roman"/>
                <w:lang w:val="ru-RU"/>
              </w:rPr>
              <w:t xml:space="preserve">Иако су усвајањем и спровођењем </w:t>
            </w:r>
            <w:r w:rsidR="000B0462">
              <w:rPr>
                <w:rFonts w:cs="Times New Roman"/>
                <w:lang w:val="ru-RU"/>
              </w:rPr>
              <w:t>НСПРЗ</w:t>
            </w:r>
            <w:r w:rsidRPr="00FD6B73">
              <w:rPr>
                <w:rFonts w:cs="Times New Roman"/>
                <w:lang w:val="ru-RU"/>
              </w:rPr>
              <w:t xml:space="preserve"> учињени значајни помаци у погледу доступности информација о поступцима за ратне злочине кроз редовно објављивање извештаја о раду правосудних органа и спровођењу стратешких докумената, у предстојећем периоду</w:t>
            </w:r>
            <w:r w:rsidR="005538E0" w:rsidRPr="00FD6B73">
              <w:rPr>
                <w:rFonts w:cs="Times New Roman"/>
                <w:lang w:val="ru-RU"/>
              </w:rPr>
              <w:t xml:space="preserve"> би требало унапредити дијалог с</w:t>
            </w:r>
            <w:r w:rsidRPr="00FD6B73">
              <w:rPr>
                <w:rFonts w:cs="Times New Roman"/>
                <w:lang w:val="ru-RU"/>
              </w:rPr>
              <w:t>а организацијама цивилног друштва и академском заједницом, али и радити на унапређењу извештавања о поступцима за ратне злочине кроз едукације новинара и организацију заједничких радионица са носиоцима правосудних функција.</w:t>
            </w:r>
          </w:p>
          <w:p w14:paraId="16C4129A" w14:textId="77777777" w:rsidR="00AF1189" w:rsidRPr="00FD6B73" w:rsidRDefault="00AF1189" w:rsidP="00F10AC7">
            <w:pPr>
              <w:tabs>
                <w:tab w:val="left" w:pos="5387"/>
              </w:tabs>
              <w:spacing w:after="120"/>
              <w:rPr>
                <w:rFonts w:cs="Times New Roman"/>
                <w:lang w:val="ru-RU"/>
              </w:rPr>
            </w:pPr>
            <w:r w:rsidRPr="00FD6B73">
              <w:rPr>
                <w:rFonts w:cs="Times New Roman"/>
                <w:lang w:val="ru-RU"/>
              </w:rPr>
              <w:t>Од великог значаја за стручну, али и ширу јавност, било би унапређење интернет презентација Вишег и Апелационог суда у Београду, како у погледу систематизације и доступности судске праксе, тако и у погледу информација о суђењима за ратне злочине.</w:t>
            </w:r>
          </w:p>
          <w:p w14:paraId="7B0A583C" w14:textId="77777777" w:rsidR="00AF1189" w:rsidRPr="00FD6B73" w:rsidRDefault="00AF1189" w:rsidP="00F10AC7">
            <w:pPr>
              <w:tabs>
                <w:tab w:val="left" w:pos="5387"/>
              </w:tabs>
              <w:spacing w:after="120"/>
              <w:rPr>
                <w:rFonts w:cs="Times New Roman"/>
                <w:u w:val="single"/>
                <w:lang w:val="ru-RU"/>
              </w:rPr>
            </w:pPr>
            <w:r w:rsidRPr="00FD6B73">
              <w:rPr>
                <w:rFonts w:cs="Times New Roman"/>
                <w:lang w:val="ru-RU"/>
              </w:rPr>
              <w:t>Јавном дискурсу о суђењима за ратне злочине допринела би и конзистентнија пракса реаговања Високог савета судства и Државног већа тужилаца на непримерене изјаве функционера којима се задире у независност правосуђа.</w:t>
            </w:r>
          </w:p>
        </w:tc>
      </w:tr>
    </w:tbl>
    <w:p w14:paraId="1DA6DACC" w14:textId="77777777" w:rsidR="002E5AC3" w:rsidRPr="00FD6B73" w:rsidRDefault="002E5AC3" w:rsidP="00F10AC7">
      <w:pPr>
        <w:spacing w:line="240" w:lineRule="auto"/>
        <w:rPr>
          <w:rFonts w:cs="Times New Roman"/>
          <w:lang w:val="ru-RU"/>
        </w:rPr>
      </w:pPr>
    </w:p>
    <w:p w14:paraId="25249509" w14:textId="77777777" w:rsidR="006844E0" w:rsidRPr="00CD46D4" w:rsidRDefault="007F714A" w:rsidP="00F10AC7">
      <w:pPr>
        <w:pStyle w:val="Heading1"/>
        <w:numPr>
          <w:ilvl w:val="0"/>
          <w:numId w:val="1"/>
        </w:numPr>
        <w:spacing w:after="240" w:line="240" w:lineRule="auto"/>
        <w:rPr>
          <w:rFonts w:cs="Times New Roman"/>
        </w:rPr>
      </w:pPr>
      <w:bookmarkStart w:id="59" w:name="_Toc72932076"/>
      <w:bookmarkStart w:id="60" w:name="_Toc84580783"/>
      <w:bookmarkStart w:id="61" w:name="_Hlk71899805"/>
      <w:r w:rsidRPr="00CD46D4">
        <w:rPr>
          <w:rFonts w:cs="Times New Roman"/>
        </w:rPr>
        <w:t>ДЕФИНИСАЊЕ ЖЕЉЕНЕ ПРОМЕНЕ</w:t>
      </w:r>
      <w:bookmarkEnd w:id="59"/>
      <w:bookmarkEnd w:id="60"/>
    </w:p>
    <w:p w14:paraId="07763458" w14:textId="3BAC6604" w:rsidR="00D650F1" w:rsidRPr="00FD6B73" w:rsidRDefault="00F7481C" w:rsidP="00F10AC7">
      <w:pPr>
        <w:spacing w:line="240" w:lineRule="auto"/>
        <w:rPr>
          <w:rFonts w:cs="Times New Roman"/>
          <w:shd w:val="clear" w:color="auto" w:fill="FFFFFF"/>
          <w:lang w:val="ru-RU"/>
        </w:rPr>
      </w:pPr>
      <w:r w:rsidRPr="00FD6B73">
        <w:rPr>
          <w:rFonts w:eastAsia="Arial"/>
          <w:b/>
          <w:lang w:val="ru-RU"/>
        </w:rPr>
        <w:t>Визија стратегије</w:t>
      </w:r>
      <w:r w:rsidR="00D650F1" w:rsidRPr="00FD6B73">
        <w:rPr>
          <w:rFonts w:eastAsia="Arial"/>
          <w:bCs/>
          <w:lang w:val="ru-RU"/>
        </w:rPr>
        <w:t xml:space="preserve"> </w:t>
      </w:r>
      <w:r w:rsidR="000B0462">
        <w:rPr>
          <w:rFonts w:eastAsia="Arial"/>
          <w:bCs/>
          <w:lang w:val="ru-RU"/>
        </w:rPr>
        <w:t xml:space="preserve">је </w:t>
      </w:r>
      <w:r w:rsidR="00D650F1" w:rsidRPr="00FD6B73">
        <w:rPr>
          <w:rFonts w:eastAsia="Arial"/>
          <w:bCs/>
          <w:lang w:val="ru-RU"/>
        </w:rPr>
        <w:t>правни систем у коме су поступци за ратне злочине ефикасни и у складу са међународним стандардима, регионална сарадња на највишем нивоу, оштећени и сведоци заштићени и имају приступ услугама подршке и помоћи у складу са међународним стандардима, судбина несталих лица расветљена, а информисање јавности о суђењима за ратне злочине и капацитети за извештавање о овим темама унапређени.</w:t>
      </w:r>
    </w:p>
    <w:p w14:paraId="5CC2BEAD" w14:textId="5AB4681D" w:rsidR="00232480" w:rsidRPr="00FD6B73" w:rsidRDefault="00232480" w:rsidP="00F10AC7">
      <w:pPr>
        <w:spacing w:line="240" w:lineRule="auto"/>
        <w:rPr>
          <w:rFonts w:cs="Times New Roman"/>
          <w:highlight w:val="yellow"/>
          <w:lang w:val="ru-RU"/>
        </w:rPr>
      </w:pPr>
      <w:r w:rsidRPr="00FD6B73">
        <w:rPr>
          <w:rFonts w:cs="Times New Roman"/>
          <w:b/>
          <w:lang w:val="ru-RU"/>
        </w:rPr>
        <w:t xml:space="preserve">Мисија </w:t>
      </w:r>
      <w:r w:rsidR="000B0462">
        <w:rPr>
          <w:rFonts w:cs="Times New Roman"/>
          <w:b/>
          <w:lang w:val="ru-RU"/>
        </w:rPr>
        <w:t>с</w:t>
      </w:r>
      <w:r w:rsidRPr="00FD6B73">
        <w:rPr>
          <w:rFonts w:cs="Times New Roman"/>
          <w:b/>
          <w:lang w:val="ru-RU"/>
        </w:rPr>
        <w:t>тратегије</w:t>
      </w:r>
      <w:r w:rsidR="002B5935">
        <w:rPr>
          <w:rFonts w:cs="Times New Roman"/>
          <w:b/>
          <w:lang w:val="ru-RU"/>
        </w:rPr>
        <w:t xml:space="preserve"> </w:t>
      </w:r>
      <w:r w:rsidR="00111E95" w:rsidRPr="00FD6B73">
        <w:rPr>
          <w:rFonts w:cs="Times New Roman"/>
          <w:lang w:val="ru-RU"/>
        </w:rPr>
        <w:t xml:space="preserve">огледа се у изградњи нормативних и институционалних механизама и добрих пракси усмерених на </w:t>
      </w:r>
      <w:r w:rsidR="000F280A" w:rsidRPr="00FD6B73">
        <w:rPr>
          <w:rFonts w:cs="Times New Roman"/>
          <w:lang w:val="ru-RU"/>
        </w:rPr>
        <w:t>кажњавање</w:t>
      </w:r>
      <w:r w:rsidR="00111E95" w:rsidRPr="00FD6B73">
        <w:rPr>
          <w:rFonts w:cs="Times New Roman"/>
          <w:lang w:val="ru-RU"/>
        </w:rPr>
        <w:t>ратн</w:t>
      </w:r>
      <w:r w:rsidR="005538E0" w:rsidRPr="00FD6B73">
        <w:rPr>
          <w:rFonts w:cs="Times New Roman"/>
          <w:lang w:val="ru-RU"/>
        </w:rPr>
        <w:t>их</w:t>
      </w:r>
      <w:r w:rsidR="00111E95" w:rsidRPr="00FD6B73">
        <w:rPr>
          <w:rFonts w:cs="Times New Roman"/>
          <w:lang w:val="ru-RU"/>
        </w:rPr>
        <w:t xml:space="preserve"> злочин</w:t>
      </w:r>
      <w:r w:rsidR="005538E0" w:rsidRPr="00FD6B73">
        <w:rPr>
          <w:rFonts w:cs="Times New Roman"/>
          <w:lang w:val="ru-RU"/>
        </w:rPr>
        <w:t>а</w:t>
      </w:r>
      <w:r w:rsidR="00111E95" w:rsidRPr="00FD6B73">
        <w:rPr>
          <w:rFonts w:cs="Times New Roman"/>
          <w:lang w:val="ru-RU"/>
        </w:rPr>
        <w:t>, заштиту и подршку жртава, откривање судбине несталих лица као неодвојивих елемената владавине права.</w:t>
      </w:r>
    </w:p>
    <w:bookmarkEnd w:id="61"/>
    <w:p w14:paraId="3619E138" w14:textId="1C011F81" w:rsidR="00232480" w:rsidRPr="00FD6B73" w:rsidRDefault="00232480" w:rsidP="00F10AC7">
      <w:pPr>
        <w:spacing w:line="240" w:lineRule="auto"/>
        <w:rPr>
          <w:rFonts w:cs="Times New Roman"/>
          <w:b/>
          <w:shd w:val="clear" w:color="auto" w:fill="FFFFFF"/>
          <w:lang w:val="ru-RU"/>
        </w:rPr>
      </w:pPr>
      <w:r w:rsidRPr="00FD6B73">
        <w:rPr>
          <w:rFonts w:cs="Times New Roman"/>
          <w:b/>
          <w:shd w:val="clear" w:color="auto" w:fill="FFFFFF"/>
          <w:lang w:val="ru-RU"/>
        </w:rPr>
        <w:t xml:space="preserve">Адресати </w:t>
      </w:r>
      <w:r w:rsidR="000B0462">
        <w:rPr>
          <w:rFonts w:cs="Times New Roman"/>
          <w:b/>
          <w:shd w:val="clear" w:color="auto" w:fill="FFFFFF"/>
          <w:lang w:val="ru-RU"/>
        </w:rPr>
        <w:t>с</w:t>
      </w:r>
      <w:r w:rsidRPr="00FD6B73">
        <w:rPr>
          <w:rFonts w:cs="Times New Roman"/>
          <w:b/>
          <w:shd w:val="clear" w:color="auto" w:fill="FFFFFF"/>
          <w:lang w:val="ru-RU"/>
        </w:rPr>
        <w:t>тратегије</w:t>
      </w:r>
      <w:r w:rsidR="002B5935">
        <w:rPr>
          <w:rFonts w:cs="Times New Roman"/>
          <w:b/>
          <w:shd w:val="clear" w:color="auto" w:fill="FFFFFF"/>
          <w:lang w:val="ru-RU"/>
        </w:rPr>
        <w:t xml:space="preserve"> </w:t>
      </w:r>
      <w:r w:rsidRPr="00FD6B73">
        <w:rPr>
          <w:rFonts w:cs="Times New Roman"/>
          <w:b/>
          <w:shd w:val="clear" w:color="auto" w:fill="FFFFFF"/>
          <w:lang w:val="ru-RU"/>
        </w:rPr>
        <w:t xml:space="preserve">- </w:t>
      </w:r>
      <w:r w:rsidRPr="00FD6B73">
        <w:rPr>
          <w:rFonts w:cs="Times New Roman"/>
          <w:shd w:val="clear" w:color="auto" w:fill="FFFFFF"/>
          <w:lang w:val="ru-RU"/>
        </w:rPr>
        <w:t xml:space="preserve">У процесу достизања жељених промена, неопходна је сарадња свих заинтересованих страна и надлежних институција, као и њихова повезаност у интегрисаном одговору на потребе система. Ову сарадњу, </w:t>
      </w:r>
      <w:r w:rsidR="0015053B" w:rsidRPr="00FD6B73">
        <w:rPr>
          <w:rFonts w:cs="Times New Roman"/>
          <w:shd w:val="clear" w:color="auto" w:fill="FFFFFF"/>
          <w:lang w:val="ru-RU"/>
        </w:rPr>
        <w:t>самостално или у сарадњи са другим државним органима, институцијама или организацијама</w:t>
      </w:r>
      <w:r w:rsidRPr="00FD6B73">
        <w:rPr>
          <w:rFonts w:cs="Times New Roman"/>
          <w:shd w:val="clear" w:color="auto" w:fill="FFFFFF"/>
          <w:lang w:val="ru-RU"/>
        </w:rPr>
        <w:t>, остварују:</w:t>
      </w:r>
    </w:p>
    <w:p w14:paraId="19E1EA2D" w14:textId="052D39F0" w:rsidR="00DE30F8" w:rsidRPr="00FD6B73" w:rsidRDefault="00DE30F8" w:rsidP="00AD4730">
      <w:pPr>
        <w:pStyle w:val="ListParagraph"/>
        <w:numPr>
          <w:ilvl w:val="0"/>
          <w:numId w:val="35"/>
        </w:numPr>
        <w:spacing w:after="120"/>
        <w:contextualSpacing w:val="0"/>
        <w:rPr>
          <w:rFonts w:cs="Times New Roman"/>
          <w:shd w:val="clear" w:color="auto" w:fill="FFFFFF"/>
          <w:lang w:val="ru-RU"/>
        </w:rPr>
      </w:pPr>
      <w:r w:rsidRPr="00FD6B73">
        <w:rPr>
          <w:rFonts w:cs="Times New Roman"/>
          <w:shd w:val="clear" w:color="auto" w:fill="FFFFFF"/>
          <w:lang w:val="ru-RU"/>
        </w:rPr>
        <w:t>Апелациони суд у Београду</w:t>
      </w:r>
      <w:r w:rsidR="000B0462">
        <w:rPr>
          <w:rFonts w:cs="Times New Roman"/>
          <w:shd w:val="clear" w:color="auto" w:fill="FFFFFF"/>
          <w:lang w:val="ru-RU"/>
        </w:rPr>
        <w:t xml:space="preserve"> </w:t>
      </w:r>
      <w:r w:rsidRPr="00FD6B73">
        <w:rPr>
          <w:rFonts w:cs="Times New Roman"/>
          <w:shd w:val="clear" w:color="auto" w:fill="FFFFFF"/>
          <w:lang w:val="ru-RU"/>
        </w:rPr>
        <w:t>- Одељење за ратне злочине;</w:t>
      </w:r>
    </w:p>
    <w:p w14:paraId="0AE1891B" w14:textId="77777777" w:rsidR="00DE30F8" w:rsidRPr="00FD6B73" w:rsidRDefault="00DE30F8" w:rsidP="00AD4730">
      <w:pPr>
        <w:pStyle w:val="ListParagraph"/>
        <w:numPr>
          <w:ilvl w:val="0"/>
          <w:numId w:val="35"/>
        </w:numPr>
        <w:spacing w:after="120"/>
        <w:contextualSpacing w:val="0"/>
        <w:rPr>
          <w:rFonts w:cs="Times New Roman"/>
          <w:shd w:val="clear" w:color="auto" w:fill="FFFFFF"/>
          <w:lang w:val="ru-RU"/>
        </w:rPr>
      </w:pPr>
      <w:r w:rsidRPr="00FD6B73">
        <w:rPr>
          <w:rFonts w:cs="Times New Roman"/>
          <w:shd w:val="clear" w:color="auto" w:fill="FFFFFF"/>
          <w:lang w:val="ru-RU"/>
        </w:rPr>
        <w:t>Виши суд у Београду- Одељење за ратне злочине;</w:t>
      </w:r>
    </w:p>
    <w:p w14:paraId="09559299" w14:textId="77777777" w:rsidR="0073773C" w:rsidRPr="00CD46D4" w:rsidRDefault="0073773C" w:rsidP="00AD4730">
      <w:pPr>
        <w:pStyle w:val="ListParagraph"/>
        <w:numPr>
          <w:ilvl w:val="0"/>
          <w:numId w:val="35"/>
        </w:numPr>
        <w:spacing w:after="120"/>
        <w:contextualSpacing w:val="0"/>
        <w:rPr>
          <w:rFonts w:cs="Times New Roman"/>
          <w:shd w:val="clear" w:color="auto" w:fill="FFFFFF"/>
        </w:rPr>
      </w:pPr>
      <w:r w:rsidRPr="00CD46D4">
        <w:rPr>
          <w:rFonts w:cs="Times New Roman"/>
          <w:shd w:val="clear" w:color="auto" w:fill="FFFFFF"/>
        </w:rPr>
        <w:t>Комисија за нестала лица;</w:t>
      </w:r>
    </w:p>
    <w:p w14:paraId="32E5BD7E" w14:textId="77777777" w:rsidR="00232480" w:rsidRPr="00CD46D4" w:rsidRDefault="00232480" w:rsidP="00AD4730">
      <w:pPr>
        <w:pStyle w:val="ListParagraph"/>
        <w:numPr>
          <w:ilvl w:val="0"/>
          <w:numId w:val="35"/>
        </w:numPr>
        <w:spacing w:after="120"/>
        <w:contextualSpacing w:val="0"/>
        <w:rPr>
          <w:rFonts w:cs="Times New Roman"/>
          <w:shd w:val="clear" w:color="auto" w:fill="FFFFFF"/>
        </w:rPr>
      </w:pPr>
      <w:r w:rsidRPr="00CD46D4">
        <w:rPr>
          <w:rFonts w:cs="Times New Roman"/>
          <w:shd w:val="clear" w:color="auto" w:fill="FFFFFF"/>
        </w:rPr>
        <w:lastRenderedPageBreak/>
        <w:t>Министарство правде;</w:t>
      </w:r>
    </w:p>
    <w:p w14:paraId="32A3504F" w14:textId="77777777" w:rsidR="00232480" w:rsidRPr="00FD6B73" w:rsidRDefault="00232480" w:rsidP="00AD4730">
      <w:pPr>
        <w:pStyle w:val="ListParagraph"/>
        <w:numPr>
          <w:ilvl w:val="0"/>
          <w:numId w:val="35"/>
        </w:numPr>
        <w:spacing w:after="120"/>
        <w:contextualSpacing w:val="0"/>
        <w:rPr>
          <w:rFonts w:cs="Times New Roman"/>
          <w:color w:val="000000" w:themeColor="text1"/>
          <w:shd w:val="clear" w:color="auto" w:fill="FFFFFF"/>
          <w:lang w:val="ru-RU"/>
        </w:rPr>
      </w:pPr>
      <w:r w:rsidRPr="00FD6B73">
        <w:rPr>
          <w:rFonts w:cs="Times New Roman"/>
          <w:color w:val="000000" w:themeColor="text1"/>
          <w:shd w:val="clear" w:color="auto" w:fill="FFFFFF"/>
          <w:lang w:val="ru-RU"/>
        </w:rPr>
        <w:t>Министарство за рад, запошљавање, борачка и социјална питања;</w:t>
      </w:r>
    </w:p>
    <w:p w14:paraId="3E4CAFC1" w14:textId="77777777" w:rsidR="0073773C" w:rsidRPr="004A544C" w:rsidRDefault="0073773C" w:rsidP="00AD4730">
      <w:pPr>
        <w:pStyle w:val="ListParagraph"/>
        <w:numPr>
          <w:ilvl w:val="0"/>
          <w:numId w:val="35"/>
        </w:numPr>
        <w:spacing w:after="120"/>
        <w:contextualSpacing w:val="0"/>
        <w:rPr>
          <w:rFonts w:cs="Times New Roman"/>
          <w:color w:val="000000" w:themeColor="text1"/>
          <w:shd w:val="clear" w:color="auto" w:fill="FFFFFF"/>
        </w:rPr>
      </w:pPr>
      <w:r w:rsidRPr="004A544C">
        <w:rPr>
          <w:rFonts w:cs="Times New Roman"/>
          <w:color w:val="000000" w:themeColor="text1"/>
          <w:shd w:val="clear" w:color="auto" w:fill="FFFFFF"/>
        </w:rPr>
        <w:t>Министарство спољних послова;</w:t>
      </w:r>
    </w:p>
    <w:p w14:paraId="1EFF5CC7" w14:textId="5D3DAA74" w:rsidR="0073773C" w:rsidRPr="00FD6B73" w:rsidRDefault="0073773C" w:rsidP="00AD4730">
      <w:pPr>
        <w:pStyle w:val="ListParagraph"/>
        <w:numPr>
          <w:ilvl w:val="0"/>
          <w:numId w:val="35"/>
        </w:numPr>
        <w:spacing w:after="120"/>
        <w:contextualSpacing w:val="0"/>
        <w:rPr>
          <w:rFonts w:cs="Times New Roman"/>
          <w:shd w:val="clear" w:color="auto" w:fill="FFFFFF"/>
          <w:lang w:val="ru-RU"/>
        </w:rPr>
      </w:pPr>
      <w:r w:rsidRPr="00FD6B73">
        <w:rPr>
          <w:rFonts w:cs="Times New Roman"/>
          <w:shd w:val="clear" w:color="auto" w:fill="FFFFFF"/>
          <w:lang w:val="ru-RU"/>
        </w:rPr>
        <w:t>Министарство унутрашњих послова</w:t>
      </w:r>
      <w:r w:rsidR="000B0462">
        <w:rPr>
          <w:rFonts w:cs="Times New Roman"/>
          <w:shd w:val="clear" w:color="auto" w:fill="FFFFFF"/>
          <w:lang w:val="ru-RU"/>
        </w:rPr>
        <w:t xml:space="preserve"> </w:t>
      </w:r>
      <w:r w:rsidRPr="00FD6B73">
        <w:rPr>
          <w:rFonts w:cs="Times New Roman"/>
          <w:shd w:val="clear" w:color="auto" w:fill="FFFFFF"/>
          <w:lang w:val="ru-RU"/>
        </w:rPr>
        <w:t>- Јединица за заштиту</w:t>
      </w:r>
      <w:r w:rsidR="000B0462">
        <w:rPr>
          <w:rFonts w:cs="Times New Roman"/>
          <w:shd w:val="clear" w:color="auto" w:fill="FFFFFF"/>
          <w:lang w:val="ru-RU"/>
        </w:rPr>
        <w:t xml:space="preserve"> сведока</w:t>
      </w:r>
      <w:r w:rsidRPr="00FD6B73">
        <w:rPr>
          <w:rFonts w:cs="Times New Roman"/>
          <w:shd w:val="clear" w:color="auto" w:fill="FFFFFF"/>
          <w:lang w:val="ru-RU"/>
        </w:rPr>
        <w:t>;</w:t>
      </w:r>
    </w:p>
    <w:p w14:paraId="4596F3B8" w14:textId="74482BE0" w:rsidR="0073773C" w:rsidRPr="00FD6B73" w:rsidRDefault="0073773C" w:rsidP="00AD4730">
      <w:pPr>
        <w:pStyle w:val="ListParagraph"/>
        <w:numPr>
          <w:ilvl w:val="0"/>
          <w:numId w:val="35"/>
        </w:numPr>
        <w:spacing w:after="120"/>
        <w:contextualSpacing w:val="0"/>
        <w:rPr>
          <w:rFonts w:cs="Times New Roman"/>
          <w:shd w:val="clear" w:color="auto" w:fill="FFFFFF"/>
          <w:lang w:val="ru-RU"/>
        </w:rPr>
      </w:pPr>
      <w:r w:rsidRPr="00FD6B73">
        <w:rPr>
          <w:rFonts w:cs="Times New Roman"/>
          <w:shd w:val="clear" w:color="auto" w:fill="FFFFFF"/>
          <w:lang w:val="ru-RU"/>
        </w:rPr>
        <w:t>Министарство унутрашњих послова</w:t>
      </w:r>
      <w:r w:rsidR="000B0462">
        <w:rPr>
          <w:rFonts w:cs="Times New Roman"/>
          <w:shd w:val="clear" w:color="auto" w:fill="FFFFFF"/>
          <w:lang w:val="ru-RU"/>
        </w:rPr>
        <w:t xml:space="preserve"> </w:t>
      </w:r>
      <w:r w:rsidRPr="00FD6B73">
        <w:rPr>
          <w:rFonts w:cs="Times New Roman"/>
          <w:shd w:val="clear" w:color="auto" w:fill="FFFFFF"/>
          <w:lang w:val="ru-RU"/>
        </w:rPr>
        <w:t>- Служба за откривање ратних злочина;</w:t>
      </w:r>
    </w:p>
    <w:p w14:paraId="4B10A0E0" w14:textId="77777777" w:rsidR="0073773C" w:rsidRPr="00CD46D4" w:rsidRDefault="0073773C" w:rsidP="00AD4730">
      <w:pPr>
        <w:pStyle w:val="ListParagraph"/>
        <w:numPr>
          <w:ilvl w:val="0"/>
          <w:numId w:val="35"/>
        </w:numPr>
        <w:spacing w:after="120"/>
        <w:contextualSpacing w:val="0"/>
        <w:rPr>
          <w:rFonts w:cs="Times New Roman"/>
          <w:shd w:val="clear" w:color="auto" w:fill="FFFFFF"/>
        </w:rPr>
      </w:pPr>
      <w:r w:rsidRPr="00CD46D4">
        <w:rPr>
          <w:rFonts w:cs="Times New Roman"/>
          <w:shd w:val="clear" w:color="auto" w:fill="FFFFFF"/>
        </w:rPr>
        <w:t>Правосудна академија;</w:t>
      </w:r>
    </w:p>
    <w:p w14:paraId="57F892B5" w14:textId="77777777" w:rsidR="0073773C" w:rsidRPr="00CD46D4" w:rsidRDefault="0073773C" w:rsidP="00AD4730">
      <w:pPr>
        <w:pStyle w:val="ListParagraph"/>
        <w:numPr>
          <w:ilvl w:val="0"/>
          <w:numId w:val="35"/>
        </w:numPr>
        <w:spacing w:after="120"/>
        <w:contextualSpacing w:val="0"/>
        <w:rPr>
          <w:rFonts w:cs="Times New Roman"/>
          <w:shd w:val="clear" w:color="auto" w:fill="FFFFFF"/>
        </w:rPr>
      </w:pPr>
      <w:r w:rsidRPr="00CD46D4">
        <w:rPr>
          <w:rFonts w:cs="Times New Roman"/>
          <w:shd w:val="clear" w:color="auto" w:fill="FFFFFF"/>
        </w:rPr>
        <w:t>Тужилаштво за ратне злочине.</w:t>
      </w:r>
    </w:p>
    <w:p w14:paraId="762101B7" w14:textId="77777777" w:rsidR="0073773C" w:rsidRPr="00CD46D4" w:rsidRDefault="0073773C" w:rsidP="0073773C">
      <w:pPr>
        <w:pStyle w:val="ListParagraph"/>
        <w:rPr>
          <w:rFonts w:cs="Times New Roman"/>
          <w:shd w:val="clear" w:color="auto" w:fill="FFFFFF"/>
        </w:rPr>
      </w:pPr>
    </w:p>
    <w:p w14:paraId="6B4BD31F" w14:textId="77777777" w:rsidR="001149AA" w:rsidRPr="00CD46D4" w:rsidRDefault="002E240F" w:rsidP="00AD4730">
      <w:pPr>
        <w:pStyle w:val="Heading1"/>
        <w:numPr>
          <w:ilvl w:val="0"/>
          <w:numId w:val="1"/>
        </w:numPr>
        <w:spacing w:after="240" w:line="240" w:lineRule="auto"/>
        <w:rPr>
          <w:rFonts w:cs="Times New Roman"/>
        </w:rPr>
      </w:pPr>
      <w:bookmarkStart w:id="62" w:name="_Toc72932077"/>
      <w:bookmarkStart w:id="63" w:name="_Toc84580784"/>
      <w:r w:rsidRPr="00CD46D4">
        <w:rPr>
          <w:rFonts w:cs="Times New Roman"/>
          <w:caps w:val="0"/>
        </w:rPr>
        <w:t>ЦИЉЕВИ СТРАТЕГИЈЕ</w:t>
      </w:r>
      <w:bookmarkEnd w:id="62"/>
      <w:bookmarkEnd w:id="63"/>
    </w:p>
    <w:tbl>
      <w:tblPr>
        <w:tblStyle w:val="TableGrid"/>
        <w:tblW w:w="0" w:type="auto"/>
        <w:shd w:val="clear" w:color="auto" w:fill="DEEAF6" w:themeFill="accent1" w:themeFillTint="33"/>
        <w:tblLook w:val="04A0" w:firstRow="1" w:lastRow="0" w:firstColumn="1" w:lastColumn="0" w:noHBand="0" w:noVBand="1"/>
      </w:tblPr>
      <w:tblGrid>
        <w:gridCol w:w="9350"/>
      </w:tblGrid>
      <w:tr w:rsidR="00584EBB" w:rsidRPr="00627105" w14:paraId="61761A27" w14:textId="77777777" w:rsidTr="00852729">
        <w:trPr>
          <w:trHeight w:val="1302"/>
        </w:trPr>
        <w:tc>
          <w:tcPr>
            <w:tcW w:w="9350" w:type="dxa"/>
            <w:shd w:val="clear" w:color="auto" w:fill="DEEAF6" w:themeFill="accent1" w:themeFillTint="33"/>
          </w:tcPr>
          <w:p w14:paraId="56EF4006" w14:textId="77777777" w:rsidR="00584EBB" w:rsidRPr="00CD46D4" w:rsidRDefault="00584EBB" w:rsidP="00F10AC7">
            <w:pPr>
              <w:rPr>
                <w:rFonts w:cs="Times New Roman"/>
                <w:b/>
                <w:bCs/>
                <w:i/>
                <w:iCs/>
              </w:rPr>
            </w:pPr>
            <w:r w:rsidRPr="00CD46D4">
              <w:rPr>
                <w:rFonts w:cs="Times New Roman"/>
                <w:b/>
                <w:bCs/>
                <w:i/>
                <w:iCs/>
              </w:rPr>
              <w:t>Општи циљ Стратегије</w:t>
            </w:r>
          </w:p>
          <w:p w14:paraId="33781872" w14:textId="77777777" w:rsidR="00584EBB" w:rsidRPr="00CD46D4" w:rsidRDefault="00584EBB" w:rsidP="00F10AC7">
            <w:pPr>
              <w:rPr>
                <w:rFonts w:cs="Times New Roman"/>
                <w:b/>
                <w:bCs/>
                <w:i/>
                <w:iCs/>
              </w:rPr>
            </w:pPr>
          </w:p>
          <w:p w14:paraId="214EA755" w14:textId="77777777" w:rsidR="00584EBB" w:rsidRPr="00FD6B73" w:rsidRDefault="00AC5591" w:rsidP="00C1701A">
            <w:pPr>
              <w:spacing w:after="120"/>
              <w:rPr>
                <w:rFonts w:cs="Times New Roman"/>
                <w:lang w:val="ru-RU"/>
              </w:rPr>
            </w:pPr>
            <w:r w:rsidRPr="00FD6B73">
              <w:rPr>
                <w:rFonts w:cs="Times New Roman"/>
                <w:lang w:val="ru-RU"/>
              </w:rPr>
              <w:t xml:space="preserve">Оснаживање процесних и ванпроцесних механизама за </w:t>
            </w:r>
            <w:r w:rsidR="00990A03" w:rsidRPr="00FD6B73">
              <w:rPr>
                <w:rFonts w:cs="Times New Roman"/>
                <w:lang w:val="ru-RU"/>
              </w:rPr>
              <w:t>кажњавање</w:t>
            </w:r>
            <w:r w:rsidRPr="00FD6B73">
              <w:rPr>
                <w:rFonts w:cs="Times New Roman"/>
                <w:lang w:val="ru-RU"/>
              </w:rPr>
              <w:t xml:space="preserve"> ратних злочина, заштиту и подршку жртава, откривање судбине несталих лица и изградњу друштвеног амбијента </w:t>
            </w:r>
            <w:r w:rsidR="00C1701A" w:rsidRPr="00FD6B73">
              <w:rPr>
                <w:rFonts w:cs="Times New Roman"/>
                <w:lang w:val="ru-RU"/>
              </w:rPr>
              <w:t>толеранције и помирења.</w:t>
            </w:r>
          </w:p>
        </w:tc>
      </w:tr>
      <w:tr w:rsidR="00584EBB" w:rsidRPr="00627105" w14:paraId="4A8F5E73" w14:textId="77777777" w:rsidTr="00852729">
        <w:tc>
          <w:tcPr>
            <w:tcW w:w="9350" w:type="dxa"/>
            <w:shd w:val="clear" w:color="auto" w:fill="DEEAF6" w:themeFill="accent1" w:themeFillTint="33"/>
          </w:tcPr>
          <w:p w14:paraId="0AD645CE" w14:textId="77777777" w:rsidR="00584EBB" w:rsidRPr="00FD6B73" w:rsidRDefault="00584EBB" w:rsidP="00F10AC7">
            <w:pPr>
              <w:rPr>
                <w:rFonts w:cs="Times New Roman"/>
                <w:b/>
                <w:bCs/>
                <w:i/>
                <w:u w:val="single"/>
                <w:lang w:val="ru-RU"/>
              </w:rPr>
            </w:pPr>
          </w:p>
          <w:p w14:paraId="59409812" w14:textId="77777777" w:rsidR="00584EBB" w:rsidRPr="00FD6B73" w:rsidRDefault="00584EBB" w:rsidP="00F10AC7">
            <w:pPr>
              <w:rPr>
                <w:rFonts w:cs="Times New Roman"/>
                <w:b/>
                <w:bCs/>
                <w:i/>
                <w:u w:val="single"/>
                <w:lang w:val="ru-RU"/>
              </w:rPr>
            </w:pPr>
            <w:r w:rsidRPr="00FD6B73">
              <w:rPr>
                <w:rFonts w:cs="Times New Roman"/>
                <w:b/>
                <w:bCs/>
                <w:i/>
                <w:u w:val="single"/>
                <w:lang w:val="ru-RU"/>
              </w:rPr>
              <w:t>Показатељ утицаја на нивоу општег циља</w:t>
            </w:r>
          </w:p>
          <w:p w14:paraId="1E16D923" w14:textId="77777777" w:rsidR="00584EBB" w:rsidRPr="00FD6B73" w:rsidRDefault="00584EBB" w:rsidP="00F10AC7">
            <w:pPr>
              <w:rPr>
                <w:rFonts w:cs="Times New Roman"/>
                <w:iCs/>
                <w:lang w:val="ru-RU"/>
              </w:rPr>
            </w:pPr>
          </w:p>
          <w:p w14:paraId="6D94CB16" w14:textId="77777777" w:rsidR="0082345B" w:rsidRPr="00FD6B73" w:rsidRDefault="0082345B" w:rsidP="00B249F1">
            <w:pPr>
              <w:pStyle w:val="ListParagraph"/>
              <w:numPr>
                <w:ilvl w:val="0"/>
                <w:numId w:val="45"/>
              </w:numPr>
              <w:spacing w:before="120"/>
              <w:contextualSpacing w:val="0"/>
              <w:jc w:val="left"/>
              <w:rPr>
                <w:rFonts w:cs="Times New Roman"/>
                <w:iCs/>
                <w:szCs w:val="24"/>
                <w:lang w:val="ru-RU"/>
              </w:rPr>
            </w:pPr>
            <w:r w:rsidRPr="00FD6B73">
              <w:rPr>
                <w:rFonts w:cs="Times New Roman"/>
                <w:iCs/>
                <w:szCs w:val="24"/>
                <w:lang w:val="ru-RU"/>
              </w:rPr>
              <w:t>Унапређена усклађеност релевантног нормативног оквира са међународним стандардима;</w:t>
            </w:r>
          </w:p>
          <w:p w14:paraId="003FEDC0" w14:textId="77777777" w:rsidR="0082345B" w:rsidRPr="00FD6B73" w:rsidRDefault="0082345B" w:rsidP="00B249F1">
            <w:pPr>
              <w:pStyle w:val="ListParagraph"/>
              <w:numPr>
                <w:ilvl w:val="0"/>
                <w:numId w:val="45"/>
              </w:numPr>
              <w:spacing w:before="120"/>
              <w:contextualSpacing w:val="0"/>
              <w:jc w:val="left"/>
              <w:rPr>
                <w:rFonts w:cs="Times New Roman"/>
                <w:iCs/>
                <w:szCs w:val="24"/>
                <w:lang w:val="ru-RU"/>
              </w:rPr>
            </w:pPr>
            <w:r w:rsidRPr="00FD6B73">
              <w:rPr>
                <w:rFonts w:cs="Times New Roman"/>
                <w:iCs/>
                <w:szCs w:val="24"/>
                <w:lang w:val="ru-RU"/>
              </w:rPr>
              <w:t>Унапређена ефикасност поступака за ратне злочине;</w:t>
            </w:r>
          </w:p>
          <w:p w14:paraId="2F90A1D0" w14:textId="77777777" w:rsidR="0082345B" w:rsidRPr="00FD6B73" w:rsidRDefault="0082345B" w:rsidP="00B249F1">
            <w:pPr>
              <w:pStyle w:val="ListParagraph"/>
              <w:numPr>
                <w:ilvl w:val="0"/>
                <w:numId w:val="45"/>
              </w:numPr>
              <w:spacing w:before="120"/>
              <w:contextualSpacing w:val="0"/>
              <w:jc w:val="left"/>
              <w:rPr>
                <w:rFonts w:cs="Times New Roman"/>
                <w:iCs/>
                <w:szCs w:val="24"/>
                <w:lang w:val="ru-RU"/>
              </w:rPr>
            </w:pPr>
            <w:r w:rsidRPr="00FD6B73">
              <w:rPr>
                <w:rFonts w:cs="Times New Roman"/>
                <w:iCs/>
                <w:szCs w:val="24"/>
                <w:lang w:val="ru-RU"/>
              </w:rPr>
              <w:t>Унапређен квалитет подршке и заштите жртава;</w:t>
            </w:r>
          </w:p>
          <w:p w14:paraId="5A9C71D8" w14:textId="77777777" w:rsidR="0082345B" w:rsidRPr="00FD6B73" w:rsidRDefault="0082345B" w:rsidP="00B249F1">
            <w:pPr>
              <w:pStyle w:val="ListParagraph"/>
              <w:numPr>
                <w:ilvl w:val="0"/>
                <w:numId w:val="45"/>
              </w:numPr>
              <w:spacing w:before="120"/>
              <w:contextualSpacing w:val="0"/>
              <w:jc w:val="left"/>
              <w:rPr>
                <w:rFonts w:cs="Times New Roman"/>
                <w:iCs/>
                <w:szCs w:val="24"/>
                <w:lang w:val="ru-RU"/>
              </w:rPr>
            </w:pPr>
            <w:r w:rsidRPr="00FD6B73">
              <w:rPr>
                <w:rFonts w:cs="Times New Roman"/>
                <w:iCs/>
                <w:szCs w:val="24"/>
                <w:lang w:val="ru-RU"/>
              </w:rPr>
              <w:t>Смањен број несталих лица чија судбина није расветљена;</w:t>
            </w:r>
          </w:p>
          <w:p w14:paraId="3EC8460F" w14:textId="77777777" w:rsidR="0082345B" w:rsidRPr="00FD6B73" w:rsidRDefault="0082345B" w:rsidP="00B249F1">
            <w:pPr>
              <w:pStyle w:val="ListParagraph"/>
              <w:numPr>
                <w:ilvl w:val="0"/>
                <w:numId w:val="45"/>
              </w:numPr>
              <w:spacing w:before="120"/>
              <w:contextualSpacing w:val="0"/>
              <w:jc w:val="left"/>
              <w:rPr>
                <w:rFonts w:cs="Times New Roman"/>
                <w:iCs/>
                <w:szCs w:val="24"/>
                <w:lang w:val="ru-RU"/>
              </w:rPr>
            </w:pPr>
            <w:r w:rsidRPr="00FD6B73">
              <w:rPr>
                <w:rFonts w:cs="Times New Roman"/>
                <w:iCs/>
                <w:szCs w:val="24"/>
                <w:lang w:val="ru-RU"/>
              </w:rPr>
              <w:t xml:space="preserve">Унапређен ниво међуинституционалне и регионалне сарадње; </w:t>
            </w:r>
          </w:p>
          <w:p w14:paraId="24347814" w14:textId="77777777" w:rsidR="00FA02C9" w:rsidRPr="00FD6B73" w:rsidRDefault="0082345B" w:rsidP="00FD6B73">
            <w:pPr>
              <w:pStyle w:val="ListParagraph"/>
              <w:numPr>
                <w:ilvl w:val="0"/>
                <w:numId w:val="45"/>
              </w:numPr>
              <w:spacing w:before="120" w:after="120"/>
              <w:ind w:left="714" w:hanging="357"/>
              <w:contextualSpacing w:val="0"/>
              <w:jc w:val="left"/>
              <w:rPr>
                <w:rFonts w:cs="Times New Roman"/>
                <w:iCs/>
                <w:szCs w:val="24"/>
                <w:lang w:val="ru-RU"/>
              </w:rPr>
            </w:pPr>
            <w:r w:rsidRPr="00FD6B73">
              <w:rPr>
                <w:rFonts w:cs="Times New Roman"/>
                <w:iCs/>
                <w:szCs w:val="24"/>
                <w:lang w:val="ru-RU"/>
              </w:rPr>
              <w:t>Унапређен ниво сарадње са релевантним међународним институцијама;</w:t>
            </w:r>
          </w:p>
          <w:p w14:paraId="0BEF6DD0" w14:textId="77777777" w:rsidR="00584EBB" w:rsidRPr="00FD6B73" w:rsidRDefault="0082345B" w:rsidP="00E77CC8">
            <w:pPr>
              <w:pStyle w:val="ListParagraph"/>
              <w:numPr>
                <w:ilvl w:val="0"/>
                <w:numId w:val="45"/>
              </w:numPr>
              <w:rPr>
                <w:rFonts w:cs="Times New Roman"/>
                <w:iCs/>
                <w:szCs w:val="24"/>
                <w:lang w:val="ru-RU"/>
              </w:rPr>
            </w:pPr>
            <w:r w:rsidRPr="00FD6B73">
              <w:rPr>
                <w:rFonts w:cs="Times New Roman"/>
                <w:iCs/>
                <w:szCs w:val="24"/>
                <w:lang w:val="ru-RU"/>
              </w:rPr>
              <w:t>Унапређена транспарентност поступака за ратне злочине.</w:t>
            </w:r>
          </w:p>
          <w:p w14:paraId="7B54702B" w14:textId="77777777" w:rsidR="00C1701A" w:rsidRPr="00FD6B73" w:rsidRDefault="00584EBB" w:rsidP="00C1701A">
            <w:pPr>
              <w:spacing w:before="120" w:after="120"/>
              <w:rPr>
                <w:rFonts w:cs="Times New Roman"/>
                <w:iCs/>
                <w:lang w:val="ru-RU"/>
              </w:rPr>
            </w:pPr>
            <w:r w:rsidRPr="00FD6B73">
              <w:rPr>
                <w:rFonts w:cs="Times New Roman"/>
                <w:iCs/>
                <w:u w:val="single"/>
                <w:lang w:val="ru-RU"/>
              </w:rPr>
              <w:t>Базна вредност 2021. године</w:t>
            </w:r>
            <w:r w:rsidRPr="00FD6B73">
              <w:rPr>
                <w:rFonts w:cs="Times New Roman"/>
                <w:iCs/>
                <w:lang w:val="ru-RU"/>
              </w:rPr>
              <w:t xml:space="preserve">: </w:t>
            </w:r>
            <w:r w:rsidR="00990A03" w:rsidRPr="00FD6B73">
              <w:rPr>
                <w:rFonts w:cs="Times New Roman"/>
                <w:iCs/>
                <w:lang w:val="ru-RU"/>
              </w:rPr>
              <w:t>НЕ</w:t>
            </w:r>
          </w:p>
          <w:p w14:paraId="716016E2" w14:textId="77777777" w:rsidR="00C1701A" w:rsidRPr="00FD6B73" w:rsidRDefault="00584EBB" w:rsidP="00C1701A">
            <w:pPr>
              <w:spacing w:before="120" w:after="120"/>
              <w:rPr>
                <w:rFonts w:cs="Times New Roman"/>
                <w:iCs/>
                <w:lang w:val="ru-RU"/>
              </w:rPr>
            </w:pPr>
            <w:r w:rsidRPr="00FD6B73">
              <w:rPr>
                <w:rFonts w:cs="Times New Roman"/>
                <w:iCs/>
                <w:u w:val="single"/>
                <w:lang w:val="ru-RU"/>
              </w:rPr>
              <w:t>Циљана вредност у 202</w:t>
            </w:r>
            <w:r w:rsidR="00C1701A" w:rsidRPr="00FD6B73">
              <w:rPr>
                <w:rFonts w:cs="Times New Roman"/>
                <w:iCs/>
                <w:u w:val="single"/>
                <w:lang w:val="ru-RU"/>
              </w:rPr>
              <w:t>6</w:t>
            </w:r>
            <w:r w:rsidRPr="00FD6B73">
              <w:rPr>
                <w:rFonts w:cs="Times New Roman"/>
                <w:iCs/>
                <w:lang w:val="ru-RU"/>
              </w:rPr>
              <w:t xml:space="preserve">. години: </w:t>
            </w:r>
            <w:r w:rsidR="004B5475" w:rsidRPr="00FD6B73">
              <w:rPr>
                <w:rFonts w:cs="Times New Roman"/>
                <w:iCs/>
                <w:lang w:val="ru-RU"/>
              </w:rPr>
              <w:t>П</w:t>
            </w:r>
            <w:r w:rsidR="004B5475" w:rsidRPr="00FD6B73">
              <w:rPr>
                <w:rFonts w:cs="Times New Roman"/>
                <w:lang w:val="ru-RU"/>
              </w:rPr>
              <w:t xml:space="preserve">роцесни и ванпроцесни механизми за </w:t>
            </w:r>
            <w:r w:rsidR="00990A03" w:rsidRPr="00FD6B73">
              <w:rPr>
                <w:rFonts w:cs="Times New Roman"/>
                <w:lang w:val="ru-RU"/>
              </w:rPr>
              <w:t>кажњавање</w:t>
            </w:r>
            <w:r w:rsidR="004B5475" w:rsidRPr="00FD6B73">
              <w:rPr>
                <w:rFonts w:cs="Times New Roman"/>
                <w:lang w:val="ru-RU"/>
              </w:rPr>
              <w:t xml:space="preserve"> ратних злочина, заштиту и подршку жртава, откривање судбине несталих лица и изградњу друштвеног амбијента толеранције и помирења, оснажени су кроз унапређење нормативног оквира, јачање </w:t>
            </w:r>
            <w:r w:rsidR="00961939" w:rsidRPr="00FD6B73">
              <w:rPr>
                <w:rFonts w:cs="Times New Roman"/>
                <w:lang w:val="ru-RU"/>
              </w:rPr>
              <w:t>институционалн</w:t>
            </w:r>
            <w:r w:rsidR="00080CDE" w:rsidRPr="00FD6B73">
              <w:rPr>
                <w:rFonts w:cs="Times New Roman"/>
                <w:lang w:val="ru-RU"/>
              </w:rPr>
              <w:t>и</w:t>
            </w:r>
            <w:r w:rsidR="00961939" w:rsidRPr="00FD6B73">
              <w:rPr>
                <w:rFonts w:cs="Times New Roman"/>
                <w:lang w:val="ru-RU"/>
              </w:rPr>
              <w:t xml:space="preserve">х, </w:t>
            </w:r>
            <w:r w:rsidR="004B5475" w:rsidRPr="00FD6B73">
              <w:rPr>
                <w:rFonts w:cs="Times New Roman"/>
                <w:lang w:val="ru-RU"/>
              </w:rPr>
              <w:t>административних и инфраструктурних капацитета и континуиран дијалог на међуинституционалном, регионалном и међународном нивоу</w:t>
            </w:r>
            <w:r w:rsidR="00DD426F" w:rsidRPr="00FD6B73">
              <w:rPr>
                <w:rFonts w:cs="Times New Roman"/>
                <w:lang w:val="ru-RU"/>
              </w:rPr>
              <w:t>.</w:t>
            </w:r>
          </w:p>
          <w:p w14:paraId="0E5AC049" w14:textId="0D2132F1" w:rsidR="00584EBB" w:rsidRPr="00FD6B73" w:rsidRDefault="00584EBB" w:rsidP="000B0462">
            <w:pPr>
              <w:spacing w:before="120" w:after="120"/>
              <w:rPr>
                <w:rFonts w:cs="Times New Roman"/>
                <w:iCs/>
                <w:lang w:val="ru-RU"/>
              </w:rPr>
            </w:pPr>
            <w:r w:rsidRPr="00FD6B73">
              <w:rPr>
                <w:rFonts w:cs="Times New Roman"/>
                <w:iCs/>
                <w:u w:val="single"/>
                <w:lang w:val="ru-RU"/>
              </w:rPr>
              <w:t>Извор провере:</w:t>
            </w:r>
            <w:r w:rsidR="002B5935">
              <w:rPr>
                <w:rFonts w:cs="Times New Roman"/>
                <w:iCs/>
                <w:u w:val="single"/>
                <w:lang w:val="ru-RU"/>
              </w:rPr>
              <w:t xml:space="preserve"> </w:t>
            </w:r>
            <w:r w:rsidR="000B0462">
              <w:rPr>
                <w:rFonts w:cs="Times New Roman"/>
                <w:iCs/>
                <w:lang w:val="ru-RU"/>
              </w:rPr>
              <w:t>к</w:t>
            </w:r>
            <w:r w:rsidR="00B848ED" w:rsidRPr="00FD6B73">
              <w:rPr>
                <w:rFonts w:cs="Times New Roman"/>
                <w:iCs/>
                <w:lang w:val="ru-RU"/>
              </w:rPr>
              <w:t xml:space="preserve">вартални </w:t>
            </w:r>
            <w:r w:rsidR="000B0462">
              <w:rPr>
                <w:rFonts w:cs="Times New Roman"/>
                <w:iCs/>
                <w:lang w:val="ru-RU"/>
              </w:rPr>
              <w:t>и</w:t>
            </w:r>
            <w:r w:rsidR="00DD426F" w:rsidRPr="00FD6B73">
              <w:rPr>
                <w:rFonts w:cs="Times New Roman"/>
                <w:iCs/>
                <w:lang w:val="ru-RU"/>
              </w:rPr>
              <w:t xml:space="preserve">звештаји о спровођењу Националне стратегије за процесуирање ратних злочина; </w:t>
            </w:r>
            <w:r w:rsidR="000B0462">
              <w:rPr>
                <w:rFonts w:cs="Times New Roman"/>
                <w:iCs/>
                <w:lang w:val="ru-RU"/>
              </w:rPr>
              <w:t>и</w:t>
            </w:r>
            <w:r w:rsidR="00DD426F" w:rsidRPr="00FD6B73">
              <w:rPr>
                <w:rFonts w:cs="Times New Roman"/>
                <w:iCs/>
                <w:lang w:val="ru-RU"/>
              </w:rPr>
              <w:t xml:space="preserve">звештаји о спровођењу Тужилачке стратегије за истрагу и гоњење ратних злочина; </w:t>
            </w:r>
            <w:r w:rsidR="000B0462">
              <w:rPr>
                <w:rFonts w:cs="Times New Roman"/>
                <w:iCs/>
                <w:lang w:val="ru-RU"/>
              </w:rPr>
              <w:t>г</w:t>
            </w:r>
            <w:r w:rsidR="00DD426F" w:rsidRPr="00FD6B73">
              <w:rPr>
                <w:rFonts w:cs="Times New Roman"/>
                <w:iCs/>
                <w:lang w:val="ru-RU"/>
              </w:rPr>
              <w:t xml:space="preserve">одишњи извештаји о раду судова у Републици Србији; </w:t>
            </w:r>
            <w:r w:rsidR="000B0462">
              <w:rPr>
                <w:rFonts w:cs="Times New Roman"/>
                <w:iCs/>
                <w:lang w:val="ru-RU"/>
              </w:rPr>
              <w:t>и</w:t>
            </w:r>
            <w:r w:rsidR="00DD426F" w:rsidRPr="00FD6B73">
              <w:rPr>
                <w:rFonts w:cs="Times New Roman"/>
                <w:iCs/>
                <w:lang w:val="ru-RU"/>
              </w:rPr>
              <w:t xml:space="preserve">звештаји о спровођењу Акционог плана за Поглавље 23; </w:t>
            </w:r>
            <w:r w:rsidR="000B0462">
              <w:rPr>
                <w:rFonts w:cs="Times New Roman"/>
                <w:iCs/>
                <w:lang w:val="ru-RU"/>
              </w:rPr>
              <w:t>и</w:t>
            </w:r>
            <w:r w:rsidR="00DD426F" w:rsidRPr="00FD6B73">
              <w:rPr>
                <w:rFonts w:cs="Times New Roman"/>
                <w:iCs/>
                <w:lang w:val="ru-RU"/>
              </w:rPr>
              <w:t xml:space="preserve">звештаји о </w:t>
            </w:r>
            <w:r w:rsidR="00DD426F" w:rsidRPr="00FD6B73">
              <w:rPr>
                <w:rFonts w:cs="Times New Roman"/>
                <w:iCs/>
                <w:lang w:val="ru-RU"/>
              </w:rPr>
              <w:lastRenderedPageBreak/>
              <w:t xml:space="preserve">спровођењу Националне стратегије за остваривање права жртава и сведока кривичних дела у Републици Србији за период од 2020-2025; </w:t>
            </w:r>
            <w:r w:rsidR="000B0462">
              <w:rPr>
                <w:rFonts w:cs="Times New Roman"/>
                <w:iCs/>
                <w:lang w:val="ru-RU"/>
              </w:rPr>
              <w:t>и</w:t>
            </w:r>
            <w:r w:rsidR="00A86882" w:rsidRPr="00FD6B73">
              <w:rPr>
                <w:rFonts w:cs="Times New Roman"/>
                <w:iCs/>
                <w:lang w:val="ru-RU"/>
              </w:rPr>
              <w:t xml:space="preserve">звештаји </w:t>
            </w:r>
            <w:r w:rsidR="000B0462">
              <w:rPr>
                <w:rFonts w:cs="Times New Roman"/>
                <w:iCs/>
                <w:lang w:val="ru-RU"/>
              </w:rPr>
              <w:t>Комисије за нестала лица;</w:t>
            </w:r>
            <w:r w:rsidR="00961939" w:rsidRPr="00FD6B73">
              <w:rPr>
                <w:rFonts w:cs="Times New Roman"/>
                <w:iCs/>
                <w:lang w:val="ru-RU"/>
              </w:rPr>
              <w:t xml:space="preserve"> </w:t>
            </w:r>
            <w:r w:rsidR="000B0462">
              <w:rPr>
                <w:rFonts w:cs="Times New Roman"/>
                <w:iCs/>
                <w:lang w:val="ru-RU"/>
              </w:rPr>
              <w:t>и</w:t>
            </w:r>
            <w:r w:rsidR="00A86882" w:rsidRPr="00FD6B73">
              <w:rPr>
                <w:rFonts w:cs="Times New Roman"/>
                <w:iCs/>
                <w:lang w:val="ru-RU"/>
              </w:rPr>
              <w:t>звештаји Међународног комитета Црвеног крста</w:t>
            </w:r>
            <w:r w:rsidR="00961939" w:rsidRPr="00FD6B73">
              <w:rPr>
                <w:rFonts w:cs="Times New Roman"/>
                <w:iCs/>
                <w:lang w:val="ru-RU"/>
              </w:rPr>
              <w:t xml:space="preserve"> и Међународне комисије за нестала лица</w:t>
            </w:r>
            <w:r w:rsidR="00A86882" w:rsidRPr="00FD6B73">
              <w:rPr>
                <w:rFonts w:cs="Times New Roman"/>
                <w:iCs/>
                <w:lang w:val="ru-RU"/>
              </w:rPr>
              <w:t xml:space="preserve">; </w:t>
            </w:r>
            <w:r w:rsidR="000B0462">
              <w:rPr>
                <w:rFonts w:cs="Times New Roman"/>
                <w:iCs/>
                <w:lang w:val="ru-RU"/>
              </w:rPr>
              <w:t>и</w:t>
            </w:r>
            <w:r w:rsidR="00DD426F" w:rsidRPr="00FD6B73">
              <w:rPr>
                <w:rFonts w:cs="Times New Roman"/>
                <w:iCs/>
                <w:lang w:val="ru-RU"/>
              </w:rPr>
              <w:t>звештаји о напретку Републике Србије у процесу ЕУ интеграција</w:t>
            </w:r>
            <w:r w:rsidR="00805F18" w:rsidRPr="00FD6B73">
              <w:rPr>
                <w:rFonts w:cs="Times New Roman"/>
                <w:iCs/>
                <w:lang w:val="ru-RU"/>
              </w:rPr>
              <w:t xml:space="preserve">; </w:t>
            </w:r>
            <w:r w:rsidR="000B0462">
              <w:rPr>
                <w:rFonts w:cs="Times New Roman"/>
                <w:iCs/>
                <w:lang w:val="ru-RU"/>
              </w:rPr>
              <w:t>и</w:t>
            </w:r>
            <w:r w:rsidR="00805F18" w:rsidRPr="00FD6B73">
              <w:rPr>
                <w:rFonts w:cs="Times New Roman"/>
                <w:iCs/>
                <w:lang w:val="ru-RU"/>
              </w:rPr>
              <w:t>звештаји уговорних тела и специјалних известилаца УН.</w:t>
            </w:r>
          </w:p>
        </w:tc>
      </w:tr>
    </w:tbl>
    <w:p w14:paraId="792748E0" w14:textId="77777777" w:rsidR="00EE54BB" w:rsidRPr="00FD6B73" w:rsidRDefault="00EE54BB" w:rsidP="00EE54BB">
      <w:pPr>
        <w:spacing w:after="120" w:line="240" w:lineRule="auto"/>
        <w:rPr>
          <w:rFonts w:cs="Times New Roman"/>
          <w:szCs w:val="24"/>
          <w:lang w:val="ru-RU"/>
        </w:rPr>
      </w:pPr>
    </w:p>
    <w:p w14:paraId="7323B72D" w14:textId="77777777" w:rsidR="00EE54BB" w:rsidRPr="00FD6B73" w:rsidRDefault="00EE54BB" w:rsidP="00EE54BB">
      <w:pPr>
        <w:spacing w:after="120" w:line="240" w:lineRule="auto"/>
        <w:rPr>
          <w:rFonts w:cs="Times New Roman"/>
          <w:szCs w:val="24"/>
          <w:lang w:val="ru-RU"/>
        </w:rPr>
      </w:pPr>
      <w:r w:rsidRPr="00FD6B73">
        <w:rPr>
          <w:rFonts w:cs="Times New Roman"/>
          <w:szCs w:val="24"/>
          <w:lang w:val="ru-RU"/>
        </w:rPr>
        <w:t xml:space="preserve">Имајући у виду све идентификоване проблеме и изазове чијем је решавању неопходно приступити у предстојећем периоду, поставља се питање начина на који ово треба учинити. </w:t>
      </w:r>
    </w:p>
    <w:p w14:paraId="3C3738A7" w14:textId="77777777" w:rsidR="00EE54BB" w:rsidRPr="00CD46D4" w:rsidRDefault="00EE54BB" w:rsidP="00EE54BB">
      <w:pPr>
        <w:spacing w:after="120" w:line="240" w:lineRule="auto"/>
        <w:rPr>
          <w:rFonts w:cs="Times New Roman"/>
          <w:szCs w:val="24"/>
        </w:rPr>
      </w:pPr>
      <w:r w:rsidRPr="00FD6B73">
        <w:rPr>
          <w:rFonts w:cs="Times New Roman"/>
          <w:szCs w:val="24"/>
          <w:lang w:val="ru-RU"/>
        </w:rPr>
        <w:t xml:space="preserve">У том смислу разматрали смо три алтернативне опције које су посматране из угла капацитета за испуњење општег циља. </w:t>
      </w:r>
      <w:r w:rsidRPr="00CD46D4">
        <w:rPr>
          <w:rFonts w:cs="Times New Roman"/>
          <w:szCs w:val="24"/>
        </w:rPr>
        <w:t xml:space="preserve">Разматране опције: </w:t>
      </w:r>
    </w:p>
    <w:p w14:paraId="2D852986" w14:textId="77777777" w:rsidR="00EE54BB" w:rsidRPr="00FD6B73" w:rsidRDefault="00EE54BB" w:rsidP="00EE54BB">
      <w:pPr>
        <w:pStyle w:val="ListParagraph"/>
        <w:numPr>
          <w:ilvl w:val="0"/>
          <w:numId w:val="20"/>
        </w:numPr>
        <w:spacing w:after="120"/>
        <w:contextualSpacing w:val="0"/>
        <w:rPr>
          <w:rFonts w:cs="Times New Roman"/>
          <w:szCs w:val="24"/>
          <w:lang w:val="ru-RU"/>
        </w:rPr>
      </w:pPr>
      <w:r w:rsidRPr="00CD46D4">
        <w:rPr>
          <w:rFonts w:cs="Times New Roman"/>
          <w:i/>
          <w:iCs/>
          <w:szCs w:val="24"/>
        </w:rPr>
        <w:t>Status</w:t>
      </w:r>
      <w:r w:rsidRPr="00FD6B73">
        <w:rPr>
          <w:rFonts w:cs="Times New Roman"/>
          <w:i/>
          <w:iCs/>
          <w:szCs w:val="24"/>
          <w:lang w:val="ru-RU"/>
        </w:rPr>
        <w:t xml:space="preserve"> </w:t>
      </w:r>
      <w:r w:rsidRPr="00CD46D4">
        <w:rPr>
          <w:rFonts w:cs="Times New Roman"/>
          <w:i/>
          <w:iCs/>
          <w:szCs w:val="24"/>
        </w:rPr>
        <w:t>quo</w:t>
      </w:r>
      <w:r w:rsidRPr="00FD6B73">
        <w:rPr>
          <w:rFonts w:cs="Times New Roman"/>
          <w:szCs w:val="24"/>
          <w:lang w:val="ru-RU"/>
        </w:rPr>
        <w:t xml:space="preserve"> - Ова опција подразумевала би да се након истека важења Националне стратегије за процесуирање рат</w:t>
      </w:r>
      <w:r w:rsidR="001D5523" w:rsidRPr="00FD6B73">
        <w:rPr>
          <w:rFonts w:cs="Times New Roman"/>
          <w:szCs w:val="24"/>
          <w:lang w:val="ru-RU"/>
        </w:rPr>
        <w:t>них злочина са периодом важења</w:t>
      </w:r>
      <w:r w:rsidRPr="00FD6B73">
        <w:rPr>
          <w:rFonts w:cs="Times New Roman"/>
          <w:szCs w:val="24"/>
          <w:lang w:val="ru-RU"/>
        </w:rPr>
        <w:t xml:space="preserve"> од 2016. до 2020. године, не доносе нови плански документи, односно да се задржи достигнути ниво развоја.</w:t>
      </w:r>
    </w:p>
    <w:p w14:paraId="6896BEC3" w14:textId="77777777" w:rsidR="00EE54BB" w:rsidRPr="00FD6B73" w:rsidRDefault="00EE54BB" w:rsidP="00EE54BB">
      <w:pPr>
        <w:pStyle w:val="ListParagraph"/>
        <w:numPr>
          <w:ilvl w:val="0"/>
          <w:numId w:val="20"/>
        </w:numPr>
        <w:spacing w:after="120"/>
        <w:contextualSpacing w:val="0"/>
        <w:rPr>
          <w:rFonts w:cs="Times New Roman"/>
          <w:szCs w:val="24"/>
          <w:lang w:val="ru-RU"/>
        </w:rPr>
      </w:pPr>
      <w:r w:rsidRPr="00FD6B73">
        <w:rPr>
          <w:rFonts w:cs="Times New Roman"/>
          <w:szCs w:val="24"/>
          <w:lang w:val="ru-RU"/>
        </w:rPr>
        <w:t xml:space="preserve"> Опција 1: Ова опција би подразумевала да се, уместо доношења нове националне стратегије, реформски кораци трасирају активностима садржаним у Акционом плану за Поглавље 23.</w:t>
      </w:r>
    </w:p>
    <w:p w14:paraId="7A212ACF" w14:textId="77777777" w:rsidR="00EE54BB" w:rsidRPr="00FD6B73" w:rsidRDefault="00EE54BB" w:rsidP="00EE54BB">
      <w:pPr>
        <w:pStyle w:val="ListParagraph"/>
        <w:numPr>
          <w:ilvl w:val="0"/>
          <w:numId w:val="20"/>
        </w:numPr>
        <w:spacing w:after="120"/>
        <w:contextualSpacing w:val="0"/>
        <w:rPr>
          <w:rFonts w:cs="Times New Roman"/>
          <w:szCs w:val="24"/>
          <w:lang w:val="ru-RU"/>
        </w:rPr>
      </w:pPr>
      <w:r w:rsidRPr="00FD6B73">
        <w:rPr>
          <w:rFonts w:cs="Times New Roman"/>
          <w:szCs w:val="24"/>
          <w:lang w:val="ru-RU"/>
        </w:rPr>
        <w:t>Опција 2: Ова опција подразумевала би обједињавање реформских корака у области процесуирања ратних злочина у један свеобухватан стратешки документ посвећен процесуирању ратних злочина.</w:t>
      </w:r>
    </w:p>
    <w:p w14:paraId="65743D95" w14:textId="77777777" w:rsidR="00EE54BB" w:rsidRPr="00FD6B73" w:rsidRDefault="00EE54BB" w:rsidP="00EE54BB">
      <w:pPr>
        <w:spacing w:after="120" w:line="240" w:lineRule="auto"/>
        <w:rPr>
          <w:rFonts w:cs="Times New Roman"/>
          <w:szCs w:val="24"/>
          <w:lang w:val="ru-RU"/>
        </w:rPr>
      </w:pPr>
      <w:r w:rsidRPr="00FD6B73">
        <w:rPr>
          <w:rFonts w:cs="Times New Roman"/>
          <w:szCs w:val="24"/>
          <w:lang w:val="ru-RU"/>
        </w:rPr>
        <w:t xml:space="preserve">У поређењу опција, коришћена је мултикритеријумска анализа, коришћењем следећих критеријума за оцену опција: </w:t>
      </w:r>
    </w:p>
    <w:p w14:paraId="376B7D08" w14:textId="77777777" w:rsidR="00EE54BB" w:rsidRPr="00FD6B73" w:rsidRDefault="00EE54BB" w:rsidP="00AD4730">
      <w:pPr>
        <w:pStyle w:val="ListParagraph"/>
        <w:numPr>
          <w:ilvl w:val="0"/>
          <w:numId w:val="33"/>
        </w:numPr>
        <w:spacing w:after="120"/>
        <w:ind w:left="720"/>
        <w:contextualSpacing w:val="0"/>
        <w:rPr>
          <w:rFonts w:cs="Times New Roman"/>
          <w:szCs w:val="24"/>
          <w:lang w:val="ru-RU"/>
        </w:rPr>
      </w:pPr>
      <w:r w:rsidRPr="00FD6B73">
        <w:rPr>
          <w:rFonts w:cs="Times New Roman"/>
          <w:szCs w:val="24"/>
          <w:lang w:val="ru-RU"/>
        </w:rPr>
        <w:t xml:space="preserve">ефективност – у којој мери се постиже општи циљ; </w:t>
      </w:r>
    </w:p>
    <w:p w14:paraId="31A87812" w14:textId="77777777" w:rsidR="00EE54BB" w:rsidRPr="00FD6B73" w:rsidRDefault="00EE54BB" w:rsidP="00AD4730">
      <w:pPr>
        <w:pStyle w:val="ListParagraph"/>
        <w:numPr>
          <w:ilvl w:val="0"/>
          <w:numId w:val="33"/>
        </w:numPr>
        <w:spacing w:after="120"/>
        <w:ind w:left="720"/>
        <w:contextualSpacing w:val="0"/>
        <w:rPr>
          <w:rFonts w:cs="Times New Roman"/>
          <w:szCs w:val="24"/>
          <w:lang w:val="ru-RU"/>
        </w:rPr>
      </w:pPr>
      <w:r w:rsidRPr="00FD6B73">
        <w:rPr>
          <w:rFonts w:cs="Times New Roman"/>
          <w:szCs w:val="24"/>
          <w:lang w:val="ru-RU"/>
        </w:rPr>
        <w:t>конзистентност – у којој мери су политике Владе конзистентне једна са другом, тј. којом опцијом се постиже највиши нивоу усаглашености политика Владе;</w:t>
      </w:r>
    </w:p>
    <w:p w14:paraId="27130E0D" w14:textId="77777777" w:rsidR="00EE54BB" w:rsidRPr="00FD6B73" w:rsidRDefault="00EE54BB" w:rsidP="00AD4730">
      <w:pPr>
        <w:pStyle w:val="ListParagraph"/>
        <w:numPr>
          <w:ilvl w:val="0"/>
          <w:numId w:val="33"/>
        </w:numPr>
        <w:spacing w:after="120"/>
        <w:ind w:left="720"/>
        <w:contextualSpacing w:val="0"/>
        <w:rPr>
          <w:rFonts w:cs="Times New Roman"/>
          <w:szCs w:val="24"/>
          <w:lang w:val="ru-RU"/>
        </w:rPr>
      </w:pPr>
      <w:r w:rsidRPr="00FD6B73">
        <w:rPr>
          <w:rFonts w:cs="Times New Roman"/>
          <w:szCs w:val="24"/>
          <w:lang w:val="ru-RU"/>
        </w:rPr>
        <w:t xml:space="preserve">трошкови спровођења – колики су трошкови спровођења опције; </w:t>
      </w:r>
    </w:p>
    <w:p w14:paraId="210ED574" w14:textId="77777777" w:rsidR="00EE54BB" w:rsidRPr="00FD6B73" w:rsidRDefault="00EE54BB" w:rsidP="00AD4730">
      <w:pPr>
        <w:pStyle w:val="ListParagraph"/>
        <w:numPr>
          <w:ilvl w:val="0"/>
          <w:numId w:val="33"/>
        </w:numPr>
        <w:spacing w:after="120"/>
        <w:ind w:left="720"/>
        <w:contextualSpacing w:val="0"/>
        <w:rPr>
          <w:rFonts w:cs="Times New Roman"/>
          <w:szCs w:val="24"/>
          <w:lang w:val="ru-RU"/>
        </w:rPr>
      </w:pPr>
      <w:r w:rsidRPr="00FD6B73">
        <w:rPr>
          <w:rFonts w:cs="Times New Roman"/>
          <w:szCs w:val="24"/>
          <w:lang w:val="ru-RU"/>
        </w:rPr>
        <w:t xml:space="preserve">одрживост – изгледност да ће одабрани модел резултирати одрживим напретком; </w:t>
      </w:r>
    </w:p>
    <w:p w14:paraId="511F769E" w14:textId="77777777" w:rsidR="00EE54BB" w:rsidRPr="00FD6B73" w:rsidRDefault="00EE54BB" w:rsidP="00AD4730">
      <w:pPr>
        <w:pStyle w:val="ListParagraph"/>
        <w:numPr>
          <w:ilvl w:val="0"/>
          <w:numId w:val="33"/>
        </w:numPr>
        <w:spacing w:after="120"/>
        <w:ind w:left="720"/>
        <w:contextualSpacing w:val="0"/>
        <w:rPr>
          <w:rFonts w:cs="Times New Roman"/>
          <w:szCs w:val="24"/>
          <w:lang w:val="ru-RU"/>
        </w:rPr>
      </w:pPr>
      <w:r w:rsidRPr="00FD6B73">
        <w:rPr>
          <w:rFonts w:cs="Times New Roman"/>
          <w:szCs w:val="24"/>
          <w:lang w:val="ru-RU"/>
        </w:rPr>
        <w:t xml:space="preserve">степен координације – ефикасност надзора над применом, тј. којом опцијом се обезбеђује најбољи координативни механизам. </w:t>
      </w:r>
    </w:p>
    <w:p w14:paraId="3F165D12" w14:textId="77777777" w:rsidR="00EE54BB" w:rsidRPr="00FD6B73" w:rsidRDefault="00EE54BB" w:rsidP="00EE54BB">
      <w:pPr>
        <w:spacing w:after="120" w:line="240" w:lineRule="auto"/>
        <w:rPr>
          <w:rFonts w:cs="Times New Roman"/>
          <w:szCs w:val="24"/>
          <w:lang w:val="ru-RU"/>
        </w:rPr>
      </w:pPr>
      <w:r w:rsidRPr="00FD6B73">
        <w:rPr>
          <w:rFonts w:cs="Times New Roman"/>
          <w:szCs w:val="24"/>
          <w:lang w:val="ru-RU"/>
        </w:rPr>
        <w:t>У анализи је коришћен модел по коме се свака опција у односу на предметни критеријум оцењује у односу на друге опције у распону од 1 до 5 (5 највиша оцена). Такође је одређено који критеријуми се сматрају одлучујућим, те су у том смислу ефективност, одрживост и степен координације одређени као најбитнији критеријуми за оцену опције. Пондер је дефинисан у укупном износу од 10, коначан ранг опције се добије множењем пондера са утврђеном оценом сваке опције.</w:t>
      </w:r>
    </w:p>
    <w:p w14:paraId="57FD54ED" w14:textId="77777777" w:rsidR="00EE54BB" w:rsidRPr="00CD46D4" w:rsidRDefault="00EE54BB" w:rsidP="00EE54BB">
      <w:pPr>
        <w:spacing w:after="120" w:line="240" w:lineRule="auto"/>
        <w:jc w:val="center"/>
        <w:rPr>
          <w:rFonts w:cs="Times New Roman"/>
          <w:szCs w:val="24"/>
        </w:rPr>
      </w:pPr>
      <w:r w:rsidRPr="00CD46D4">
        <w:rPr>
          <w:rFonts w:cs="Times New Roman"/>
          <w:szCs w:val="24"/>
        </w:rPr>
        <w:t>Табела 15: Поређење опција</w:t>
      </w:r>
    </w:p>
    <w:tbl>
      <w:tblPr>
        <w:tblStyle w:val="TableGrid"/>
        <w:tblW w:w="0" w:type="auto"/>
        <w:tblLook w:val="04A0" w:firstRow="1" w:lastRow="0" w:firstColumn="1" w:lastColumn="0" w:noHBand="0" w:noVBand="1"/>
      </w:tblPr>
      <w:tblGrid>
        <w:gridCol w:w="2491"/>
        <w:gridCol w:w="1728"/>
        <w:gridCol w:w="1697"/>
        <w:gridCol w:w="1717"/>
        <w:gridCol w:w="1717"/>
      </w:tblGrid>
      <w:tr w:rsidR="00EE54BB" w:rsidRPr="00CD46D4" w14:paraId="3A648193" w14:textId="77777777" w:rsidTr="00E603E9">
        <w:tc>
          <w:tcPr>
            <w:tcW w:w="2491" w:type="dxa"/>
            <w:shd w:val="clear" w:color="auto" w:fill="DEEAF6" w:themeFill="accent1" w:themeFillTint="33"/>
          </w:tcPr>
          <w:p w14:paraId="2CAFFCB0" w14:textId="77777777" w:rsidR="00EE54BB" w:rsidRPr="00CD46D4" w:rsidRDefault="00EE54BB" w:rsidP="00E603E9">
            <w:pPr>
              <w:spacing w:after="120"/>
              <w:jc w:val="center"/>
              <w:rPr>
                <w:rFonts w:cs="Times New Roman"/>
                <w:szCs w:val="24"/>
              </w:rPr>
            </w:pPr>
            <w:r w:rsidRPr="00CD46D4">
              <w:rPr>
                <w:rFonts w:cs="Times New Roman"/>
                <w:szCs w:val="24"/>
              </w:rPr>
              <w:t>Критеријуми/опције</w:t>
            </w:r>
          </w:p>
        </w:tc>
        <w:tc>
          <w:tcPr>
            <w:tcW w:w="1728" w:type="dxa"/>
            <w:shd w:val="clear" w:color="auto" w:fill="DEEAF6" w:themeFill="accent1" w:themeFillTint="33"/>
          </w:tcPr>
          <w:p w14:paraId="767DB7B0" w14:textId="77777777" w:rsidR="00EE54BB" w:rsidRPr="00CD46D4" w:rsidRDefault="00EE54BB" w:rsidP="00E603E9">
            <w:pPr>
              <w:spacing w:after="120"/>
              <w:jc w:val="center"/>
              <w:rPr>
                <w:rFonts w:cs="Times New Roman"/>
                <w:szCs w:val="24"/>
              </w:rPr>
            </w:pPr>
            <w:r w:rsidRPr="00CD46D4">
              <w:rPr>
                <w:rFonts w:cs="Times New Roman"/>
                <w:szCs w:val="24"/>
              </w:rPr>
              <w:t>Пондер</w:t>
            </w:r>
          </w:p>
        </w:tc>
        <w:tc>
          <w:tcPr>
            <w:tcW w:w="1697" w:type="dxa"/>
            <w:shd w:val="clear" w:color="auto" w:fill="DEEAF6" w:themeFill="accent1" w:themeFillTint="33"/>
          </w:tcPr>
          <w:p w14:paraId="4FFCCD47" w14:textId="77777777" w:rsidR="00EE54BB" w:rsidRPr="00CD46D4" w:rsidRDefault="00EE54BB" w:rsidP="00E603E9">
            <w:pPr>
              <w:spacing w:after="120"/>
              <w:jc w:val="center"/>
              <w:rPr>
                <w:rFonts w:cs="Times New Roman"/>
                <w:i/>
                <w:szCs w:val="24"/>
              </w:rPr>
            </w:pPr>
            <w:r w:rsidRPr="00CD46D4">
              <w:rPr>
                <w:rFonts w:cs="Times New Roman"/>
                <w:i/>
                <w:szCs w:val="24"/>
              </w:rPr>
              <w:t>Status quo</w:t>
            </w:r>
          </w:p>
        </w:tc>
        <w:tc>
          <w:tcPr>
            <w:tcW w:w="1717" w:type="dxa"/>
            <w:shd w:val="clear" w:color="auto" w:fill="DEEAF6" w:themeFill="accent1" w:themeFillTint="33"/>
          </w:tcPr>
          <w:p w14:paraId="305BFDD4" w14:textId="77777777" w:rsidR="00EE54BB" w:rsidRPr="00CD46D4" w:rsidRDefault="00EE54BB" w:rsidP="00E603E9">
            <w:pPr>
              <w:spacing w:after="120"/>
              <w:jc w:val="center"/>
              <w:rPr>
                <w:rFonts w:cs="Times New Roman"/>
                <w:szCs w:val="24"/>
              </w:rPr>
            </w:pPr>
            <w:r w:rsidRPr="00CD46D4">
              <w:rPr>
                <w:rFonts w:cs="Times New Roman"/>
                <w:szCs w:val="24"/>
              </w:rPr>
              <w:t>Опција 1</w:t>
            </w:r>
          </w:p>
        </w:tc>
        <w:tc>
          <w:tcPr>
            <w:tcW w:w="1717" w:type="dxa"/>
            <w:shd w:val="clear" w:color="auto" w:fill="DEEAF6" w:themeFill="accent1" w:themeFillTint="33"/>
          </w:tcPr>
          <w:p w14:paraId="54256A1B" w14:textId="77777777" w:rsidR="00EE54BB" w:rsidRPr="00CD46D4" w:rsidRDefault="00EE54BB" w:rsidP="00E603E9">
            <w:pPr>
              <w:spacing w:after="120"/>
              <w:jc w:val="center"/>
              <w:rPr>
                <w:rFonts w:cs="Times New Roman"/>
                <w:szCs w:val="24"/>
              </w:rPr>
            </w:pPr>
            <w:r w:rsidRPr="00CD46D4">
              <w:rPr>
                <w:rFonts w:cs="Times New Roman"/>
                <w:szCs w:val="24"/>
              </w:rPr>
              <w:t>Опција 2</w:t>
            </w:r>
          </w:p>
        </w:tc>
      </w:tr>
      <w:tr w:rsidR="00EE54BB" w:rsidRPr="00CD46D4" w14:paraId="4BAE90D4" w14:textId="77777777" w:rsidTr="00E603E9">
        <w:tc>
          <w:tcPr>
            <w:tcW w:w="2491" w:type="dxa"/>
          </w:tcPr>
          <w:p w14:paraId="3CCBB03B" w14:textId="77777777" w:rsidR="00EE54BB" w:rsidRPr="00CD46D4" w:rsidRDefault="00EE54BB" w:rsidP="00E603E9">
            <w:pPr>
              <w:spacing w:after="120"/>
              <w:rPr>
                <w:rFonts w:cs="Times New Roman"/>
                <w:b/>
                <w:bCs/>
                <w:szCs w:val="24"/>
              </w:rPr>
            </w:pPr>
            <w:r w:rsidRPr="00CD46D4">
              <w:rPr>
                <w:rFonts w:cs="Times New Roman"/>
                <w:b/>
                <w:bCs/>
                <w:szCs w:val="24"/>
              </w:rPr>
              <w:t>Ефективност</w:t>
            </w:r>
          </w:p>
        </w:tc>
        <w:tc>
          <w:tcPr>
            <w:tcW w:w="1728" w:type="dxa"/>
          </w:tcPr>
          <w:p w14:paraId="6D349A60" w14:textId="77777777" w:rsidR="00EE54BB" w:rsidRPr="00CD46D4" w:rsidRDefault="00EE54BB" w:rsidP="00E603E9">
            <w:pPr>
              <w:spacing w:after="120"/>
              <w:jc w:val="center"/>
              <w:rPr>
                <w:rFonts w:cs="Times New Roman"/>
                <w:szCs w:val="24"/>
              </w:rPr>
            </w:pPr>
            <w:r w:rsidRPr="00CD46D4">
              <w:rPr>
                <w:rFonts w:cs="Times New Roman"/>
                <w:szCs w:val="24"/>
              </w:rPr>
              <w:t>3</w:t>
            </w:r>
          </w:p>
        </w:tc>
        <w:tc>
          <w:tcPr>
            <w:tcW w:w="1697" w:type="dxa"/>
          </w:tcPr>
          <w:p w14:paraId="16135801" w14:textId="77777777" w:rsidR="00EE54BB" w:rsidRPr="00CD46D4" w:rsidRDefault="00EE54BB" w:rsidP="00E603E9">
            <w:pPr>
              <w:spacing w:after="120"/>
              <w:jc w:val="center"/>
              <w:rPr>
                <w:rFonts w:cs="Times New Roman"/>
                <w:szCs w:val="24"/>
              </w:rPr>
            </w:pPr>
            <w:r w:rsidRPr="00CD46D4">
              <w:rPr>
                <w:rFonts w:cs="Times New Roman"/>
                <w:szCs w:val="24"/>
              </w:rPr>
              <w:t>X2</w:t>
            </w:r>
          </w:p>
        </w:tc>
        <w:tc>
          <w:tcPr>
            <w:tcW w:w="1717" w:type="dxa"/>
          </w:tcPr>
          <w:p w14:paraId="7F23CD0A" w14:textId="77777777" w:rsidR="00EE54BB" w:rsidRPr="00CD46D4" w:rsidRDefault="00EE54BB" w:rsidP="00E603E9">
            <w:pPr>
              <w:spacing w:after="120"/>
              <w:jc w:val="center"/>
              <w:rPr>
                <w:rFonts w:cs="Times New Roman"/>
                <w:szCs w:val="24"/>
              </w:rPr>
            </w:pPr>
            <w:r w:rsidRPr="00CD46D4">
              <w:rPr>
                <w:rFonts w:cs="Times New Roman"/>
                <w:szCs w:val="24"/>
              </w:rPr>
              <w:t>X3</w:t>
            </w:r>
          </w:p>
        </w:tc>
        <w:tc>
          <w:tcPr>
            <w:tcW w:w="1717" w:type="dxa"/>
          </w:tcPr>
          <w:p w14:paraId="1B7DFF0F" w14:textId="77777777" w:rsidR="00EE54BB" w:rsidRPr="00CD46D4" w:rsidRDefault="00EE54BB" w:rsidP="00E603E9">
            <w:pPr>
              <w:spacing w:after="120"/>
              <w:jc w:val="center"/>
              <w:rPr>
                <w:rFonts w:cs="Times New Roman"/>
                <w:szCs w:val="24"/>
              </w:rPr>
            </w:pPr>
            <w:r w:rsidRPr="00CD46D4">
              <w:rPr>
                <w:rFonts w:cs="Times New Roman"/>
                <w:szCs w:val="24"/>
              </w:rPr>
              <w:t>X5</w:t>
            </w:r>
          </w:p>
        </w:tc>
      </w:tr>
      <w:tr w:rsidR="00EE54BB" w:rsidRPr="00CD46D4" w14:paraId="36BF2E52" w14:textId="77777777" w:rsidTr="00E603E9">
        <w:tc>
          <w:tcPr>
            <w:tcW w:w="2491" w:type="dxa"/>
          </w:tcPr>
          <w:p w14:paraId="02F6FF91" w14:textId="77777777" w:rsidR="00EE54BB" w:rsidRPr="00CD46D4" w:rsidRDefault="00EE54BB" w:rsidP="00E603E9">
            <w:pPr>
              <w:spacing w:after="120"/>
              <w:rPr>
                <w:rFonts w:cs="Times New Roman"/>
                <w:b/>
                <w:bCs/>
                <w:szCs w:val="24"/>
              </w:rPr>
            </w:pPr>
            <w:r w:rsidRPr="00CD46D4">
              <w:rPr>
                <w:rFonts w:cs="Times New Roman"/>
                <w:b/>
                <w:bCs/>
                <w:szCs w:val="24"/>
              </w:rPr>
              <w:lastRenderedPageBreak/>
              <w:t>Конзистентност</w:t>
            </w:r>
          </w:p>
        </w:tc>
        <w:tc>
          <w:tcPr>
            <w:tcW w:w="1728" w:type="dxa"/>
          </w:tcPr>
          <w:p w14:paraId="58B71C64" w14:textId="77777777" w:rsidR="00EE54BB" w:rsidRPr="00CD46D4" w:rsidRDefault="00EE54BB" w:rsidP="00E603E9">
            <w:pPr>
              <w:spacing w:after="120"/>
              <w:jc w:val="center"/>
              <w:rPr>
                <w:rFonts w:cs="Times New Roman"/>
                <w:szCs w:val="24"/>
              </w:rPr>
            </w:pPr>
            <w:r w:rsidRPr="00CD46D4">
              <w:rPr>
                <w:rFonts w:cs="Times New Roman"/>
                <w:szCs w:val="24"/>
              </w:rPr>
              <w:t>1</w:t>
            </w:r>
          </w:p>
        </w:tc>
        <w:tc>
          <w:tcPr>
            <w:tcW w:w="1697" w:type="dxa"/>
          </w:tcPr>
          <w:p w14:paraId="03C90373" w14:textId="77777777" w:rsidR="00EE54BB" w:rsidRPr="00CD46D4" w:rsidRDefault="00EE54BB" w:rsidP="00E603E9">
            <w:pPr>
              <w:spacing w:after="120"/>
              <w:jc w:val="center"/>
              <w:rPr>
                <w:rFonts w:cs="Times New Roman"/>
                <w:szCs w:val="24"/>
              </w:rPr>
            </w:pPr>
            <w:r w:rsidRPr="00CD46D4">
              <w:rPr>
                <w:rFonts w:cs="Times New Roman"/>
                <w:szCs w:val="24"/>
              </w:rPr>
              <w:t>X1</w:t>
            </w:r>
          </w:p>
        </w:tc>
        <w:tc>
          <w:tcPr>
            <w:tcW w:w="1717" w:type="dxa"/>
          </w:tcPr>
          <w:p w14:paraId="5195F219" w14:textId="77777777" w:rsidR="00EE54BB" w:rsidRPr="00CD46D4" w:rsidRDefault="00EE54BB" w:rsidP="00E603E9">
            <w:pPr>
              <w:spacing w:after="120"/>
              <w:jc w:val="center"/>
              <w:rPr>
                <w:rFonts w:cs="Times New Roman"/>
                <w:szCs w:val="24"/>
              </w:rPr>
            </w:pPr>
            <w:r w:rsidRPr="00CD46D4">
              <w:rPr>
                <w:rFonts w:cs="Times New Roman"/>
                <w:szCs w:val="24"/>
              </w:rPr>
              <w:t>X3</w:t>
            </w:r>
          </w:p>
        </w:tc>
        <w:tc>
          <w:tcPr>
            <w:tcW w:w="1717" w:type="dxa"/>
          </w:tcPr>
          <w:p w14:paraId="00758014" w14:textId="77777777" w:rsidR="00EE54BB" w:rsidRPr="00CD46D4" w:rsidRDefault="00EE54BB" w:rsidP="00E603E9">
            <w:pPr>
              <w:spacing w:after="120"/>
              <w:jc w:val="center"/>
              <w:rPr>
                <w:rFonts w:cs="Times New Roman"/>
                <w:szCs w:val="24"/>
              </w:rPr>
            </w:pPr>
            <w:r w:rsidRPr="00CD46D4">
              <w:rPr>
                <w:rFonts w:cs="Times New Roman"/>
                <w:szCs w:val="24"/>
              </w:rPr>
              <w:t>X5</w:t>
            </w:r>
          </w:p>
        </w:tc>
      </w:tr>
      <w:tr w:rsidR="00EE54BB" w:rsidRPr="00CD46D4" w14:paraId="3AC7CB25" w14:textId="77777777" w:rsidTr="00E603E9">
        <w:tc>
          <w:tcPr>
            <w:tcW w:w="2491" w:type="dxa"/>
          </w:tcPr>
          <w:p w14:paraId="5F60DC53" w14:textId="77777777" w:rsidR="00EE54BB" w:rsidRPr="00CD46D4" w:rsidRDefault="00EE54BB" w:rsidP="00E603E9">
            <w:pPr>
              <w:spacing w:after="120"/>
              <w:rPr>
                <w:rFonts w:cs="Times New Roman"/>
                <w:b/>
                <w:bCs/>
                <w:szCs w:val="24"/>
              </w:rPr>
            </w:pPr>
            <w:r w:rsidRPr="00CD46D4">
              <w:rPr>
                <w:rFonts w:cs="Times New Roman"/>
                <w:b/>
                <w:bCs/>
                <w:szCs w:val="24"/>
              </w:rPr>
              <w:t>Трошкови спровођења</w:t>
            </w:r>
          </w:p>
        </w:tc>
        <w:tc>
          <w:tcPr>
            <w:tcW w:w="1728" w:type="dxa"/>
          </w:tcPr>
          <w:p w14:paraId="21F14DF8" w14:textId="77777777" w:rsidR="00EE54BB" w:rsidRPr="00CD46D4" w:rsidRDefault="00EE54BB" w:rsidP="00E603E9">
            <w:pPr>
              <w:spacing w:after="120"/>
              <w:jc w:val="center"/>
              <w:rPr>
                <w:rFonts w:cs="Times New Roman"/>
                <w:szCs w:val="24"/>
              </w:rPr>
            </w:pPr>
            <w:r w:rsidRPr="00CD46D4">
              <w:rPr>
                <w:rFonts w:cs="Times New Roman"/>
                <w:szCs w:val="24"/>
              </w:rPr>
              <w:t>1</w:t>
            </w:r>
          </w:p>
        </w:tc>
        <w:tc>
          <w:tcPr>
            <w:tcW w:w="1697" w:type="dxa"/>
          </w:tcPr>
          <w:p w14:paraId="4148F990" w14:textId="77777777" w:rsidR="00EE54BB" w:rsidRPr="00CD46D4" w:rsidRDefault="00EE54BB" w:rsidP="00E603E9">
            <w:pPr>
              <w:spacing w:after="120"/>
              <w:jc w:val="center"/>
              <w:rPr>
                <w:rFonts w:cs="Times New Roman"/>
                <w:szCs w:val="24"/>
              </w:rPr>
            </w:pPr>
            <w:r w:rsidRPr="00CD46D4">
              <w:rPr>
                <w:rFonts w:cs="Times New Roman"/>
                <w:szCs w:val="24"/>
              </w:rPr>
              <w:t>X4</w:t>
            </w:r>
          </w:p>
        </w:tc>
        <w:tc>
          <w:tcPr>
            <w:tcW w:w="1717" w:type="dxa"/>
          </w:tcPr>
          <w:p w14:paraId="279AD451" w14:textId="77777777" w:rsidR="00EE54BB" w:rsidRPr="00CD46D4" w:rsidRDefault="00EE54BB" w:rsidP="00E603E9">
            <w:pPr>
              <w:spacing w:after="120"/>
              <w:jc w:val="center"/>
              <w:rPr>
                <w:rFonts w:cs="Times New Roman"/>
                <w:szCs w:val="24"/>
              </w:rPr>
            </w:pPr>
            <w:r w:rsidRPr="00CD46D4">
              <w:rPr>
                <w:rFonts w:cs="Times New Roman"/>
                <w:szCs w:val="24"/>
              </w:rPr>
              <w:t>X3</w:t>
            </w:r>
          </w:p>
        </w:tc>
        <w:tc>
          <w:tcPr>
            <w:tcW w:w="1717" w:type="dxa"/>
          </w:tcPr>
          <w:p w14:paraId="79CFFA71" w14:textId="77777777" w:rsidR="00EE54BB" w:rsidRPr="00CD46D4" w:rsidRDefault="00EE54BB" w:rsidP="00E603E9">
            <w:pPr>
              <w:spacing w:after="120"/>
              <w:jc w:val="center"/>
              <w:rPr>
                <w:rFonts w:cs="Times New Roman"/>
                <w:szCs w:val="24"/>
              </w:rPr>
            </w:pPr>
            <w:r w:rsidRPr="00CD46D4">
              <w:rPr>
                <w:rFonts w:cs="Times New Roman"/>
                <w:szCs w:val="24"/>
              </w:rPr>
              <w:t>X2</w:t>
            </w:r>
          </w:p>
        </w:tc>
      </w:tr>
      <w:tr w:rsidR="00EE54BB" w:rsidRPr="00CD46D4" w14:paraId="28381A5B" w14:textId="77777777" w:rsidTr="00E603E9">
        <w:tc>
          <w:tcPr>
            <w:tcW w:w="2491" w:type="dxa"/>
          </w:tcPr>
          <w:p w14:paraId="1DC91B4B" w14:textId="77777777" w:rsidR="00EE54BB" w:rsidRPr="00CD46D4" w:rsidRDefault="00EE54BB" w:rsidP="00E603E9">
            <w:pPr>
              <w:spacing w:after="120"/>
              <w:rPr>
                <w:rFonts w:cs="Times New Roman"/>
                <w:b/>
                <w:bCs/>
                <w:szCs w:val="24"/>
              </w:rPr>
            </w:pPr>
            <w:r w:rsidRPr="00CD46D4">
              <w:rPr>
                <w:rFonts w:cs="Times New Roman"/>
                <w:b/>
                <w:bCs/>
                <w:szCs w:val="24"/>
              </w:rPr>
              <w:t>Одрживост</w:t>
            </w:r>
          </w:p>
        </w:tc>
        <w:tc>
          <w:tcPr>
            <w:tcW w:w="1728" w:type="dxa"/>
          </w:tcPr>
          <w:p w14:paraId="4728BF59" w14:textId="77777777" w:rsidR="00EE54BB" w:rsidRPr="00CD46D4" w:rsidRDefault="00EE54BB" w:rsidP="00E603E9">
            <w:pPr>
              <w:spacing w:after="120"/>
              <w:jc w:val="center"/>
              <w:rPr>
                <w:rFonts w:cs="Times New Roman"/>
                <w:szCs w:val="24"/>
              </w:rPr>
            </w:pPr>
            <w:r w:rsidRPr="00CD46D4">
              <w:rPr>
                <w:rFonts w:cs="Times New Roman"/>
                <w:szCs w:val="24"/>
              </w:rPr>
              <w:t>2</w:t>
            </w:r>
          </w:p>
        </w:tc>
        <w:tc>
          <w:tcPr>
            <w:tcW w:w="1697" w:type="dxa"/>
          </w:tcPr>
          <w:p w14:paraId="01418E88" w14:textId="77777777" w:rsidR="00EE54BB" w:rsidRPr="00CD46D4" w:rsidRDefault="00EE54BB" w:rsidP="00E603E9">
            <w:pPr>
              <w:spacing w:after="120"/>
              <w:jc w:val="center"/>
              <w:rPr>
                <w:rFonts w:cs="Times New Roman"/>
                <w:szCs w:val="24"/>
              </w:rPr>
            </w:pPr>
            <w:r w:rsidRPr="00CD46D4">
              <w:rPr>
                <w:rFonts w:cs="Times New Roman"/>
                <w:szCs w:val="24"/>
              </w:rPr>
              <w:t>X2</w:t>
            </w:r>
          </w:p>
        </w:tc>
        <w:tc>
          <w:tcPr>
            <w:tcW w:w="1717" w:type="dxa"/>
          </w:tcPr>
          <w:p w14:paraId="4B0598AD" w14:textId="77777777" w:rsidR="00EE54BB" w:rsidRPr="00CD46D4" w:rsidRDefault="00EE54BB" w:rsidP="00E603E9">
            <w:pPr>
              <w:spacing w:after="120"/>
              <w:jc w:val="center"/>
              <w:rPr>
                <w:rFonts w:cs="Times New Roman"/>
                <w:szCs w:val="24"/>
              </w:rPr>
            </w:pPr>
            <w:r w:rsidRPr="00CD46D4">
              <w:rPr>
                <w:rFonts w:cs="Times New Roman"/>
                <w:szCs w:val="24"/>
              </w:rPr>
              <w:t>X3</w:t>
            </w:r>
          </w:p>
        </w:tc>
        <w:tc>
          <w:tcPr>
            <w:tcW w:w="1717" w:type="dxa"/>
          </w:tcPr>
          <w:p w14:paraId="30BEF134" w14:textId="77777777" w:rsidR="00EE54BB" w:rsidRPr="00CD46D4" w:rsidRDefault="00EE54BB" w:rsidP="00E603E9">
            <w:pPr>
              <w:spacing w:after="120"/>
              <w:jc w:val="center"/>
              <w:rPr>
                <w:rFonts w:cs="Times New Roman"/>
                <w:szCs w:val="24"/>
              </w:rPr>
            </w:pPr>
            <w:r w:rsidRPr="00CD46D4">
              <w:rPr>
                <w:rFonts w:cs="Times New Roman"/>
                <w:szCs w:val="24"/>
              </w:rPr>
              <w:t>X5</w:t>
            </w:r>
          </w:p>
        </w:tc>
      </w:tr>
      <w:tr w:rsidR="00EE54BB" w:rsidRPr="00CD46D4" w14:paraId="1A94A352" w14:textId="77777777" w:rsidTr="00E603E9">
        <w:tc>
          <w:tcPr>
            <w:tcW w:w="2491" w:type="dxa"/>
          </w:tcPr>
          <w:p w14:paraId="0B57CCF5" w14:textId="77777777" w:rsidR="00EE54BB" w:rsidRPr="00CD46D4" w:rsidRDefault="00EE54BB" w:rsidP="00E603E9">
            <w:pPr>
              <w:spacing w:after="120"/>
              <w:rPr>
                <w:rFonts w:cs="Times New Roman"/>
                <w:b/>
                <w:bCs/>
                <w:szCs w:val="24"/>
              </w:rPr>
            </w:pPr>
            <w:r w:rsidRPr="00CD46D4">
              <w:rPr>
                <w:rFonts w:cs="Times New Roman"/>
                <w:b/>
                <w:bCs/>
                <w:szCs w:val="24"/>
              </w:rPr>
              <w:t>Степен координације</w:t>
            </w:r>
          </w:p>
        </w:tc>
        <w:tc>
          <w:tcPr>
            <w:tcW w:w="1728" w:type="dxa"/>
          </w:tcPr>
          <w:p w14:paraId="425E99D0" w14:textId="77777777" w:rsidR="00EE54BB" w:rsidRPr="00CD46D4" w:rsidRDefault="00EE54BB" w:rsidP="00E603E9">
            <w:pPr>
              <w:spacing w:after="120"/>
              <w:jc w:val="center"/>
              <w:rPr>
                <w:rFonts w:cs="Times New Roman"/>
                <w:szCs w:val="24"/>
              </w:rPr>
            </w:pPr>
            <w:r w:rsidRPr="00CD46D4">
              <w:rPr>
                <w:rFonts w:cs="Times New Roman"/>
                <w:szCs w:val="24"/>
              </w:rPr>
              <w:t>3</w:t>
            </w:r>
          </w:p>
        </w:tc>
        <w:tc>
          <w:tcPr>
            <w:tcW w:w="1697" w:type="dxa"/>
          </w:tcPr>
          <w:p w14:paraId="423F8CFD" w14:textId="77777777" w:rsidR="00EE54BB" w:rsidRPr="00CD46D4" w:rsidRDefault="00EE54BB" w:rsidP="00E603E9">
            <w:pPr>
              <w:spacing w:after="120"/>
              <w:jc w:val="center"/>
              <w:rPr>
                <w:rFonts w:cs="Times New Roman"/>
                <w:szCs w:val="24"/>
              </w:rPr>
            </w:pPr>
            <w:r w:rsidRPr="00CD46D4">
              <w:rPr>
                <w:rFonts w:cs="Times New Roman"/>
                <w:szCs w:val="24"/>
              </w:rPr>
              <w:t>X1</w:t>
            </w:r>
          </w:p>
        </w:tc>
        <w:tc>
          <w:tcPr>
            <w:tcW w:w="1717" w:type="dxa"/>
          </w:tcPr>
          <w:p w14:paraId="1B10AA3E" w14:textId="77777777" w:rsidR="00EE54BB" w:rsidRPr="00CD46D4" w:rsidRDefault="00EE54BB" w:rsidP="00E603E9">
            <w:pPr>
              <w:spacing w:after="120"/>
              <w:jc w:val="center"/>
              <w:rPr>
                <w:rFonts w:cs="Times New Roman"/>
                <w:szCs w:val="24"/>
              </w:rPr>
            </w:pPr>
            <w:r w:rsidRPr="00CD46D4">
              <w:rPr>
                <w:rFonts w:cs="Times New Roman"/>
                <w:szCs w:val="24"/>
              </w:rPr>
              <w:t>X2</w:t>
            </w:r>
          </w:p>
        </w:tc>
        <w:tc>
          <w:tcPr>
            <w:tcW w:w="1717" w:type="dxa"/>
          </w:tcPr>
          <w:p w14:paraId="695FC850" w14:textId="77777777" w:rsidR="00EE54BB" w:rsidRPr="00CD46D4" w:rsidRDefault="00EE54BB" w:rsidP="00E603E9">
            <w:pPr>
              <w:spacing w:after="120"/>
              <w:jc w:val="center"/>
              <w:rPr>
                <w:rFonts w:cs="Times New Roman"/>
                <w:szCs w:val="24"/>
              </w:rPr>
            </w:pPr>
            <w:r w:rsidRPr="00CD46D4">
              <w:rPr>
                <w:rFonts w:cs="Times New Roman"/>
                <w:szCs w:val="24"/>
              </w:rPr>
              <w:t>X5</w:t>
            </w:r>
          </w:p>
        </w:tc>
      </w:tr>
      <w:tr w:rsidR="00EE54BB" w:rsidRPr="00CD46D4" w14:paraId="16D6E7E0" w14:textId="77777777" w:rsidTr="00E603E9">
        <w:tc>
          <w:tcPr>
            <w:tcW w:w="2491" w:type="dxa"/>
          </w:tcPr>
          <w:p w14:paraId="534A36BD" w14:textId="77777777" w:rsidR="00EE54BB" w:rsidRPr="00CD46D4" w:rsidRDefault="00EE54BB" w:rsidP="00E603E9">
            <w:pPr>
              <w:spacing w:after="120"/>
              <w:rPr>
                <w:rFonts w:cs="Times New Roman"/>
                <w:b/>
                <w:bCs/>
                <w:szCs w:val="24"/>
              </w:rPr>
            </w:pPr>
            <w:r w:rsidRPr="00CD46D4">
              <w:rPr>
                <w:rFonts w:cs="Times New Roman"/>
                <w:b/>
                <w:bCs/>
                <w:szCs w:val="24"/>
              </w:rPr>
              <w:t>Резултат</w:t>
            </w:r>
          </w:p>
        </w:tc>
        <w:tc>
          <w:tcPr>
            <w:tcW w:w="1728" w:type="dxa"/>
          </w:tcPr>
          <w:p w14:paraId="6122C21B" w14:textId="77777777" w:rsidR="00EE54BB" w:rsidRPr="00CD46D4" w:rsidRDefault="00EE54BB" w:rsidP="00E603E9">
            <w:pPr>
              <w:spacing w:after="120"/>
              <w:jc w:val="center"/>
              <w:rPr>
                <w:rFonts w:cs="Times New Roman"/>
                <w:b/>
                <w:szCs w:val="24"/>
              </w:rPr>
            </w:pPr>
            <w:r w:rsidRPr="00CD46D4">
              <w:rPr>
                <w:rFonts w:cs="Times New Roman"/>
                <w:b/>
                <w:szCs w:val="24"/>
              </w:rPr>
              <w:t>10</w:t>
            </w:r>
          </w:p>
        </w:tc>
        <w:tc>
          <w:tcPr>
            <w:tcW w:w="1697" w:type="dxa"/>
          </w:tcPr>
          <w:p w14:paraId="0D7D70A9" w14:textId="77777777" w:rsidR="00EE54BB" w:rsidRPr="00CD46D4" w:rsidRDefault="00EE54BB" w:rsidP="00E603E9">
            <w:pPr>
              <w:spacing w:after="120"/>
              <w:jc w:val="center"/>
              <w:rPr>
                <w:rFonts w:cs="Times New Roman"/>
                <w:b/>
                <w:szCs w:val="24"/>
              </w:rPr>
            </w:pPr>
            <w:r w:rsidRPr="00CD46D4">
              <w:rPr>
                <w:rFonts w:cs="Times New Roman"/>
                <w:b/>
                <w:szCs w:val="24"/>
              </w:rPr>
              <w:t>18</w:t>
            </w:r>
          </w:p>
        </w:tc>
        <w:tc>
          <w:tcPr>
            <w:tcW w:w="1717" w:type="dxa"/>
          </w:tcPr>
          <w:p w14:paraId="2057B79F" w14:textId="77777777" w:rsidR="00EE54BB" w:rsidRPr="00CD46D4" w:rsidRDefault="00EE54BB" w:rsidP="00E603E9">
            <w:pPr>
              <w:spacing w:after="120"/>
              <w:jc w:val="center"/>
              <w:rPr>
                <w:rFonts w:cs="Times New Roman"/>
                <w:b/>
                <w:szCs w:val="24"/>
              </w:rPr>
            </w:pPr>
            <w:r w:rsidRPr="00CD46D4">
              <w:rPr>
                <w:rFonts w:cs="Times New Roman"/>
                <w:b/>
                <w:szCs w:val="24"/>
              </w:rPr>
              <w:t>27</w:t>
            </w:r>
          </w:p>
        </w:tc>
        <w:tc>
          <w:tcPr>
            <w:tcW w:w="1717" w:type="dxa"/>
          </w:tcPr>
          <w:p w14:paraId="602C1963" w14:textId="77777777" w:rsidR="00EE54BB" w:rsidRPr="00CD46D4" w:rsidRDefault="00EE54BB" w:rsidP="00E603E9">
            <w:pPr>
              <w:spacing w:after="120"/>
              <w:jc w:val="center"/>
              <w:rPr>
                <w:rFonts w:cs="Times New Roman"/>
                <w:b/>
                <w:szCs w:val="24"/>
              </w:rPr>
            </w:pPr>
            <w:r w:rsidRPr="00CD46D4">
              <w:rPr>
                <w:rFonts w:cs="Times New Roman"/>
                <w:b/>
                <w:szCs w:val="24"/>
              </w:rPr>
              <w:t>47</w:t>
            </w:r>
          </w:p>
        </w:tc>
      </w:tr>
    </w:tbl>
    <w:p w14:paraId="4D8A27FC" w14:textId="17FC6095" w:rsidR="00EE54BB" w:rsidRPr="00FD6B73" w:rsidRDefault="00EE54BB" w:rsidP="00EE54BB">
      <w:pPr>
        <w:autoSpaceDE w:val="0"/>
        <w:autoSpaceDN w:val="0"/>
        <w:adjustRightInd w:val="0"/>
        <w:spacing w:before="240" w:after="120" w:line="240" w:lineRule="auto"/>
        <w:rPr>
          <w:rFonts w:cs="Times New Roman"/>
          <w:szCs w:val="24"/>
          <w:lang w:val="ru-RU"/>
        </w:rPr>
      </w:pPr>
      <w:r w:rsidRPr="00FD6B73">
        <w:rPr>
          <w:rFonts w:cs="Times New Roman"/>
          <w:szCs w:val="24"/>
          <w:lang w:val="ru-RU"/>
        </w:rPr>
        <w:t xml:space="preserve">Имајући у виду резултате поређења опција, долазимо до закључка да би најадекватнији начин да се одговори на раније идентификоване изазове, био израда засебног стратешког документа посвећеног процесуирању ратних злочина. Оваква одлука поткрепљена је и захтевом Прелазног мерила број 16 из Преговарачке позиције за Поглавље 23, које предвиђа обавезу  Србије да  делотворно спроводи мере из </w:t>
      </w:r>
      <w:r w:rsidR="00AB724D">
        <w:rPr>
          <w:rFonts w:cs="Times New Roman"/>
          <w:szCs w:val="24"/>
          <w:lang w:val="ru-RU"/>
        </w:rPr>
        <w:t>НСПРЗ</w:t>
      </w:r>
      <w:r w:rsidRPr="00FD6B73">
        <w:rPr>
          <w:rFonts w:cs="Times New Roman"/>
          <w:szCs w:val="24"/>
          <w:lang w:val="ru-RU"/>
        </w:rPr>
        <w:t xml:space="preserve"> и да истовремено прати примену </w:t>
      </w:r>
      <w:r w:rsidR="00AB724D">
        <w:rPr>
          <w:rFonts w:cs="Times New Roman"/>
          <w:szCs w:val="24"/>
          <w:lang w:val="ru-RU"/>
        </w:rPr>
        <w:t>те ст</w:t>
      </w:r>
      <w:r w:rsidRPr="00FD6B73">
        <w:rPr>
          <w:rFonts w:cs="Times New Roman"/>
          <w:szCs w:val="24"/>
          <w:lang w:val="ru-RU"/>
        </w:rPr>
        <w:t>ратегије, процењује њен утицај и ревидира је.</w:t>
      </w:r>
    </w:p>
    <w:p w14:paraId="482CBD72" w14:textId="76481AF7" w:rsidR="00EE54BB" w:rsidRPr="00FD6B73" w:rsidRDefault="00EE54BB" w:rsidP="00EE54BB">
      <w:pPr>
        <w:spacing w:after="120" w:line="240" w:lineRule="auto"/>
        <w:rPr>
          <w:rFonts w:cs="Times New Roman"/>
          <w:szCs w:val="24"/>
          <w:lang w:val="ru-RU"/>
        </w:rPr>
      </w:pPr>
      <w:r w:rsidRPr="00FD6B73">
        <w:rPr>
          <w:rFonts w:cs="Times New Roman"/>
          <w:szCs w:val="24"/>
          <w:lang w:val="ru-RU"/>
        </w:rPr>
        <w:t xml:space="preserve">Када је реч о врсти документа јавних политика, у смислу члана 10. Закона о планском систему Републике Србије, важно је напоменути да, по својој природи, тај документ треба да буде </w:t>
      </w:r>
      <w:r w:rsidRPr="00AB724D">
        <w:rPr>
          <w:rFonts w:cs="Times New Roman"/>
          <w:bCs/>
          <w:szCs w:val="24"/>
          <w:lang w:val="ru-RU"/>
        </w:rPr>
        <w:t>национална, међусекторска стратегија</w:t>
      </w:r>
      <w:r w:rsidRPr="00FD6B73">
        <w:rPr>
          <w:rFonts w:cs="Times New Roman"/>
          <w:szCs w:val="24"/>
          <w:lang w:val="ru-RU"/>
        </w:rPr>
        <w:t xml:space="preserve"> (члан 12. </w:t>
      </w:r>
      <w:r w:rsidR="00AB724D" w:rsidRPr="00FD6B73">
        <w:rPr>
          <w:rFonts w:cs="Times New Roman"/>
          <w:szCs w:val="24"/>
          <w:lang w:val="ru-RU"/>
        </w:rPr>
        <w:t>Закона о планском систему Републике Србије</w:t>
      </w:r>
      <w:r w:rsidRPr="00FD6B73">
        <w:rPr>
          <w:rFonts w:cs="Times New Roman"/>
          <w:szCs w:val="24"/>
          <w:lang w:val="ru-RU"/>
        </w:rPr>
        <w:t xml:space="preserve">), имајући у виду да се ниједан од постојећих стратешких докумената не може сматрати секторском стратегијом у овој области, будући да она задире како у питања која се тичу функционисања правосуђа, тако и у рад Министарства унутрашњих послова, положај и права жртава, права несталих лица и њихових породица, јавни дискурс о тематици ратних злочина, чиме обједињује секторе правде, унутрашњих послова, социјалне заштите, просвете и културе. </w:t>
      </w:r>
      <w:r w:rsidR="00AB724D">
        <w:rPr>
          <w:rFonts w:cs="Times New Roman"/>
          <w:szCs w:val="24"/>
          <w:lang w:val="ru-RU"/>
        </w:rPr>
        <w:t xml:space="preserve"> </w:t>
      </w:r>
    </w:p>
    <w:p w14:paraId="776CA284" w14:textId="38106038" w:rsidR="00EE54BB" w:rsidRPr="00FD6B73" w:rsidRDefault="00EE54BB" w:rsidP="00EE54BB">
      <w:pPr>
        <w:spacing w:before="240" w:line="240" w:lineRule="auto"/>
        <w:rPr>
          <w:rFonts w:cs="Times New Roman"/>
          <w:lang w:val="ru-RU"/>
        </w:rPr>
      </w:pPr>
      <w:r w:rsidRPr="00FD6B73">
        <w:rPr>
          <w:rFonts w:cs="Times New Roman"/>
          <w:lang w:val="ru-RU"/>
        </w:rPr>
        <w:t xml:space="preserve">Реализација општег циља </w:t>
      </w:r>
      <w:r w:rsidR="00AB724D">
        <w:rPr>
          <w:rFonts w:cs="Times New Roman"/>
          <w:lang w:val="ru-RU"/>
        </w:rPr>
        <w:t>ове с</w:t>
      </w:r>
      <w:r w:rsidRPr="00FD6B73">
        <w:rPr>
          <w:rFonts w:cs="Times New Roman"/>
          <w:lang w:val="ru-RU"/>
        </w:rPr>
        <w:t xml:space="preserve">тратегије укључује пет </w:t>
      </w:r>
      <w:r w:rsidRPr="00AB724D">
        <w:rPr>
          <w:rFonts w:cs="Times New Roman"/>
          <w:lang w:val="ru-RU"/>
        </w:rPr>
        <w:t xml:space="preserve">посебних циљева </w:t>
      </w:r>
      <w:r w:rsidRPr="00FD6B73">
        <w:rPr>
          <w:rFonts w:cs="Times New Roman"/>
          <w:lang w:val="ru-RU"/>
        </w:rPr>
        <w:t>и базирана је на њиховој реализацији.</w:t>
      </w:r>
    </w:p>
    <w:tbl>
      <w:tblPr>
        <w:tblStyle w:val="TableGrid"/>
        <w:tblW w:w="0" w:type="auto"/>
        <w:shd w:val="clear" w:color="auto" w:fill="DEEAF6" w:themeFill="accent1" w:themeFillTint="33"/>
        <w:tblLook w:val="04A0" w:firstRow="1" w:lastRow="0" w:firstColumn="1" w:lastColumn="0" w:noHBand="0" w:noVBand="1"/>
      </w:tblPr>
      <w:tblGrid>
        <w:gridCol w:w="9350"/>
      </w:tblGrid>
      <w:tr w:rsidR="00EE54BB" w:rsidRPr="00627105" w14:paraId="5BA3631F" w14:textId="77777777" w:rsidTr="00AD4730">
        <w:trPr>
          <w:trHeight w:val="890"/>
        </w:trPr>
        <w:tc>
          <w:tcPr>
            <w:tcW w:w="9350" w:type="dxa"/>
            <w:shd w:val="clear" w:color="auto" w:fill="DEEAF6" w:themeFill="accent1" w:themeFillTint="33"/>
          </w:tcPr>
          <w:p w14:paraId="1DA39592" w14:textId="77777777" w:rsidR="00EE54BB" w:rsidRPr="00FD6B73" w:rsidRDefault="00EE54BB" w:rsidP="00324F85">
            <w:pPr>
              <w:spacing w:before="240"/>
              <w:rPr>
                <w:rFonts w:cs="Times New Roman"/>
                <w:b/>
                <w:iCs/>
                <w:lang w:val="ru-RU"/>
              </w:rPr>
            </w:pPr>
            <w:r w:rsidRPr="00FD6B73">
              <w:rPr>
                <w:rFonts w:cs="Times New Roman"/>
                <w:b/>
                <w:i/>
                <w:u w:val="single"/>
                <w:lang w:val="ru-RU"/>
              </w:rPr>
              <w:t xml:space="preserve">Посебни циљ 1:  </w:t>
            </w:r>
            <w:r w:rsidRPr="00FD6B73">
              <w:rPr>
                <w:rFonts w:cs="Times New Roman"/>
                <w:bCs/>
                <w:iCs/>
                <w:lang w:val="ru-RU"/>
              </w:rPr>
              <w:t>Унапређење ефикасности поступака за ратне злочине</w:t>
            </w:r>
            <w:r w:rsidR="003B4232" w:rsidRPr="00FD6B73">
              <w:rPr>
                <w:rFonts w:cs="Times New Roman"/>
                <w:bCs/>
                <w:iCs/>
                <w:lang w:val="ru-RU"/>
              </w:rPr>
              <w:t>.</w:t>
            </w:r>
          </w:p>
          <w:p w14:paraId="27ADC002" w14:textId="77777777" w:rsidR="00EE54BB" w:rsidRPr="00FD6B73" w:rsidRDefault="00EE54BB" w:rsidP="00324F85">
            <w:pPr>
              <w:spacing w:before="240"/>
              <w:rPr>
                <w:rFonts w:cs="Times New Roman"/>
                <w:b/>
                <w:bCs/>
                <w:i/>
                <w:u w:val="single"/>
                <w:lang w:val="ru-RU"/>
              </w:rPr>
            </w:pPr>
            <w:r w:rsidRPr="00FD6B73">
              <w:rPr>
                <w:rFonts w:cs="Times New Roman"/>
                <w:b/>
                <w:bCs/>
                <w:i/>
                <w:u w:val="single"/>
                <w:lang w:val="ru-RU"/>
              </w:rPr>
              <w:t>Показатељ исхода на нивоу посебног циља 1:</w:t>
            </w:r>
            <w:r w:rsidR="00C62B00" w:rsidRPr="00FD6B73">
              <w:rPr>
                <w:rFonts w:cs="Times New Roman"/>
                <w:bCs/>
                <w:iCs/>
                <w:lang w:val="ru-RU"/>
              </w:rPr>
              <w:t>Унапређена ефикасност поступака за ратне злочине</w:t>
            </w:r>
            <w:r w:rsidR="00324F85" w:rsidRPr="00FD6B73">
              <w:rPr>
                <w:rFonts w:cs="Times New Roman"/>
                <w:bCs/>
                <w:iCs/>
                <w:lang w:val="ru-RU"/>
              </w:rPr>
              <w:t>.</w:t>
            </w:r>
          </w:p>
          <w:p w14:paraId="4FABC885" w14:textId="3A6C302C" w:rsidR="00324F85" w:rsidRPr="00FD6B73" w:rsidRDefault="00EE54BB" w:rsidP="00324F85">
            <w:pPr>
              <w:spacing w:before="240"/>
              <w:rPr>
                <w:rFonts w:cs="Times New Roman"/>
                <w:iCs/>
                <w:lang w:val="ru-RU"/>
              </w:rPr>
            </w:pPr>
            <w:r w:rsidRPr="00FD6B73">
              <w:rPr>
                <w:rFonts w:cs="Times New Roman"/>
                <w:iCs/>
                <w:u w:val="single"/>
                <w:lang w:val="ru-RU"/>
              </w:rPr>
              <w:t>Базна вредност 2021. године:</w:t>
            </w:r>
            <w:r w:rsidR="005E2CE0">
              <w:rPr>
                <w:rFonts w:cs="Times New Roman"/>
                <w:iCs/>
                <w:u w:val="single"/>
                <w:lang w:val="ru-RU"/>
              </w:rPr>
              <w:t xml:space="preserve"> </w:t>
            </w:r>
            <w:r w:rsidR="009102EB" w:rsidRPr="00FD6B73">
              <w:rPr>
                <w:rFonts w:cs="Times New Roman"/>
                <w:iCs/>
                <w:u w:val="single"/>
                <w:lang w:val="ru-RU"/>
              </w:rPr>
              <w:t>З</w:t>
            </w:r>
            <w:r w:rsidR="00324F85" w:rsidRPr="00FD6B73">
              <w:rPr>
                <w:rFonts w:cs="Times New Roman"/>
                <w:iCs/>
                <w:lang w:val="ru-RU"/>
              </w:rPr>
              <w:t>адовољавајућ</w:t>
            </w:r>
            <w:r w:rsidR="009102EB" w:rsidRPr="00FD6B73">
              <w:rPr>
                <w:rFonts w:cs="Times New Roman"/>
                <w:iCs/>
                <w:lang w:val="ru-RU"/>
              </w:rPr>
              <w:t>а</w:t>
            </w:r>
            <w:r w:rsidR="00324F85" w:rsidRPr="00FD6B73">
              <w:rPr>
                <w:rFonts w:cs="Times New Roman"/>
                <w:iCs/>
                <w:lang w:val="ru-RU"/>
              </w:rPr>
              <w:t>.</w:t>
            </w:r>
          </w:p>
          <w:p w14:paraId="0C386E36" w14:textId="6380E0B3" w:rsidR="00324F85" w:rsidRPr="00FD6B73" w:rsidRDefault="00EE54BB" w:rsidP="00324F85">
            <w:pPr>
              <w:spacing w:before="240"/>
              <w:rPr>
                <w:rFonts w:cs="Times New Roman"/>
                <w:iCs/>
                <w:lang w:val="ru-RU"/>
              </w:rPr>
            </w:pPr>
            <w:r w:rsidRPr="00FD6B73">
              <w:rPr>
                <w:rFonts w:cs="Times New Roman"/>
                <w:iCs/>
                <w:u w:val="single"/>
                <w:lang w:val="ru-RU"/>
              </w:rPr>
              <w:t>Циљана вредност у 2026. години:</w:t>
            </w:r>
            <w:r w:rsidR="005E2CE0">
              <w:rPr>
                <w:rFonts w:cs="Times New Roman"/>
                <w:iCs/>
                <w:u w:val="single"/>
                <w:lang w:val="ru-RU"/>
              </w:rPr>
              <w:t xml:space="preserve"> </w:t>
            </w:r>
            <w:r w:rsidR="00EA5727" w:rsidRPr="00FD6B73">
              <w:rPr>
                <w:rFonts w:cs="Times New Roman"/>
                <w:iCs/>
                <w:lang w:val="ru-RU"/>
              </w:rPr>
              <w:t>Н</w:t>
            </w:r>
            <w:r w:rsidR="00324F85" w:rsidRPr="00FD6B73">
              <w:rPr>
                <w:rFonts w:cs="Times New Roman"/>
                <w:iCs/>
                <w:lang w:val="ru-RU"/>
              </w:rPr>
              <w:t xml:space="preserve">а </w:t>
            </w:r>
            <w:r w:rsidR="005E36C9" w:rsidRPr="00FD6B73">
              <w:rPr>
                <w:rFonts w:cs="Times New Roman"/>
                <w:iCs/>
                <w:lang w:val="ru-RU"/>
              </w:rPr>
              <w:t>високом</w:t>
            </w:r>
            <w:r w:rsidR="00324F85" w:rsidRPr="00FD6B73">
              <w:rPr>
                <w:rFonts w:cs="Times New Roman"/>
                <w:iCs/>
                <w:lang w:val="ru-RU"/>
              </w:rPr>
              <w:t xml:space="preserve"> нивоу.</w:t>
            </w:r>
          </w:p>
          <w:p w14:paraId="6BE8C390" w14:textId="68DC699F" w:rsidR="00EE54BB" w:rsidRPr="00FD6B73" w:rsidRDefault="00EE54BB" w:rsidP="00AB724D">
            <w:pPr>
              <w:spacing w:before="240" w:after="120"/>
              <w:rPr>
                <w:rFonts w:cs="Times New Roman"/>
                <w:iCs/>
                <w:lang w:val="ru-RU"/>
              </w:rPr>
            </w:pPr>
            <w:r w:rsidRPr="00FD6B73">
              <w:rPr>
                <w:rFonts w:cs="Times New Roman"/>
                <w:iCs/>
                <w:u w:val="single"/>
                <w:lang w:val="ru-RU"/>
              </w:rPr>
              <w:t>Извор провере</w:t>
            </w:r>
            <w:r w:rsidRPr="00FD6B73">
              <w:rPr>
                <w:rFonts w:cs="Times New Roman"/>
                <w:iCs/>
                <w:lang w:val="ru-RU"/>
              </w:rPr>
              <w:t xml:space="preserve">: </w:t>
            </w:r>
            <w:r w:rsidR="00AB724D">
              <w:rPr>
                <w:rFonts w:cs="Times New Roman"/>
                <w:iCs/>
                <w:lang w:val="ru-RU"/>
              </w:rPr>
              <w:t>к</w:t>
            </w:r>
            <w:r w:rsidR="008252B1" w:rsidRPr="00FD6B73">
              <w:rPr>
                <w:rFonts w:cs="Times New Roman"/>
                <w:iCs/>
                <w:lang w:val="ru-RU"/>
              </w:rPr>
              <w:t>вартални и</w:t>
            </w:r>
            <w:r w:rsidR="00C62B00" w:rsidRPr="00FD6B73">
              <w:rPr>
                <w:rFonts w:cs="Times New Roman"/>
                <w:iCs/>
                <w:lang w:val="ru-RU"/>
              </w:rPr>
              <w:t xml:space="preserve">звештаји о спровођењу Националне стратегије за процесуирање ратних злочина; </w:t>
            </w:r>
            <w:r w:rsidR="00AB724D">
              <w:rPr>
                <w:rFonts w:cs="Times New Roman"/>
                <w:iCs/>
                <w:lang w:val="ru-RU"/>
              </w:rPr>
              <w:t>и</w:t>
            </w:r>
            <w:r w:rsidR="00C62B00" w:rsidRPr="00FD6B73">
              <w:rPr>
                <w:rFonts w:cs="Times New Roman"/>
                <w:iCs/>
                <w:lang w:val="ru-RU"/>
              </w:rPr>
              <w:t xml:space="preserve">звештаји о спровођењу Тужилачке стратегије; </w:t>
            </w:r>
            <w:r w:rsidR="00AB724D">
              <w:rPr>
                <w:rFonts w:cs="Times New Roman"/>
                <w:iCs/>
                <w:lang w:val="ru-RU"/>
              </w:rPr>
              <w:t>г</w:t>
            </w:r>
            <w:r w:rsidR="00C62B00" w:rsidRPr="00FD6B73">
              <w:rPr>
                <w:rFonts w:cs="Times New Roman"/>
                <w:iCs/>
                <w:lang w:val="ru-RU"/>
              </w:rPr>
              <w:t xml:space="preserve">одишњи извештаји о раду судова у Републици Србији; </w:t>
            </w:r>
            <w:r w:rsidR="00AB724D">
              <w:rPr>
                <w:rFonts w:cs="Times New Roman"/>
                <w:iCs/>
                <w:lang w:val="ru-RU"/>
              </w:rPr>
              <w:t>и</w:t>
            </w:r>
            <w:r w:rsidR="00C62B00" w:rsidRPr="00FD6B73">
              <w:rPr>
                <w:rFonts w:cs="Times New Roman"/>
                <w:iCs/>
                <w:lang w:val="ru-RU"/>
              </w:rPr>
              <w:t>звештаји о спровођењу Акционог плана за Поглавље 23.</w:t>
            </w:r>
          </w:p>
        </w:tc>
      </w:tr>
      <w:tr w:rsidR="00F42ABF" w:rsidRPr="00627105" w14:paraId="4F5063A2" w14:textId="77777777" w:rsidTr="00F42ABF">
        <w:trPr>
          <w:trHeight w:val="1811"/>
        </w:trPr>
        <w:tc>
          <w:tcPr>
            <w:tcW w:w="9350" w:type="dxa"/>
            <w:shd w:val="clear" w:color="auto" w:fill="DEEAF6" w:themeFill="accent1" w:themeFillTint="33"/>
          </w:tcPr>
          <w:p w14:paraId="261E8730" w14:textId="4B8EC9AE" w:rsidR="00F42ABF" w:rsidRPr="00FD6B73" w:rsidRDefault="00F42ABF" w:rsidP="005E36C9">
            <w:pPr>
              <w:spacing w:before="240"/>
              <w:rPr>
                <w:rFonts w:cs="Times New Roman"/>
                <w:b/>
                <w:iCs/>
                <w:lang w:val="ru-RU"/>
              </w:rPr>
            </w:pPr>
            <w:r w:rsidRPr="00FD6B73">
              <w:rPr>
                <w:rFonts w:cs="Times New Roman"/>
                <w:b/>
                <w:i/>
                <w:u w:val="single"/>
                <w:lang w:val="ru-RU"/>
              </w:rPr>
              <w:lastRenderedPageBreak/>
              <w:t>Посебни циљ 2:</w:t>
            </w:r>
            <w:r w:rsidR="005E2CE0">
              <w:rPr>
                <w:rFonts w:cs="Times New Roman"/>
                <w:b/>
                <w:i/>
                <w:u w:val="single"/>
                <w:lang w:val="ru-RU"/>
              </w:rPr>
              <w:t xml:space="preserve"> </w:t>
            </w:r>
            <w:r w:rsidRPr="00FD6B73">
              <w:rPr>
                <w:rFonts w:cs="Times New Roman"/>
                <w:bCs/>
                <w:iCs/>
                <w:lang w:val="ru-RU"/>
              </w:rPr>
              <w:t>Унапређење заштите и подршке оштећенима и сведоцима у</w:t>
            </w:r>
            <w:r w:rsidR="005E2CE0">
              <w:rPr>
                <w:rFonts w:cs="Times New Roman"/>
                <w:bCs/>
                <w:iCs/>
                <w:lang w:val="ru-RU"/>
              </w:rPr>
              <w:t xml:space="preserve"> </w:t>
            </w:r>
            <w:r w:rsidRPr="00FD6B73">
              <w:rPr>
                <w:rFonts w:cs="Times New Roman"/>
                <w:bCs/>
                <w:iCs/>
                <w:lang w:val="ru-RU"/>
              </w:rPr>
              <w:t>поступцима за</w:t>
            </w:r>
            <w:r w:rsidR="005E2CE0">
              <w:rPr>
                <w:rFonts w:cs="Times New Roman"/>
                <w:bCs/>
                <w:iCs/>
                <w:lang w:val="ru-RU"/>
              </w:rPr>
              <w:t xml:space="preserve"> </w:t>
            </w:r>
            <w:r w:rsidRPr="00FD6B73">
              <w:rPr>
                <w:rFonts w:cs="Times New Roman"/>
                <w:bCs/>
                <w:iCs/>
                <w:lang w:val="ru-RU"/>
              </w:rPr>
              <w:t>ратне злочине</w:t>
            </w:r>
            <w:r w:rsidR="008F0444" w:rsidRPr="00FD6B73">
              <w:rPr>
                <w:rFonts w:cs="Times New Roman"/>
                <w:bCs/>
                <w:iCs/>
                <w:lang w:val="ru-RU"/>
              </w:rPr>
              <w:t>.</w:t>
            </w:r>
          </w:p>
          <w:p w14:paraId="7C34F7A1" w14:textId="77777777" w:rsidR="00F42ABF" w:rsidRPr="00FD6B73" w:rsidRDefault="00F42ABF" w:rsidP="0037652A">
            <w:pPr>
              <w:spacing w:before="240"/>
              <w:rPr>
                <w:rFonts w:cs="Times New Roman"/>
                <w:iCs/>
                <w:lang w:val="ru-RU"/>
              </w:rPr>
            </w:pPr>
            <w:r w:rsidRPr="00FD6B73">
              <w:rPr>
                <w:rFonts w:cs="Times New Roman"/>
                <w:b/>
                <w:bCs/>
                <w:i/>
                <w:u w:val="single"/>
                <w:lang w:val="ru-RU"/>
              </w:rPr>
              <w:t xml:space="preserve">Показатељ исхода на нивоу посебног циља 2: </w:t>
            </w:r>
            <w:r w:rsidRPr="00FD6B73">
              <w:rPr>
                <w:rFonts w:cs="Times New Roman"/>
                <w:iCs/>
                <w:lang w:val="ru-RU"/>
              </w:rPr>
              <w:t xml:space="preserve">Оштећени и сведоци у поступцима за ратне злочине уживају заштиту и подршку у складу са релевантним међународним стандардима. </w:t>
            </w:r>
          </w:p>
          <w:p w14:paraId="170CC85D" w14:textId="3FDBF26D" w:rsidR="0037652A" w:rsidRPr="00FD6B73" w:rsidRDefault="00F42ABF" w:rsidP="00F42ABF">
            <w:pPr>
              <w:spacing w:before="240"/>
              <w:rPr>
                <w:rFonts w:cs="Times New Roman"/>
                <w:iCs/>
                <w:lang w:val="ru-RU"/>
              </w:rPr>
            </w:pPr>
            <w:r w:rsidRPr="00FD6B73">
              <w:rPr>
                <w:rFonts w:cs="Times New Roman"/>
                <w:iCs/>
                <w:u w:val="single"/>
                <w:lang w:val="ru-RU"/>
              </w:rPr>
              <w:t>Базна вредност 2021. године:</w:t>
            </w:r>
            <w:r w:rsidR="005E2CE0">
              <w:rPr>
                <w:rFonts w:cs="Times New Roman"/>
                <w:iCs/>
                <w:u w:val="single"/>
                <w:lang w:val="ru-RU"/>
              </w:rPr>
              <w:t xml:space="preserve"> </w:t>
            </w:r>
            <w:r w:rsidR="006D1BE3" w:rsidRPr="00FD6B73">
              <w:rPr>
                <w:rFonts w:cs="Times New Roman"/>
                <w:iCs/>
                <w:lang w:val="ru-RU"/>
              </w:rPr>
              <w:t xml:space="preserve">Заштита и подршка оштећенима и сведоцима у поступцима за ратне злочине је на задовољавајућем нивоу. </w:t>
            </w:r>
          </w:p>
          <w:p w14:paraId="606F4869" w14:textId="73F00DBF" w:rsidR="0037652A" w:rsidRPr="00FD6B73" w:rsidRDefault="00F42ABF" w:rsidP="00F42ABF">
            <w:pPr>
              <w:spacing w:before="240"/>
              <w:rPr>
                <w:rFonts w:cs="Times New Roman"/>
                <w:iCs/>
                <w:lang w:val="ru-RU"/>
              </w:rPr>
            </w:pPr>
            <w:r w:rsidRPr="00FD6B73">
              <w:rPr>
                <w:rFonts w:cs="Times New Roman"/>
                <w:iCs/>
                <w:u w:val="single"/>
                <w:lang w:val="ru-RU"/>
              </w:rPr>
              <w:t>Циљана вредност у 202</w:t>
            </w:r>
            <w:r w:rsidR="00BF2EE2" w:rsidRPr="00FD6B73">
              <w:rPr>
                <w:rFonts w:cs="Times New Roman"/>
                <w:iCs/>
                <w:u w:val="single"/>
                <w:lang w:val="ru-RU"/>
              </w:rPr>
              <w:t>6</w:t>
            </w:r>
            <w:r w:rsidRPr="00FD6B73">
              <w:rPr>
                <w:rFonts w:cs="Times New Roman"/>
                <w:iCs/>
                <w:u w:val="single"/>
                <w:lang w:val="ru-RU"/>
              </w:rPr>
              <w:t>. години:</w:t>
            </w:r>
            <w:r w:rsidR="005E2CE0">
              <w:rPr>
                <w:rFonts w:cs="Times New Roman"/>
                <w:iCs/>
                <w:u w:val="single"/>
                <w:lang w:val="ru-RU"/>
              </w:rPr>
              <w:t xml:space="preserve"> </w:t>
            </w:r>
            <w:r w:rsidR="006D1BE3" w:rsidRPr="00FD6B73">
              <w:rPr>
                <w:rFonts w:cs="Times New Roman"/>
                <w:iCs/>
                <w:lang w:val="ru-RU"/>
              </w:rPr>
              <w:t>Заштита и подршка оштећенима и сведоцима у поступцима за ратне злочине обезбеђује се у</w:t>
            </w:r>
            <w:r w:rsidR="009F4A9A" w:rsidRPr="00FD6B73">
              <w:rPr>
                <w:rFonts w:cs="Times New Roman"/>
                <w:iCs/>
                <w:lang w:val="ru-RU"/>
              </w:rPr>
              <w:t xml:space="preserve"> свему у</w:t>
            </w:r>
            <w:r w:rsidR="006D1BE3" w:rsidRPr="00FD6B73">
              <w:rPr>
                <w:rFonts w:cs="Times New Roman"/>
                <w:iCs/>
                <w:lang w:val="ru-RU"/>
              </w:rPr>
              <w:t xml:space="preserve"> складу са релевантним међународним стандардима.</w:t>
            </w:r>
          </w:p>
          <w:p w14:paraId="2839DFEE" w14:textId="7AC4B993" w:rsidR="00F42ABF" w:rsidRPr="00FD6B73" w:rsidRDefault="00F42ABF" w:rsidP="00AB724D">
            <w:pPr>
              <w:spacing w:before="240" w:after="120"/>
              <w:rPr>
                <w:rFonts w:cs="Times New Roman"/>
                <w:iCs/>
                <w:lang w:val="ru-RU"/>
              </w:rPr>
            </w:pPr>
            <w:r w:rsidRPr="00FD6B73">
              <w:rPr>
                <w:rFonts w:cs="Times New Roman"/>
                <w:iCs/>
                <w:u w:val="single"/>
                <w:lang w:val="ru-RU"/>
              </w:rPr>
              <w:t>Извор провере</w:t>
            </w:r>
            <w:r w:rsidRPr="00FD6B73">
              <w:rPr>
                <w:rFonts w:cs="Times New Roman"/>
                <w:iCs/>
                <w:lang w:val="ru-RU"/>
              </w:rPr>
              <w:t xml:space="preserve">: </w:t>
            </w:r>
            <w:r w:rsidR="00AB724D">
              <w:rPr>
                <w:rFonts w:cs="Times New Roman"/>
                <w:iCs/>
                <w:lang w:val="ru-RU"/>
              </w:rPr>
              <w:t>к</w:t>
            </w:r>
            <w:r w:rsidR="008252B1" w:rsidRPr="00FD6B73">
              <w:rPr>
                <w:rFonts w:cs="Times New Roman"/>
                <w:iCs/>
                <w:lang w:val="ru-RU"/>
              </w:rPr>
              <w:t>вартални и</w:t>
            </w:r>
            <w:r w:rsidRPr="00FD6B73">
              <w:rPr>
                <w:rFonts w:cs="Times New Roman"/>
                <w:iCs/>
                <w:lang w:val="ru-RU"/>
              </w:rPr>
              <w:t xml:space="preserve">звештаји о спровођењу Националне стратегије за процесуирање ратних злочина; </w:t>
            </w:r>
            <w:r w:rsidR="00AB724D">
              <w:rPr>
                <w:rFonts w:cs="Times New Roman"/>
                <w:iCs/>
                <w:lang w:val="ru-RU"/>
              </w:rPr>
              <w:t>и</w:t>
            </w:r>
            <w:r w:rsidRPr="00FD6B73">
              <w:rPr>
                <w:rFonts w:cs="Times New Roman"/>
                <w:iCs/>
                <w:lang w:val="ru-RU"/>
              </w:rPr>
              <w:t xml:space="preserve">звештаји о спровођењу Националне стратегије за остваривање права жртава и сведока кривичних дела у Републици Србији за период од 2020-2025; </w:t>
            </w:r>
            <w:r w:rsidR="00AB724D">
              <w:rPr>
                <w:rFonts w:cs="Times New Roman"/>
                <w:iCs/>
                <w:lang w:val="ru-RU"/>
              </w:rPr>
              <w:t>и</w:t>
            </w:r>
            <w:r w:rsidRPr="00FD6B73">
              <w:rPr>
                <w:rFonts w:cs="Times New Roman"/>
                <w:iCs/>
                <w:lang w:val="ru-RU"/>
              </w:rPr>
              <w:t>звештаји о спровођењу Акционог плана за Поглавље 23.</w:t>
            </w:r>
          </w:p>
        </w:tc>
      </w:tr>
      <w:tr w:rsidR="00F42ABF" w:rsidRPr="00627105" w14:paraId="1FA68254" w14:textId="77777777" w:rsidTr="00F42ABF">
        <w:trPr>
          <w:trHeight w:val="1811"/>
        </w:trPr>
        <w:tc>
          <w:tcPr>
            <w:tcW w:w="9350" w:type="dxa"/>
            <w:shd w:val="clear" w:color="auto" w:fill="DEEAF6" w:themeFill="accent1" w:themeFillTint="33"/>
          </w:tcPr>
          <w:p w14:paraId="5A0B2434" w14:textId="5B4C4388" w:rsidR="00F42ABF" w:rsidRPr="00FD6B73" w:rsidRDefault="00F42ABF" w:rsidP="0037652A">
            <w:pPr>
              <w:spacing w:before="240"/>
              <w:rPr>
                <w:rFonts w:cs="Times New Roman"/>
                <w:bCs/>
                <w:iCs/>
                <w:lang w:val="ru-RU"/>
              </w:rPr>
            </w:pPr>
            <w:r w:rsidRPr="00FD6B73">
              <w:rPr>
                <w:rFonts w:cs="Times New Roman"/>
                <w:b/>
                <w:i/>
                <w:u w:val="single"/>
                <w:lang w:val="ru-RU"/>
              </w:rPr>
              <w:t>Посебни циљ 3:</w:t>
            </w:r>
            <w:r w:rsidR="005E2CE0">
              <w:rPr>
                <w:rFonts w:cs="Times New Roman"/>
                <w:b/>
                <w:i/>
                <w:u w:val="single"/>
                <w:lang w:val="ru-RU"/>
              </w:rPr>
              <w:t xml:space="preserve"> </w:t>
            </w:r>
            <w:r w:rsidRPr="00FD6B73">
              <w:rPr>
                <w:rFonts w:cs="Times New Roman"/>
                <w:bCs/>
                <w:iCs/>
                <w:lang w:val="ru-RU"/>
              </w:rPr>
              <w:t>Унапређе</w:t>
            </w:r>
            <w:r w:rsidR="00086443" w:rsidRPr="00FD6B73">
              <w:rPr>
                <w:rFonts w:cs="Times New Roman"/>
                <w:bCs/>
                <w:iCs/>
                <w:lang w:val="ru-RU"/>
              </w:rPr>
              <w:t>ње</w:t>
            </w:r>
            <w:r w:rsidRPr="00FD6B73">
              <w:rPr>
                <w:rFonts w:cs="Times New Roman"/>
                <w:bCs/>
                <w:iCs/>
                <w:lang w:val="ru-RU"/>
              </w:rPr>
              <w:t xml:space="preserve"> механиз</w:t>
            </w:r>
            <w:r w:rsidR="00086443" w:rsidRPr="00FD6B73">
              <w:rPr>
                <w:rFonts w:cs="Times New Roman"/>
                <w:bCs/>
                <w:iCs/>
                <w:lang w:val="ru-RU"/>
              </w:rPr>
              <w:t>ама</w:t>
            </w:r>
            <w:r w:rsidRPr="00FD6B73">
              <w:rPr>
                <w:rFonts w:cs="Times New Roman"/>
                <w:bCs/>
                <w:iCs/>
                <w:lang w:val="ru-RU"/>
              </w:rPr>
              <w:t xml:space="preserve"> откривања судбине несталих лица</w:t>
            </w:r>
            <w:r w:rsidR="003B4232" w:rsidRPr="00FD6B73">
              <w:rPr>
                <w:rFonts w:cs="Times New Roman"/>
                <w:bCs/>
                <w:iCs/>
                <w:lang w:val="ru-RU"/>
              </w:rPr>
              <w:t xml:space="preserve">. </w:t>
            </w:r>
          </w:p>
          <w:p w14:paraId="7878BD5F" w14:textId="6CCB9B05" w:rsidR="00F42ABF" w:rsidRPr="00FD6B73" w:rsidRDefault="00F42ABF" w:rsidP="0037652A">
            <w:pPr>
              <w:spacing w:before="240"/>
              <w:rPr>
                <w:rFonts w:cs="Times New Roman"/>
                <w:iCs/>
                <w:lang w:val="ru-RU"/>
              </w:rPr>
            </w:pPr>
            <w:r w:rsidRPr="00FD6B73">
              <w:rPr>
                <w:rFonts w:cs="Times New Roman"/>
                <w:b/>
                <w:bCs/>
                <w:i/>
                <w:u w:val="single"/>
                <w:lang w:val="ru-RU"/>
              </w:rPr>
              <w:t>Показатељ исхода на нивоу посебног циља 3:</w:t>
            </w:r>
            <w:r w:rsidR="005E2CE0">
              <w:rPr>
                <w:rFonts w:cs="Times New Roman"/>
                <w:b/>
                <w:bCs/>
                <w:i/>
                <w:u w:val="single"/>
                <w:lang w:val="ru-RU"/>
              </w:rPr>
              <w:t xml:space="preserve"> </w:t>
            </w:r>
            <w:r w:rsidR="00A22BD2" w:rsidRPr="00FD6B73">
              <w:rPr>
                <w:rFonts w:cs="Times New Roman"/>
                <w:iCs/>
                <w:lang w:val="ru-RU"/>
              </w:rPr>
              <w:t>Б</w:t>
            </w:r>
            <w:r w:rsidR="003B4232" w:rsidRPr="00FD6B73">
              <w:rPr>
                <w:rFonts w:cs="Times New Roman"/>
                <w:iCs/>
                <w:lang w:val="ru-RU"/>
              </w:rPr>
              <w:t>рој несталих лица и смртно страдалих лица за која није познато место укопа, током, и у вези са оружаним сукобима на простору бивше СФРЈ у периоду од 1.</w:t>
            </w:r>
            <w:r w:rsidR="00AB724D">
              <w:rPr>
                <w:rFonts w:cs="Times New Roman"/>
                <w:iCs/>
                <w:lang w:val="ru-RU"/>
              </w:rPr>
              <w:t xml:space="preserve"> јануара </w:t>
            </w:r>
            <w:r w:rsidR="003B4232" w:rsidRPr="00FD6B73">
              <w:rPr>
                <w:rFonts w:cs="Times New Roman"/>
                <w:iCs/>
                <w:lang w:val="ru-RU"/>
              </w:rPr>
              <w:t>1991. до 31.</w:t>
            </w:r>
            <w:r w:rsidR="00AB724D">
              <w:rPr>
                <w:rFonts w:cs="Times New Roman"/>
                <w:iCs/>
                <w:lang w:val="ru-RU"/>
              </w:rPr>
              <w:t xml:space="preserve"> децембра </w:t>
            </w:r>
            <w:r w:rsidR="003B4232" w:rsidRPr="00FD6B73">
              <w:rPr>
                <w:rFonts w:cs="Times New Roman"/>
                <w:iCs/>
                <w:lang w:val="ru-RU"/>
              </w:rPr>
              <w:t>1995.</w:t>
            </w:r>
            <w:r w:rsidR="00AB724D">
              <w:rPr>
                <w:rFonts w:cs="Times New Roman"/>
                <w:iCs/>
                <w:lang w:val="ru-RU"/>
              </w:rPr>
              <w:t xml:space="preserve"> године</w:t>
            </w:r>
            <w:r w:rsidR="003B4232" w:rsidRPr="00FD6B73">
              <w:rPr>
                <w:rFonts w:cs="Times New Roman"/>
                <w:iCs/>
                <w:lang w:val="ru-RU"/>
              </w:rPr>
              <w:t xml:space="preserve"> и на простору АП Косово и Метохија у периоду од 1.</w:t>
            </w:r>
            <w:r w:rsidR="00AB724D">
              <w:rPr>
                <w:rFonts w:cs="Times New Roman"/>
                <w:iCs/>
                <w:lang w:val="ru-RU"/>
              </w:rPr>
              <w:t xml:space="preserve"> јануара </w:t>
            </w:r>
            <w:r w:rsidR="003B4232" w:rsidRPr="00FD6B73">
              <w:rPr>
                <w:rFonts w:cs="Times New Roman"/>
                <w:iCs/>
                <w:lang w:val="ru-RU"/>
              </w:rPr>
              <w:t>1998. до 31.</w:t>
            </w:r>
            <w:r w:rsidR="00AB724D">
              <w:rPr>
                <w:rFonts w:cs="Times New Roman"/>
                <w:iCs/>
                <w:lang w:val="ru-RU"/>
              </w:rPr>
              <w:t xml:space="preserve"> децембра</w:t>
            </w:r>
            <w:r w:rsidR="003B4232" w:rsidRPr="00FD6B73">
              <w:rPr>
                <w:rFonts w:cs="Times New Roman"/>
                <w:iCs/>
                <w:lang w:val="ru-RU"/>
              </w:rPr>
              <w:t xml:space="preserve"> 2000. године.</w:t>
            </w:r>
          </w:p>
          <w:p w14:paraId="4B05E796" w14:textId="62921AE5" w:rsidR="00CA7539" w:rsidRPr="00FD6B73" w:rsidRDefault="00F42ABF" w:rsidP="0037652A">
            <w:pPr>
              <w:spacing w:before="240"/>
              <w:rPr>
                <w:rFonts w:cs="Times New Roman"/>
                <w:iCs/>
                <w:lang w:val="ru-RU"/>
              </w:rPr>
            </w:pPr>
            <w:r w:rsidRPr="00FD6B73">
              <w:rPr>
                <w:rFonts w:cs="Times New Roman"/>
                <w:iCs/>
                <w:u w:val="single"/>
                <w:lang w:val="ru-RU"/>
              </w:rPr>
              <w:t>Базна вредност 2021. године:</w:t>
            </w:r>
            <w:r w:rsidR="005E2CE0">
              <w:rPr>
                <w:rFonts w:cs="Times New Roman"/>
                <w:iCs/>
                <w:u w:val="single"/>
                <w:lang w:val="ru-RU"/>
              </w:rPr>
              <w:t xml:space="preserve"> </w:t>
            </w:r>
            <w:r w:rsidR="00351F22" w:rsidRPr="00FD6B73">
              <w:rPr>
                <w:rFonts w:cs="Times New Roman"/>
                <w:iCs/>
                <w:lang w:val="ru-RU"/>
              </w:rPr>
              <w:t>2</w:t>
            </w:r>
            <w:r w:rsidR="006239DA" w:rsidRPr="00FD6B73">
              <w:rPr>
                <w:rFonts w:cs="Times New Roman"/>
                <w:iCs/>
                <w:lang w:val="ru-RU"/>
              </w:rPr>
              <w:t>.</w:t>
            </w:r>
            <w:r w:rsidR="00351F22" w:rsidRPr="00FD6B73">
              <w:rPr>
                <w:rFonts w:cs="Times New Roman"/>
                <w:iCs/>
                <w:lang w:val="ru-RU"/>
              </w:rPr>
              <w:t>500</w:t>
            </w:r>
          </w:p>
          <w:p w14:paraId="3C924BEB" w14:textId="4AC0C75B" w:rsidR="00FA02C9" w:rsidRPr="00FD6B73" w:rsidRDefault="00F42ABF" w:rsidP="00FD6B73">
            <w:pPr>
              <w:spacing w:before="240"/>
              <w:rPr>
                <w:rFonts w:cs="Times New Roman"/>
                <w:iCs/>
                <w:szCs w:val="24"/>
                <w:lang w:val="ru-RU"/>
              </w:rPr>
            </w:pPr>
            <w:r w:rsidRPr="00FD6B73">
              <w:rPr>
                <w:rFonts w:cs="Times New Roman"/>
                <w:iCs/>
                <w:u w:val="single"/>
                <w:lang w:val="ru-RU"/>
              </w:rPr>
              <w:t>Циљана вредност у 202</w:t>
            </w:r>
            <w:r w:rsidR="00351F22" w:rsidRPr="00FD6B73">
              <w:rPr>
                <w:rFonts w:cs="Times New Roman"/>
                <w:iCs/>
                <w:u w:val="single"/>
                <w:lang w:val="ru-RU"/>
              </w:rPr>
              <w:t>6</w:t>
            </w:r>
            <w:r w:rsidRPr="00FD6B73">
              <w:rPr>
                <w:rFonts w:cs="Times New Roman"/>
                <w:iCs/>
                <w:u w:val="single"/>
                <w:lang w:val="ru-RU"/>
              </w:rPr>
              <w:t>. години:</w:t>
            </w:r>
            <w:r w:rsidR="005E2CE0">
              <w:rPr>
                <w:rFonts w:cs="Times New Roman"/>
                <w:iCs/>
                <w:u w:val="single"/>
                <w:lang w:val="ru-RU"/>
              </w:rPr>
              <w:t xml:space="preserve"> </w:t>
            </w:r>
            <w:r w:rsidR="00451F90" w:rsidRPr="00FD6B73">
              <w:rPr>
                <w:rFonts w:cs="Times New Roman"/>
                <w:iCs/>
                <w:lang w:val="ru-RU"/>
              </w:rPr>
              <w:t xml:space="preserve">Смањен број </w:t>
            </w:r>
            <w:r w:rsidR="00F7481C" w:rsidRPr="00FD6B73">
              <w:rPr>
                <w:rFonts w:cs="Times New Roman"/>
                <w:iCs/>
                <w:szCs w:val="24"/>
                <w:lang w:val="ru-RU"/>
              </w:rPr>
              <w:t>несталих лица и смртно страдалих лица за која није познато место укопа, током, и у вези са оружаним сукобима на простору бивше СФРЈ у периоду од 1.</w:t>
            </w:r>
            <w:r w:rsidR="00AB724D">
              <w:rPr>
                <w:rFonts w:cs="Times New Roman"/>
                <w:iCs/>
                <w:lang w:val="ru-RU"/>
              </w:rPr>
              <w:t xml:space="preserve"> јануара </w:t>
            </w:r>
            <w:r w:rsidR="00F7481C" w:rsidRPr="00FD6B73">
              <w:rPr>
                <w:rFonts w:cs="Times New Roman"/>
                <w:iCs/>
                <w:szCs w:val="24"/>
                <w:lang w:val="ru-RU"/>
              </w:rPr>
              <w:t>1991. до 31.</w:t>
            </w:r>
            <w:r w:rsidR="00AB724D">
              <w:rPr>
                <w:rFonts w:cs="Times New Roman"/>
                <w:iCs/>
                <w:szCs w:val="24"/>
                <w:lang w:val="ru-RU"/>
              </w:rPr>
              <w:t xml:space="preserve"> децембра </w:t>
            </w:r>
            <w:r w:rsidR="00F7481C" w:rsidRPr="00FD6B73">
              <w:rPr>
                <w:rFonts w:cs="Times New Roman"/>
                <w:iCs/>
                <w:szCs w:val="24"/>
                <w:lang w:val="ru-RU"/>
              </w:rPr>
              <w:t>1995. и на простору АП Косово и Метохија</w:t>
            </w:r>
            <w:r w:rsidR="005E2CE0">
              <w:rPr>
                <w:rFonts w:cs="Times New Roman"/>
                <w:iCs/>
                <w:szCs w:val="24"/>
                <w:lang w:val="ru-RU"/>
              </w:rPr>
              <w:t xml:space="preserve"> </w:t>
            </w:r>
            <w:r w:rsidR="00F7481C" w:rsidRPr="00FD6B73">
              <w:rPr>
                <w:rFonts w:cs="Times New Roman"/>
                <w:iCs/>
                <w:szCs w:val="24"/>
                <w:lang w:val="ru-RU"/>
              </w:rPr>
              <w:t>у периоду од 1.</w:t>
            </w:r>
            <w:r w:rsidR="00AB724D">
              <w:rPr>
                <w:rFonts w:cs="Times New Roman"/>
                <w:iCs/>
                <w:lang w:val="ru-RU"/>
              </w:rPr>
              <w:t xml:space="preserve"> јануара </w:t>
            </w:r>
            <w:r w:rsidR="00F7481C" w:rsidRPr="00FD6B73">
              <w:rPr>
                <w:rFonts w:cs="Times New Roman"/>
                <w:iCs/>
                <w:szCs w:val="24"/>
                <w:lang w:val="ru-RU"/>
              </w:rPr>
              <w:t>1998. до 31.</w:t>
            </w:r>
            <w:r w:rsidR="00AB724D">
              <w:rPr>
                <w:rFonts w:cs="Times New Roman"/>
                <w:iCs/>
                <w:szCs w:val="24"/>
                <w:lang w:val="ru-RU"/>
              </w:rPr>
              <w:t xml:space="preserve"> децембра </w:t>
            </w:r>
            <w:r w:rsidR="00F7481C" w:rsidRPr="00FD6B73">
              <w:rPr>
                <w:rFonts w:cs="Times New Roman"/>
                <w:iCs/>
                <w:szCs w:val="24"/>
                <w:lang w:val="ru-RU"/>
              </w:rPr>
              <w:t>2000. године.</w:t>
            </w:r>
          </w:p>
          <w:p w14:paraId="250A853F" w14:textId="37E40029" w:rsidR="00F42ABF" w:rsidRPr="00FD6B73" w:rsidRDefault="00F42ABF" w:rsidP="00473A86">
            <w:pPr>
              <w:spacing w:before="240" w:after="120"/>
              <w:rPr>
                <w:rFonts w:cs="Times New Roman"/>
                <w:iCs/>
                <w:lang w:val="ru-RU"/>
              </w:rPr>
            </w:pPr>
            <w:r w:rsidRPr="00FD6B73">
              <w:rPr>
                <w:rFonts w:cs="Times New Roman"/>
                <w:iCs/>
                <w:u w:val="single"/>
                <w:lang w:val="ru-RU"/>
              </w:rPr>
              <w:t>Извор провере</w:t>
            </w:r>
            <w:r w:rsidRPr="00FD6B73">
              <w:rPr>
                <w:rFonts w:cs="Times New Roman"/>
                <w:iCs/>
                <w:lang w:val="ru-RU"/>
              </w:rPr>
              <w:t xml:space="preserve">: </w:t>
            </w:r>
            <w:r w:rsidR="00AB724D">
              <w:rPr>
                <w:rFonts w:cs="Times New Roman"/>
                <w:iCs/>
                <w:lang w:val="ru-RU"/>
              </w:rPr>
              <w:t>к</w:t>
            </w:r>
            <w:r w:rsidR="008252B1" w:rsidRPr="00FD6B73">
              <w:rPr>
                <w:rFonts w:cs="Times New Roman"/>
                <w:iCs/>
                <w:lang w:val="ru-RU"/>
              </w:rPr>
              <w:t>вартални и</w:t>
            </w:r>
            <w:r w:rsidR="00CA7539" w:rsidRPr="00FD6B73">
              <w:rPr>
                <w:rFonts w:cs="Times New Roman"/>
                <w:iCs/>
                <w:lang w:val="ru-RU"/>
              </w:rPr>
              <w:t xml:space="preserve">звештаји о спровођењу Националне стратегије за процесуирање ратних злочина; </w:t>
            </w:r>
            <w:r w:rsidR="00AB724D">
              <w:rPr>
                <w:rFonts w:cs="Times New Roman"/>
                <w:iCs/>
                <w:lang w:val="ru-RU"/>
              </w:rPr>
              <w:t>и</w:t>
            </w:r>
            <w:r w:rsidR="00B816EA" w:rsidRPr="00FD6B73">
              <w:rPr>
                <w:rFonts w:cs="Times New Roman"/>
                <w:iCs/>
                <w:lang w:val="ru-RU"/>
              </w:rPr>
              <w:t xml:space="preserve">звештаји о раду Комисије за нестала лица; </w:t>
            </w:r>
            <w:r w:rsidR="00AB724D">
              <w:rPr>
                <w:rFonts w:cs="Times New Roman"/>
                <w:iCs/>
                <w:lang w:val="ru-RU"/>
              </w:rPr>
              <w:t>и</w:t>
            </w:r>
            <w:r w:rsidR="00CA7539" w:rsidRPr="00FD6B73">
              <w:rPr>
                <w:rFonts w:cs="Times New Roman"/>
                <w:iCs/>
                <w:lang w:val="ru-RU"/>
              </w:rPr>
              <w:t>звештаји о спр</w:t>
            </w:r>
            <w:r w:rsidR="00AB724D">
              <w:rPr>
                <w:rFonts w:cs="Times New Roman"/>
                <w:iCs/>
                <w:lang w:val="ru-RU"/>
              </w:rPr>
              <w:t>овођењу Тужилачке стратегије</w:t>
            </w:r>
            <w:r w:rsidR="00CA7539" w:rsidRPr="00FD6B73">
              <w:rPr>
                <w:rFonts w:cs="Times New Roman"/>
                <w:iCs/>
                <w:lang w:val="ru-RU"/>
              </w:rPr>
              <w:t xml:space="preserve">; </w:t>
            </w:r>
            <w:r w:rsidR="00473A86">
              <w:rPr>
                <w:rFonts w:cs="Times New Roman"/>
                <w:iCs/>
                <w:lang w:val="ru-RU"/>
              </w:rPr>
              <w:t>и</w:t>
            </w:r>
            <w:r w:rsidR="00CA7539" w:rsidRPr="00FD6B73">
              <w:rPr>
                <w:rFonts w:cs="Times New Roman"/>
                <w:iCs/>
                <w:lang w:val="ru-RU"/>
              </w:rPr>
              <w:t>звештаји о спровођењу Акционог плана за Поглавље 23</w:t>
            </w:r>
            <w:r w:rsidR="00B816EA" w:rsidRPr="00FD6B73">
              <w:rPr>
                <w:rFonts w:cs="Times New Roman"/>
                <w:iCs/>
                <w:lang w:val="ru-RU"/>
              </w:rPr>
              <w:t xml:space="preserve">, </w:t>
            </w:r>
            <w:r w:rsidR="00473A86">
              <w:rPr>
                <w:rFonts w:cs="Times New Roman"/>
                <w:iCs/>
                <w:lang w:val="ru-RU"/>
              </w:rPr>
              <w:t>и</w:t>
            </w:r>
            <w:r w:rsidR="00B816EA" w:rsidRPr="00FD6B73">
              <w:rPr>
                <w:rFonts w:cs="Times New Roman"/>
                <w:iCs/>
                <w:lang w:val="ru-RU"/>
              </w:rPr>
              <w:t xml:space="preserve">звештаји УН Комитета за присилне нестанке; </w:t>
            </w:r>
            <w:r w:rsidR="00473A86">
              <w:rPr>
                <w:rFonts w:cs="Times New Roman"/>
                <w:iCs/>
                <w:lang w:val="ru-RU"/>
              </w:rPr>
              <w:t>и</w:t>
            </w:r>
            <w:r w:rsidR="00B816EA" w:rsidRPr="00FD6B73">
              <w:rPr>
                <w:rFonts w:cs="Times New Roman"/>
                <w:iCs/>
                <w:lang w:val="ru-RU"/>
              </w:rPr>
              <w:t>звештаји УН Радне групе за присилне и недобровољне нестанке</w:t>
            </w:r>
            <w:r w:rsidR="00351F22" w:rsidRPr="00FD6B73">
              <w:rPr>
                <w:rFonts w:cs="Times New Roman"/>
                <w:iCs/>
                <w:lang w:val="ru-RU"/>
              </w:rPr>
              <w:t xml:space="preserve">; </w:t>
            </w:r>
            <w:r w:rsidR="00473A86">
              <w:rPr>
                <w:rFonts w:cs="Times New Roman"/>
                <w:iCs/>
                <w:lang w:val="ru-RU"/>
              </w:rPr>
              <w:t>и</w:t>
            </w:r>
            <w:r w:rsidR="00351F22" w:rsidRPr="00FD6B73">
              <w:rPr>
                <w:rFonts w:cs="Times New Roman"/>
                <w:iCs/>
                <w:lang w:val="ru-RU"/>
              </w:rPr>
              <w:t>звештаји Међународног комитета Црвеног крста.</w:t>
            </w:r>
          </w:p>
        </w:tc>
      </w:tr>
      <w:tr w:rsidR="00F42ABF" w:rsidRPr="00627105" w14:paraId="330D52F1" w14:textId="77777777" w:rsidTr="00F42ABF">
        <w:trPr>
          <w:trHeight w:val="1811"/>
        </w:trPr>
        <w:tc>
          <w:tcPr>
            <w:tcW w:w="9350" w:type="dxa"/>
            <w:shd w:val="clear" w:color="auto" w:fill="DEEAF6" w:themeFill="accent1" w:themeFillTint="33"/>
          </w:tcPr>
          <w:p w14:paraId="51E28C15" w14:textId="26849BA3" w:rsidR="00F42ABF" w:rsidRPr="00FD6B73" w:rsidRDefault="00F42ABF" w:rsidP="0037652A">
            <w:pPr>
              <w:spacing w:before="240"/>
              <w:rPr>
                <w:rFonts w:cs="Times New Roman"/>
                <w:b/>
                <w:iCs/>
                <w:lang w:val="ru-RU"/>
              </w:rPr>
            </w:pPr>
            <w:r w:rsidRPr="00FD6B73">
              <w:rPr>
                <w:rFonts w:cs="Times New Roman"/>
                <w:b/>
                <w:i/>
                <w:u w:val="single"/>
                <w:lang w:val="ru-RU"/>
              </w:rPr>
              <w:lastRenderedPageBreak/>
              <w:t>Посебни циљ 4:</w:t>
            </w:r>
            <w:r w:rsidR="003A5FEA">
              <w:rPr>
                <w:rFonts w:cs="Times New Roman"/>
                <w:b/>
                <w:i/>
                <w:u w:val="single"/>
                <w:lang w:val="sr-Cyrl-RS"/>
              </w:rPr>
              <w:t xml:space="preserve"> </w:t>
            </w:r>
            <w:r w:rsidRPr="00FD6B73">
              <w:rPr>
                <w:rFonts w:cs="Times New Roman"/>
                <w:bCs/>
                <w:iCs/>
                <w:lang w:val="ru-RU"/>
              </w:rPr>
              <w:t>Унапређење сарадње са</w:t>
            </w:r>
            <w:r w:rsidR="005E2CE0">
              <w:rPr>
                <w:rFonts w:cs="Times New Roman"/>
                <w:bCs/>
                <w:iCs/>
                <w:lang w:val="ru-RU"/>
              </w:rPr>
              <w:t xml:space="preserve"> </w:t>
            </w:r>
            <w:r w:rsidR="00473A86" w:rsidRPr="00FD6B73">
              <w:rPr>
                <w:rFonts w:cs="Times New Roman"/>
                <w:lang w:val="ru-RU"/>
              </w:rPr>
              <w:t>МРМКС</w:t>
            </w:r>
            <w:r w:rsidRPr="00FD6B73">
              <w:rPr>
                <w:rFonts w:cs="Times New Roman"/>
                <w:lang w:val="ru-RU"/>
              </w:rPr>
              <w:t>.</w:t>
            </w:r>
          </w:p>
          <w:p w14:paraId="27ECCBF2" w14:textId="10DB60E8" w:rsidR="003A5FEA" w:rsidRPr="00DC5A2B" w:rsidRDefault="00F42ABF" w:rsidP="00FD6B73">
            <w:pPr>
              <w:spacing w:before="240"/>
              <w:rPr>
                <w:rFonts w:ascii="Arial" w:hAnsi="Arial" w:cs="Arial"/>
                <w:sz w:val="20"/>
                <w:szCs w:val="20"/>
                <w:lang w:val="ru-RU"/>
              </w:rPr>
            </w:pPr>
            <w:r w:rsidRPr="00FD6B73">
              <w:rPr>
                <w:rFonts w:cs="Times New Roman"/>
                <w:b/>
                <w:bCs/>
                <w:i/>
                <w:u w:val="single"/>
                <w:lang w:val="ru-RU"/>
              </w:rPr>
              <w:t>Показатељ исхода на нивоу посебног циља 4:</w:t>
            </w:r>
            <w:r w:rsidR="003A5FEA">
              <w:rPr>
                <w:rFonts w:cs="Times New Roman"/>
                <w:b/>
                <w:bCs/>
                <w:i/>
                <w:u w:val="single"/>
                <w:lang w:val="sr-Cyrl-RS"/>
              </w:rPr>
              <w:t xml:space="preserve"> </w:t>
            </w:r>
            <w:r w:rsidR="003A5FEA" w:rsidRPr="00DD2D40">
              <w:rPr>
                <w:rFonts w:eastAsia="Arial"/>
                <w:bCs/>
                <w:color w:val="00000A"/>
                <w:lang w:val="ru-RU"/>
              </w:rPr>
              <w:t xml:space="preserve">Сарадња са </w:t>
            </w:r>
            <w:r w:rsidR="00473A86" w:rsidRPr="00FD6B73">
              <w:rPr>
                <w:rFonts w:cs="Times New Roman"/>
                <w:lang w:val="ru-RU"/>
              </w:rPr>
              <w:t>МРМКС</w:t>
            </w:r>
            <w:r w:rsidR="003A5FEA" w:rsidRPr="00DD2D40">
              <w:rPr>
                <w:rFonts w:eastAsia="Arial"/>
                <w:bCs/>
                <w:color w:val="00000A"/>
                <w:lang w:val="ru-RU"/>
              </w:rPr>
              <w:t xml:space="preserve"> резултира олакшаним доказивањем у поступцима за ратне злочине и унапређеним знањима и вештинама поступајућих судија и тужилаца у Републици Србији.</w:t>
            </w:r>
          </w:p>
          <w:p w14:paraId="5257617F" w14:textId="72FEBBB5" w:rsidR="00BF2EE2" w:rsidRPr="00FD6B73" w:rsidRDefault="00F42ABF" w:rsidP="0037652A">
            <w:pPr>
              <w:spacing w:before="240"/>
              <w:rPr>
                <w:rFonts w:cs="Times New Roman"/>
                <w:iCs/>
                <w:lang w:val="sr-Cyrl-RS"/>
              </w:rPr>
            </w:pPr>
            <w:r w:rsidRPr="00FD6B73">
              <w:rPr>
                <w:rFonts w:cs="Times New Roman"/>
                <w:iCs/>
                <w:u w:val="single"/>
                <w:lang w:val="ru-RU"/>
              </w:rPr>
              <w:t>Базна вредност 2021. године:</w:t>
            </w:r>
            <w:r w:rsidR="005E2CE0">
              <w:rPr>
                <w:rFonts w:cs="Times New Roman"/>
                <w:iCs/>
                <w:u w:val="single"/>
                <w:lang w:val="ru-RU"/>
              </w:rPr>
              <w:t xml:space="preserve"> </w:t>
            </w:r>
            <w:r w:rsidR="003A5FEA">
              <w:rPr>
                <w:rFonts w:cs="Times New Roman"/>
                <w:lang w:val="sr-Cyrl-RS"/>
              </w:rPr>
              <w:t>ДА</w:t>
            </w:r>
          </w:p>
          <w:p w14:paraId="7D441588" w14:textId="3174001F" w:rsidR="00BF2EE2" w:rsidRPr="00FD6B73" w:rsidRDefault="00F42ABF" w:rsidP="0037652A">
            <w:pPr>
              <w:spacing w:before="240"/>
              <w:rPr>
                <w:rFonts w:cs="Times New Roman"/>
                <w:iCs/>
                <w:lang w:val="sr-Cyrl-RS"/>
              </w:rPr>
            </w:pPr>
            <w:r w:rsidRPr="00FD6B73">
              <w:rPr>
                <w:rFonts w:cs="Times New Roman"/>
                <w:iCs/>
                <w:u w:val="single"/>
                <w:lang w:val="sr-Cyrl-RS"/>
              </w:rPr>
              <w:t>Циљана вредност у 202</w:t>
            </w:r>
            <w:r w:rsidR="00BF2EE2" w:rsidRPr="00FD6B73">
              <w:rPr>
                <w:rFonts w:cs="Times New Roman"/>
                <w:iCs/>
                <w:u w:val="single"/>
                <w:lang w:val="sr-Cyrl-RS"/>
              </w:rPr>
              <w:t>6</w:t>
            </w:r>
            <w:r w:rsidRPr="00FD6B73">
              <w:rPr>
                <w:rFonts w:cs="Times New Roman"/>
                <w:iCs/>
                <w:u w:val="single"/>
                <w:lang w:val="sr-Cyrl-RS"/>
              </w:rPr>
              <w:t>. години:</w:t>
            </w:r>
            <w:r w:rsidR="005E2CE0">
              <w:rPr>
                <w:rFonts w:cs="Times New Roman"/>
                <w:iCs/>
                <w:u w:val="single"/>
                <w:lang w:val="sr-Cyrl-RS"/>
              </w:rPr>
              <w:t xml:space="preserve"> </w:t>
            </w:r>
            <w:r w:rsidR="003A5FEA">
              <w:rPr>
                <w:rFonts w:cs="Times New Roman"/>
                <w:iCs/>
                <w:lang w:val="sr-Cyrl-RS"/>
              </w:rPr>
              <w:t>ДА</w:t>
            </w:r>
          </w:p>
          <w:p w14:paraId="37FAFECA" w14:textId="4630F8CC" w:rsidR="00F42ABF" w:rsidRPr="00FD6B73" w:rsidRDefault="00F42ABF" w:rsidP="00473A86">
            <w:pPr>
              <w:spacing w:before="240" w:after="120"/>
              <w:rPr>
                <w:rFonts w:cs="Times New Roman"/>
                <w:iCs/>
                <w:lang w:val="sr-Cyrl-RS"/>
              </w:rPr>
            </w:pPr>
            <w:r w:rsidRPr="00FD6B73">
              <w:rPr>
                <w:rFonts w:cs="Times New Roman"/>
                <w:iCs/>
                <w:u w:val="single"/>
                <w:lang w:val="sr-Cyrl-RS"/>
              </w:rPr>
              <w:t>Извор провере</w:t>
            </w:r>
            <w:r w:rsidRPr="00FD6B73">
              <w:rPr>
                <w:rFonts w:cs="Times New Roman"/>
                <w:iCs/>
                <w:lang w:val="sr-Cyrl-RS"/>
              </w:rPr>
              <w:t>:</w:t>
            </w:r>
            <w:r w:rsidR="005E2CE0">
              <w:rPr>
                <w:rFonts w:cs="Times New Roman"/>
                <w:iCs/>
                <w:lang w:val="sr-Cyrl-RS"/>
              </w:rPr>
              <w:t xml:space="preserve"> </w:t>
            </w:r>
            <w:r w:rsidR="00473A86">
              <w:rPr>
                <w:rFonts w:cs="Times New Roman"/>
                <w:iCs/>
                <w:lang w:val="sr-Cyrl-RS"/>
              </w:rPr>
              <w:t>к</w:t>
            </w:r>
            <w:r w:rsidR="008252B1" w:rsidRPr="00FD6B73">
              <w:rPr>
                <w:rFonts w:cs="Times New Roman"/>
                <w:iCs/>
                <w:lang w:val="sr-Cyrl-RS"/>
              </w:rPr>
              <w:t>вартални и</w:t>
            </w:r>
            <w:r w:rsidR="003D3227" w:rsidRPr="00FD6B73">
              <w:rPr>
                <w:rFonts w:cs="Times New Roman"/>
                <w:iCs/>
                <w:lang w:val="sr-Cyrl-RS"/>
              </w:rPr>
              <w:t xml:space="preserve">звештаји о спровођењу Националне стратегије за процесуирање ратних злочина; </w:t>
            </w:r>
            <w:r w:rsidR="00473A86">
              <w:rPr>
                <w:rFonts w:cs="Times New Roman"/>
                <w:iCs/>
                <w:lang w:val="sr-Cyrl-RS"/>
              </w:rPr>
              <w:t>и</w:t>
            </w:r>
            <w:r w:rsidR="003D3227" w:rsidRPr="00FD6B73">
              <w:rPr>
                <w:rFonts w:cs="Times New Roman"/>
                <w:iCs/>
                <w:lang w:val="sr-Cyrl-RS"/>
              </w:rPr>
              <w:t xml:space="preserve">звештаји о спровођењу Тужилачке стратегије; </w:t>
            </w:r>
            <w:r w:rsidR="00473A86">
              <w:rPr>
                <w:rFonts w:cs="Times New Roman"/>
                <w:iCs/>
                <w:lang w:val="sr-Cyrl-RS"/>
              </w:rPr>
              <w:t>и</w:t>
            </w:r>
            <w:r w:rsidR="003D3227" w:rsidRPr="00FD6B73">
              <w:rPr>
                <w:rFonts w:cs="Times New Roman"/>
                <w:iCs/>
                <w:lang w:val="sr-Cyrl-RS"/>
              </w:rPr>
              <w:t>звештаји о спровођењу Акционог плана за Поглавље 23</w:t>
            </w:r>
            <w:r w:rsidR="004E1163" w:rsidRPr="00FD6B73">
              <w:rPr>
                <w:rFonts w:cs="Times New Roman"/>
                <w:iCs/>
                <w:lang w:val="sr-Cyrl-RS"/>
              </w:rPr>
              <w:t xml:space="preserve">; </w:t>
            </w:r>
            <w:r w:rsidR="00473A86">
              <w:rPr>
                <w:rFonts w:cs="Times New Roman"/>
                <w:iCs/>
                <w:lang w:val="sr-Cyrl-RS"/>
              </w:rPr>
              <w:t>и</w:t>
            </w:r>
            <w:r w:rsidR="004E1163" w:rsidRPr="00FD6B73">
              <w:rPr>
                <w:rFonts w:cs="Times New Roman"/>
                <w:iCs/>
                <w:lang w:val="sr-Cyrl-RS"/>
              </w:rPr>
              <w:t>звештаји о раду МРМКС.</w:t>
            </w:r>
          </w:p>
        </w:tc>
      </w:tr>
      <w:tr w:rsidR="00F42ABF" w:rsidRPr="00627105" w14:paraId="3D361546" w14:textId="77777777" w:rsidTr="00F42ABF">
        <w:trPr>
          <w:trHeight w:val="1811"/>
        </w:trPr>
        <w:tc>
          <w:tcPr>
            <w:tcW w:w="9350" w:type="dxa"/>
            <w:shd w:val="clear" w:color="auto" w:fill="DEEAF6" w:themeFill="accent1" w:themeFillTint="33"/>
          </w:tcPr>
          <w:p w14:paraId="2133ACF0" w14:textId="005725C3" w:rsidR="00F42ABF" w:rsidRPr="00FD6B73" w:rsidRDefault="00F42ABF" w:rsidP="0037652A">
            <w:pPr>
              <w:spacing w:before="240"/>
              <w:rPr>
                <w:rFonts w:cs="Times New Roman"/>
                <w:bCs/>
                <w:iCs/>
                <w:lang w:val="sr-Cyrl-RS"/>
              </w:rPr>
            </w:pPr>
            <w:r w:rsidRPr="00FD6B73">
              <w:rPr>
                <w:rFonts w:cs="Times New Roman"/>
                <w:b/>
                <w:i/>
                <w:u w:val="single"/>
                <w:lang w:val="sr-Cyrl-RS"/>
              </w:rPr>
              <w:t>Посебни циљ 5:</w:t>
            </w:r>
            <w:r w:rsidR="005E2CE0">
              <w:rPr>
                <w:rFonts w:cs="Times New Roman"/>
                <w:b/>
                <w:i/>
                <w:u w:val="single"/>
                <w:lang w:val="sr-Cyrl-RS"/>
              </w:rPr>
              <w:t xml:space="preserve"> </w:t>
            </w:r>
            <w:r w:rsidRPr="00FD6B73">
              <w:rPr>
                <w:rFonts w:cs="Times New Roman"/>
                <w:bCs/>
                <w:iCs/>
                <w:lang w:val="sr-Cyrl-RS"/>
              </w:rPr>
              <w:t>Унапређење регионалне и шире међународне сарадње и других механизама у служби транзиционе правде.</w:t>
            </w:r>
          </w:p>
          <w:p w14:paraId="567E2E4E" w14:textId="2A505021" w:rsidR="00F42ABF" w:rsidRPr="005A5B9D" w:rsidRDefault="00F42ABF" w:rsidP="0037652A">
            <w:pPr>
              <w:spacing w:before="240"/>
              <w:rPr>
                <w:rFonts w:cs="Times New Roman"/>
                <w:iCs/>
                <w:lang w:val="sr-Cyrl-RS"/>
              </w:rPr>
            </w:pPr>
            <w:r w:rsidRPr="00FD6B73">
              <w:rPr>
                <w:rFonts w:cs="Times New Roman"/>
                <w:b/>
                <w:bCs/>
                <w:i/>
                <w:u w:val="single"/>
                <w:lang w:val="sr-Cyrl-RS"/>
              </w:rPr>
              <w:t>Показатељ исхода на нивоу посебног циља 5:</w:t>
            </w:r>
            <w:r w:rsidR="005E2CE0">
              <w:rPr>
                <w:rFonts w:cs="Times New Roman"/>
                <w:b/>
                <w:bCs/>
                <w:i/>
                <w:u w:val="single"/>
                <w:lang w:val="sr-Cyrl-RS"/>
              </w:rPr>
              <w:t xml:space="preserve"> </w:t>
            </w:r>
            <w:r w:rsidR="003D7E09" w:rsidRPr="00FD6B73">
              <w:rPr>
                <w:rFonts w:cs="Times New Roman"/>
                <w:iCs/>
                <w:lang w:val="sr-Cyrl-RS"/>
              </w:rPr>
              <w:t xml:space="preserve">Протоколи, споразуми и меморандуми о сарадњи, редовно се ажурирају и допуњавају а правна помоћ и сарадња у процесуирању ратних злочина, откривању судбине несталих лица и процесној заштити и подршци оштећенима и сведоцима, које из њих произилазе значајно доприносе раду институција Републике Србије. </w:t>
            </w:r>
            <w:r w:rsidR="003D7E09" w:rsidRPr="005A5B9D">
              <w:rPr>
                <w:rFonts w:cs="Times New Roman"/>
                <w:iCs/>
                <w:lang w:val="sr-Cyrl-RS"/>
              </w:rPr>
              <w:t>Осим регионалне сарадње, ова питања, континуирано су предмет размене мишљења и искустава у стручним и научним круговима.</w:t>
            </w:r>
          </w:p>
          <w:p w14:paraId="41C34C3D" w14:textId="661ED4DC" w:rsidR="000004F3" w:rsidRPr="005A5B9D" w:rsidRDefault="00F42ABF" w:rsidP="0037652A">
            <w:pPr>
              <w:spacing w:before="240"/>
              <w:rPr>
                <w:rFonts w:cs="Times New Roman"/>
                <w:iCs/>
                <w:lang w:val="sr-Cyrl-RS"/>
              </w:rPr>
            </w:pPr>
            <w:r w:rsidRPr="005A5B9D">
              <w:rPr>
                <w:rFonts w:cs="Times New Roman"/>
                <w:iCs/>
                <w:u w:val="single"/>
                <w:lang w:val="sr-Cyrl-RS"/>
              </w:rPr>
              <w:t>Базна вредност 2021. године:</w:t>
            </w:r>
            <w:r w:rsidR="005E2CE0">
              <w:rPr>
                <w:rFonts w:cs="Times New Roman"/>
                <w:iCs/>
                <w:u w:val="single"/>
                <w:lang w:val="sr-Cyrl-RS"/>
              </w:rPr>
              <w:t xml:space="preserve"> </w:t>
            </w:r>
            <w:r w:rsidR="003A5FEA">
              <w:rPr>
                <w:rFonts w:cs="Times New Roman"/>
                <w:iCs/>
                <w:lang w:val="sr-Cyrl-RS"/>
              </w:rPr>
              <w:t>НЕ</w:t>
            </w:r>
            <w:r w:rsidR="007B215E" w:rsidRPr="005A5B9D">
              <w:rPr>
                <w:rFonts w:cs="Times New Roman"/>
                <w:iCs/>
                <w:lang w:val="sr-Cyrl-RS"/>
              </w:rPr>
              <w:t xml:space="preserve"> </w:t>
            </w:r>
          </w:p>
          <w:p w14:paraId="7C509B32" w14:textId="47D8E01A" w:rsidR="000004F3" w:rsidRPr="00FD6B73" w:rsidRDefault="00F42ABF" w:rsidP="0037652A">
            <w:pPr>
              <w:spacing w:before="240"/>
              <w:rPr>
                <w:rFonts w:cs="Times New Roman"/>
                <w:iCs/>
                <w:lang w:val="sr-Cyrl-RS"/>
              </w:rPr>
            </w:pPr>
            <w:r w:rsidRPr="005A5B9D">
              <w:rPr>
                <w:rFonts w:cs="Times New Roman"/>
                <w:iCs/>
                <w:u w:val="single"/>
                <w:lang w:val="sr-Cyrl-RS"/>
              </w:rPr>
              <w:t>Циљана вредност у 202</w:t>
            </w:r>
            <w:r w:rsidR="006855D8" w:rsidRPr="005A5B9D">
              <w:rPr>
                <w:rFonts w:cs="Times New Roman"/>
                <w:iCs/>
                <w:u w:val="single"/>
                <w:lang w:val="sr-Cyrl-RS"/>
              </w:rPr>
              <w:t>6</w:t>
            </w:r>
            <w:r w:rsidRPr="005A5B9D">
              <w:rPr>
                <w:rFonts w:cs="Times New Roman"/>
                <w:iCs/>
                <w:u w:val="single"/>
                <w:lang w:val="sr-Cyrl-RS"/>
              </w:rPr>
              <w:t>. години:</w:t>
            </w:r>
            <w:r w:rsidR="005E2CE0">
              <w:rPr>
                <w:rFonts w:cs="Times New Roman"/>
                <w:iCs/>
                <w:u w:val="single"/>
                <w:lang w:val="sr-Cyrl-RS"/>
              </w:rPr>
              <w:t xml:space="preserve"> </w:t>
            </w:r>
            <w:r w:rsidR="003A5FEA">
              <w:rPr>
                <w:rFonts w:cs="Times New Roman"/>
                <w:iCs/>
                <w:lang w:val="sr-Cyrl-RS"/>
              </w:rPr>
              <w:t>ДА</w:t>
            </w:r>
          </w:p>
          <w:p w14:paraId="3B5EC19A" w14:textId="50C414AD" w:rsidR="00F42ABF" w:rsidRPr="005A5B9D" w:rsidRDefault="00F42ABF" w:rsidP="00473A86">
            <w:pPr>
              <w:spacing w:before="240" w:after="120"/>
              <w:rPr>
                <w:rFonts w:cs="Times New Roman"/>
                <w:iCs/>
                <w:lang w:val="sr-Cyrl-RS"/>
              </w:rPr>
            </w:pPr>
            <w:r w:rsidRPr="005A5B9D">
              <w:rPr>
                <w:rFonts w:cs="Times New Roman"/>
                <w:iCs/>
                <w:u w:val="single"/>
                <w:lang w:val="sr-Cyrl-RS"/>
              </w:rPr>
              <w:t>Извор провере</w:t>
            </w:r>
            <w:r w:rsidRPr="005A5B9D">
              <w:rPr>
                <w:rFonts w:cs="Times New Roman"/>
                <w:iCs/>
                <w:lang w:val="sr-Cyrl-RS"/>
              </w:rPr>
              <w:t>:</w:t>
            </w:r>
            <w:r w:rsidR="005E2CE0">
              <w:rPr>
                <w:rFonts w:cs="Times New Roman"/>
                <w:iCs/>
                <w:lang w:val="sr-Cyrl-RS"/>
              </w:rPr>
              <w:t xml:space="preserve"> </w:t>
            </w:r>
            <w:r w:rsidR="00473A86">
              <w:rPr>
                <w:rFonts w:cs="Times New Roman"/>
                <w:iCs/>
                <w:lang w:val="sr-Cyrl-RS"/>
              </w:rPr>
              <w:t>к</w:t>
            </w:r>
            <w:r w:rsidR="008252B1" w:rsidRPr="005A5B9D">
              <w:rPr>
                <w:rFonts w:cs="Times New Roman"/>
                <w:iCs/>
                <w:lang w:val="sr-Cyrl-RS"/>
              </w:rPr>
              <w:t>вартални и</w:t>
            </w:r>
            <w:r w:rsidR="00976F4B" w:rsidRPr="005A5B9D">
              <w:rPr>
                <w:rFonts w:cs="Times New Roman"/>
                <w:iCs/>
                <w:lang w:val="sr-Cyrl-RS"/>
              </w:rPr>
              <w:t xml:space="preserve">звештаји о спровођењу Националне стратегије за процесуирање ратних злочина; </w:t>
            </w:r>
            <w:r w:rsidR="00473A86">
              <w:rPr>
                <w:rFonts w:cs="Times New Roman"/>
                <w:iCs/>
                <w:lang w:val="sr-Cyrl-RS"/>
              </w:rPr>
              <w:t>и</w:t>
            </w:r>
            <w:r w:rsidR="00976F4B" w:rsidRPr="005A5B9D">
              <w:rPr>
                <w:rFonts w:cs="Times New Roman"/>
                <w:iCs/>
                <w:lang w:val="sr-Cyrl-RS"/>
              </w:rPr>
              <w:t xml:space="preserve">звештаји о спровођењу Тужилачке стратегије; </w:t>
            </w:r>
            <w:r w:rsidR="00473A86">
              <w:rPr>
                <w:rFonts w:cs="Times New Roman"/>
                <w:iCs/>
                <w:lang w:val="sr-Cyrl-RS"/>
              </w:rPr>
              <w:t>и</w:t>
            </w:r>
            <w:r w:rsidR="00976F4B" w:rsidRPr="005A5B9D">
              <w:rPr>
                <w:rFonts w:cs="Times New Roman"/>
                <w:iCs/>
                <w:lang w:val="sr-Cyrl-RS"/>
              </w:rPr>
              <w:t xml:space="preserve">звештаји о спровођењу Акционог плана за Поглавље 23; </w:t>
            </w:r>
            <w:r w:rsidR="00473A86">
              <w:rPr>
                <w:rFonts w:cs="Times New Roman"/>
                <w:iCs/>
                <w:lang w:val="sr-Cyrl-RS"/>
              </w:rPr>
              <w:t>и</w:t>
            </w:r>
            <w:r w:rsidR="00976F4B" w:rsidRPr="005A5B9D">
              <w:rPr>
                <w:rFonts w:cs="Times New Roman"/>
                <w:iCs/>
                <w:lang w:val="sr-Cyrl-RS"/>
              </w:rPr>
              <w:t xml:space="preserve">звештаји о спровођењу Националне стратегије за остваривање права жртава и сведока кривичних дела у Републици Србији за период од 2020-2025; </w:t>
            </w:r>
            <w:r w:rsidR="00473A86">
              <w:rPr>
                <w:rFonts w:cs="Times New Roman"/>
                <w:iCs/>
                <w:lang w:val="sr-Cyrl-RS"/>
              </w:rPr>
              <w:t>и</w:t>
            </w:r>
            <w:r w:rsidR="00976F4B" w:rsidRPr="005A5B9D">
              <w:rPr>
                <w:rFonts w:cs="Times New Roman"/>
                <w:iCs/>
                <w:lang w:val="sr-Cyrl-RS"/>
              </w:rPr>
              <w:t xml:space="preserve">звештаји Међународног комитета Црвеног крста; </w:t>
            </w:r>
            <w:r w:rsidR="00473A86">
              <w:rPr>
                <w:rFonts w:cs="Times New Roman"/>
                <w:iCs/>
                <w:lang w:val="sr-Cyrl-RS"/>
              </w:rPr>
              <w:t>и</w:t>
            </w:r>
            <w:r w:rsidR="00976F4B" w:rsidRPr="005A5B9D">
              <w:rPr>
                <w:rFonts w:cs="Times New Roman"/>
                <w:iCs/>
                <w:lang w:val="sr-Cyrl-RS"/>
              </w:rPr>
              <w:t xml:space="preserve">звештаји </w:t>
            </w:r>
            <w:r w:rsidR="000B73E4" w:rsidRPr="005A5B9D">
              <w:rPr>
                <w:rFonts w:cs="Times New Roman"/>
                <w:iCs/>
                <w:lang w:val="sr-Cyrl-RS"/>
              </w:rPr>
              <w:t>Међународне комисије</w:t>
            </w:r>
            <w:r w:rsidR="00473A86">
              <w:rPr>
                <w:rFonts w:cs="Times New Roman"/>
                <w:iCs/>
                <w:lang w:val="sr-Cyrl-RS"/>
              </w:rPr>
              <w:t xml:space="preserve"> за нестала лица; и</w:t>
            </w:r>
            <w:r w:rsidR="000B73E4" w:rsidRPr="005A5B9D">
              <w:rPr>
                <w:rFonts w:cs="Times New Roman"/>
                <w:iCs/>
                <w:lang w:val="sr-Cyrl-RS"/>
              </w:rPr>
              <w:t xml:space="preserve">звештаји МРМКС; </w:t>
            </w:r>
            <w:r w:rsidR="00473A86">
              <w:rPr>
                <w:rFonts w:cs="Times New Roman"/>
                <w:iCs/>
                <w:lang w:val="sr-Cyrl-RS"/>
              </w:rPr>
              <w:t>и</w:t>
            </w:r>
            <w:r w:rsidR="00976F4B" w:rsidRPr="005A5B9D">
              <w:rPr>
                <w:rFonts w:cs="Times New Roman"/>
                <w:iCs/>
                <w:lang w:val="sr-Cyrl-RS"/>
              </w:rPr>
              <w:t xml:space="preserve">звештаји о напретку Републике Србије у процесу ЕУ интеграција; </w:t>
            </w:r>
            <w:r w:rsidR="00473A86">
              <w:rPr>
                <w:rFonts w:cs="Times New Roman"/>
                <w:iCs/>
                <w:lang w:val="sr-Cyrl-RS"/>
              </w:rPr>
              <w:t>и</w:t>
            </w:r>
            <w:r w:rsidR="00976F4B" w:rsidRPr="005A5B9D">
              <w:rPr>
                <w:rFonts w:cs="Times New Roman"/>
                <w:iCs/>
                <w:lang w:val="sr-Cyrl-RS"/>
              </w:rPr>
              <w:t>звештаји уговорних тела и специјалних известилаца УН.</w:t>
            </w:r>
          </w:p>
        </w:tc>
      </w:tr>
    </w:tbl>
    <w:p w14:paraId="5EDB0096" w14:textId="77777777" w:rsidR="006074A4" w:rsidRPr="005A5B9D" w:rsidRDefault="006074A4" w:rsidP="006074A4">
      <w:pPr>
        <w:pStyle w:val="Heading1"/>
        <w:spacing w:line="240" w:lineRule="auto"/>
        <w:rPr>
          <w:rFonts w:cs="Times New Roman"/>
          <w:sz w:val="12"/>
          <w:szCs w:val="12"/>
          <w:lang w:val="sr-Cyrl-RS"/>
        </w:rPr>
      </w:pPr>
      <w:bookmarkStart w:id="64" w:name="_Toc72932078"/>
    </w:p>
    <w:p w14:paraId="12B25263" w14:textId="77777777" w:rsidR="007F714A" w:rsidRPr="00CD46D4" w:rsidRDefault="007F714A" w:rsidP="00AD4730">
      <w:pPr>
        <w:pStyle w:val="Heading1"/>
        <w:numPr>
          <w:ilvl w:val="0"/>
          <w:numId w:val="1"/>
        </w:numPr>
        <w:spacing w:line="240" w:lineRule="auto"/>
        <w:rPr>
          <w:rFonts w:cs="Times New Roman"/>
        </w:rPr>
      </w:pPr>
      <w:bookmarkStart w:id="65" w:name="_Toc84580785"/>
      <w:r w:rsidRPr="00CD46D4">
        <w:rPr>
          <w:rFonts w:cs="Times New Roman"/>
        </w:rPr>
        <w:t xml:space="preserve">МЕРЕ </w:t>
      </w:r>
      <w:r w:rsidR="008B4606" w:rsidRPr="00CD46D4">
        <w:rPr>
          <w:rFonts w:cs="Times New Roman"/>
        </w:rPr>
        <w:t>ЗА ОСТВАРИВАЊЕ ЦИЉЕВА СТРАТЕГИЈЕ</w:t>
      </w:r>
      <w:bookmarkEnd w:id="64"/>
      <w:bookmarkEnd w:id="65"/>
    </w:p>
    <w:p w14:paraId="5E0F55E9" w14:textId="77777777" w:rsidR="00D31F38" w:rsidRPr="00CD46D4" w:rsidRDefault="00D31F38" w:rsidP="00F10AC7">
      <w:pPr>
        <w:spacing w:line="240" w:lineRule="auto"/>
        <w:rPr>
          <w:rFonts w:cs="Times New Roman"/>
        </w:rPr>
      </w:pPr>
    </w:p>
    <w:p w14:paraId="0D5FC375" w14:textId="77777777" w:rsidR="00343FB5" w:rsidRPr="00FD6B73" w:rsidRDefault="007F714A" w:rsidP="00AD4730">
      <w:pPr>
        <w:pStyle w:val="Heading2"/>
        <w:numPr>
          <w:ilvl w:val="1"/>
          <w:numId w:val="1"/>
        </w:numPr>
        <w:spacing w:after="240" w:line="240" w:lineRule="auto"/>
        <w:rPr>
          <w:rFonts w:cs="Times New Roman"/>
          <w:lang w:val="ru-RU"/>
        </w:rPr>
      </w:pPr>
      <w:bookmarkStart w:id="66" w:name="_Toc72932079"/>
      <w:bookmarkStart w:id="67" w:name="_Toc84580786"/>
      <w:r w:rsidRPr="00FD6B73">
        <w:rPr>
          <w:rFonts w:cs="Times New Roman"/>
          <w:lang w:val="ru-RU"/>
        </w:rPr>
        <w:t>Посебни циљ 1:</w:t>
      </w:r>
      <w:r w:rsidR="0003220D" w:rsidRPr="00FD6B73">
        <w:rPr>
          <w:rFonts w:cs="Times New Roman"/>
          <w:lang w:val="ru-RU"/>
        </w:rPr>
        <w:t xml:space="preserve"> Унапређење ефикасности поступака за ратне злочине</w:t>
      </w:r>
      <w:bookmarkEnd w:id="66"/>
      <w:bookmarkEnd w:id="67"/>
    </w:p>
    <w:tbl>
      <w:tblPr>
        <w:tblStyle w:val="TableGrid"/>
        <w:tblW w:w="0" w:type="auto"/>
        <w:tblLook w:val="04A0" w:firstRow="1" w:lastRow="0" w:firstColumn="1" w:lastColumn="0" w:noHBand="0" w:noVBand="1"/>
      </w:tblPr>
      <w:tblGrid>
        <w:gridCol w:w="9350"/>
      </w:tblGrid>
      <w:tr w:rsidR="00343FB5" w:rsidRPr="00627105" w14:paraId="2EC5A821" w14:textId="77777777" w:rsidTr="009207A7">
        <w:tc>
          <w:tcPr>
            <w:tcW w:w="9350" w:type="dxa"/>
            <w:shd w:val="clear" w:color="auto" w:fill="E7E6E6" w:themeFill="background2"/>
          </w:tcPr>
          <w:p w14:paraId="2DDA23FD" w14:textId="77777777" w:rsidR="006B16EB" w:rsidRPr="00FD6B73" w:rsidRDefault="00343FB5" w:rsidP="00E943E8">
            <w:pPr>
              <w:rPr>
                <w:rFonts w:cs="Times New Roman"/>
                <w:bCs/>
                <w:iCs/>
                <w:lang w:val="ru-RU"/>
              </w:rPr>
            </w:pPr>
            <w:r w:rsidRPr="00FD6B73">
              <w:rPr>
                <w:rFonts w:cs="Times New Roman"/>
                <w:b/>
                <w:bCs/>
                <w:szCs w:val="24"/>
                <w:lang w:val="ru-RU"/>
              </w:rPr>
              <w:t>Преглед мера за реализацију посебног циља 1</w:t>
            </w:r>
            <w:r w:rsidR="00410FB8" w:rsidRPr="00FD6B73">
              <w:rPr>
                <w:rFonts w:cs="Times New Roman"/>
                <w:b/>
                <w:bCs/>
                <w:szCs w:val="24"/>
                <w:lang w:val="ru-RU"/>
              </w:rPr>
              <w:t xml:space="preserve">: </w:t>
            </w:r>
          </w:p>
          <w:p w14:paraId="24A37B80" w14:textId="77777777" w:rsidR="00E943E8" w:rsidRPr="00FD6B73" w:rsidRDefault="00E943E8" w:rsidP="00E943E8">
            <w:pPr>
              <w:rPr>
                <w:rFonts w:cs="Times New Roman"/>
                <w:b/>
                <w:bCs/>
                <w:szCs w:val="24"/>
                <w:lang w:val="ru-RU"/>
              </w:rPr>
            </w:pPr>
          </w:p>
        </w:tc>
      </w:tr>
      <w:tr w:rsidR="006B16EB" w:rsidRPr="00627105" w14:paraId="4A772F4A" w14:textId="77777777" w:rsidTr="00852729">
        <w:trPr>
          <w:trHeight w:val="890"/>
        </w:trPr>
        <w:tc>
          <w:tcPr>
            <w:tcW w:w="9350" w:type="dxa"/>
          </w:tcPr>
          <w:p w14:paraId="6FCFD087" w14:textId="2F63B51B" w:rsidR="006B16EB" w:rsidRPr="00FD6B73" w:rsidRDefault="006B16EB" w:rsidP="00F10AC7">
            <w:pPr>
              <w:rPr>
                <w:rFonts w:cs="Times New Roman"/>
                <w:szCs w:val="24"/>
                <w:lang w:val="ru-RU"/>
              </w:rPr>
            </w:pPr>
            <w:r w:rsidRPr="00FD6B73">
              <w:rPr>
                <w:rFonts w:cs="Times New Roman"/>
                <w:b/>
                <w:szCs w:val="24"/>
                <w:lang w:val="ru-RU"/>
              </w:rPr>
              <w:lastRenderedPageBreak/>
              <w:t>Мера 1.1:</w:t>
            </w:r>
            <w:r w:rsidR="00473A86">
              <w:rPr>
                <w:rFonts w:cs="Times New Roman"/>
                <w:b/>
                <w:szCs w:val="24"/>
                <w:lang w:val="ru-RU"/>
              </w:rPr>
              <w:t xml:space="preserve"> </w:t>
            </w:r>
            <w:r w:rsidR="00E60485" w:rsidRPr="00FD6B73">
              <w:rPr>
                <w:rFonts w:cs="Times New Roman"/>
                <w:szCs w:val="24"/>
                <w:lang w:val="ru-RU"/>
              </w:rPr>
              <w:t>Унапређење ефикасности рада</w:t>
            </w:r>
            <w:r w:rsidR="00E943E8" w:rsidRPr="00FD6B73">
              <w:rPr>
                <w:rFonts w:cs="Times New Roman"/>
                <w:szCs w:val="24"/>
                <w:lang w:val="ru-RU"/>
              </w:rPr>
              <w:t xml:space="preserve"> </w:t>
            </w:r>
            <w:r w:rsidR="00473A86">
              <w:rPr>
                <w:rFonts w:cs="Times New Roman"/>
                <w:szCs w:val="24"/>
                <w:lang w:val="ru-RU"/>
              </w:rPr>
              <w:t>ТРЗ</w:t>
            </w:r>
            <w:r w:rsidR="00E60485" w:rsidRPr="00FD6B73">
              <w:rPr>
                <w:rFonts w:cs="Times New Roman"/>
                <w:szCs w:val="24"/>
                <w:lang w:val="ru-RU"/>
              </w:rPr>
              <w:t xml:space="preserve"> у оквиру постојећих капацитета, укључујући </w:t>
            </w:r>
            <w:r w:rsidR="00E60485" w:rsidRPr="00FD6B73">
              <w:rPr>
                <w:rFonts w:cs="Times New Roman"/>
                <w:bCs/>
                <w:szCs w:val="24"/>
                <w:lang w:val="ru-RU"/>
              </w:rPr>
              <w:t>афирмисање примене института споразума о признању кривичног дела</w:t>
            </w:r>
            <w:r w:rsidR="00E943E8" w:rsidRPr="00FD6B73">
              <w:rPr>
                <w:rFonts w:cs="Times New Roman"/>
                <w:bCs/>
                <w:szCs w:val="24"/>
                <w:lang w:val="ru-RU"/>
              </w:rPr>
              <w:t xml:space="preserve"> и споразума о сведочењу;</w:t>
            </w:r>
            <w:r w:rsidR="00E60485" w:rsidRPr="00FD6B73">
              <w:rPr>
                <w:rFonts w:cs="Times New Roman"/>
                <w:bCs/>
                <w:szCs w:val="24"/>
                <w:lang w:val="ru-RU"/>
              </w:rPr>
              <w:t xml:space="preserve"> унапређење поверљивости процеса истраге</w:t>
            </w:r>
            <w:r w:rsidR="008F0324" w:rsidRPr="00FD6B73">
              <w:rPr>
                <w:rFonts w:cs="Times New Roman"/>
                <w:bCs/>
                <w:szCs w:val="24"/>
                <w:lang w:val="ru-RU"/>
              </w:rPr>
              <w:t xml:space="preserve"> и</w:t>
            </w:r>
            <w:r w:rsidR="00E60485" w:rsidRPr="00FD6B73">
              <w:rPr>
                <w:rFonts w:cs="Times New Roman"/>
                <w:szCs w:val="24"/>
                <w:lang w:val="ru-RU"/>
              </w:rPr>
              <w:t xml:space="preserve"> покретања финансијских истрага, односно подношења захтев</w:t>
            </w:r>
            <w:r w:rsidR="008F0324" w:rsidRPr="00FD6B73">
              <w:rPr>
                <w:rFonts w:cs="Times New Roman"/>
                <w:szCs w:val="24"/>
                <w:lang w:val="ru-RU"/>
              </w:rPr>
              <w:t>а</w:t>
            </w:r>
            <w:r w:rsidR="00473A86">
              <w:rPr>
                <w:rFonts w:cs="Times New Roman"/>
                <w:szCs w:val="24"/>
                <w:lang w:val="ru-RU"/>
              </w:rPr>
              <w:t xml:space="preserve"> за привремено/</w:t>
            </w:r>
            <w:r w:rsidR="00E60485" w:rsidRPr="00FD6B73">
              <w:rPr>
                <w:rFonts w:cs="Times New Roman"/>
                <w:szCs w:val="24"/>
                <w:lang w:val="ru-RU"/>
              </w:rPr>
              <w:t>трајно одузимање имовинске користи стечене кривичним делом</w:t>
            </w:r>
            <w:r w:rsidR="00E943E8" w:rsidRPr="00FD6B73">
              <w:rPr>
                <w:rFonts w:cs="Times New Roman"/>
                <w:szCs w:val="24"/>
                <w:lang w:val="ru-RU"/>
              </w:rPr>
              <w:t>.</w:t>
            </w:r>
          </w:p>
          <w:p w14:paraId="127FC362" w14:textId="77777777" w:rsidR="00604486" w:rsidRPr="00FD6B73" w:rsidRDefault="00604486" w:rsidP="00F10AC7">
            <w:pPr>
              <w:rPr>
                <w:rFonts w:cs="Times New Roman"/>
                <w:szCs w:val="24"/>
                <w:lang w:val="ru-RU"/>
              </w:rPr>
            </w:pPr>
          </w:p>
        </w:tc>
      </w:tr>
      <w:tr w:rsidR="006B16EB" w:rsidRPr="00627105" w14:paraId="04A25A53" w14:textId="77777777" w:rsidTr="00852729">
        <w:trPr>
          <w:trHeight w:val="710"/>
        </w:trPr>
        <w:tc>
          <w:tcPr>
            <w:tcW w:w="9350" w:type="dxa"/>
          </w:tcPr>
          <w:p w14:paraId="595DF58F" w14:textId="74079611" w:rsidR="00604486" w:rsidRPr="00FD6B73" w:rsidRDefault="006B16EB" w:rsidP="00473A86">
            <w:pPr>
              <w:spacing w:before="240" w:after="120"/>
              <w:rPr>
                <w:rFonts w:cs="Times New Roman"/>
                <w:lang w:val="ru-RU"/>
              </w:rPr>
            </w:pPr>
            <w:r w:rsidRPr="00FD6B73">
              <w:rPr>
                <w:rFonts w:cs="Times New Roman"/>
                <w:b/>
                <w:szCs w:val="24"/>
                <w:lang w:val="ru-RU"/>
              </w:rPr>
              <w:t>Мера 1.2</w:t>
            </w:r>
            <w:r w:rsidR="00604486" w:rsidRPr="00FD6B73">
              <w:rPr>
                <w:rFonts w:cs="Times New Roman"/>
                <w:b/>
                <w:szCs w:val="24"/>
                <w:lang w:val="ru-RU"/>
              </w:rPr>
              <w:t>:</w:t>
            </w:r>
            <w:r w:rsidR="00E60485" w:rsidRPr="00FD6B73">
              <w:rPr>
                <w:rFonts w:cs="Times New Roman"/>
                <w:lang w:val="ru-RU"/>
              </w:rPr>
              <w:t xml:space="preserve"> Унапређење институционалних и административних капацитета</w:t>
            </w:r>
            <w:r w:rsidR="00E943E8" w:rsidRPr="00FD6B73">
              <w:rPr>
                <w:rFonts w:cs="Times New Roman"/>
                <w:lang w:val="ru-RU"/>
              </w:rPr>
              <w:t xml:space="preserve"> </w:t>
            </w:r>
            <w:r w:rsidR="00473A86">
              <w:rPr>
                <w:rFonts w:cs="Times New Roman"/>
                <w:lang w:val="ru-RU"/>
              </w:rPr>
              <w:t xml:space="preserve">ТРЗ </w:t>
            </w:r>
            <w:r w:rsidR="00E60485" w:rsidRPr="00FD6B73">
              <w:rPr>
                <w:rFonts w:cs="Times New Roman"/>
                <w:lang w:val="ru-RU"/>
              </w:rPr>
              <w:t>у складу са ревидираним Акционим планом за Поглавље 23</w:t>
            </w:r>
            <w:r w:rsidR="00E943E8" w:rsidRPr="00FD6B73">
              <w:rPr>
                <w:rFonts w:cs="Times New Roman"/>
                <w:lang w:val="ru-RU"/>
              </w:rPr>
              <w:t>.</w:t>
            </w:r>
          </w:p>
        </w:tc>
      </w:tr>
      <w:tr w:rsidR="00E943E8" w:rsidRPr="00627105" w14:paraId="560F9FE4" w14:textId="77777777" w:rsidTr="00852729">
        <w:trPr>
          <w:trHeight w:val="710"/>
        </w:trPr>
        <w:tc>
          <w:tcPr>
            <w:tcW w:w="9350" w:type="dxa"/>
          </w:tcPr>
          <w:p w14:paraId="636FE0CA" w14:textId="269483DA" w:rsidR="00E943E8" w:rsidRPr="00FD6B73" w:rsidRDefault="00E943E8" w:rsidP="00473A86">
            <w:pPr>
              <w:spacing w:before="240" w:after="120"/>
              <w:rPr>
                <w:rFonts w:cs="Times New Roman"/>
                <w:lang w:val="ru-RU"/>
              </w:rPr>
            </w:pPr>
            <w:r w:rsidRPr="00FD6B73">
              <w:rPr>
                <w:rFonts w:cs="Times New Roman"/>
                <w:b/>
                <w:szCs w:val="24"/>
                <w:lang w:val="ru-RU"/>
              </w:rPr>
              <w:t>Мера 1.3:</w:t>
            </w:r>
            <w:r w:rsidR="005E2CE0">
              <w:rPr>
                <w:rFonts w:cs="Times New Roman"/>
                <w:b/>
                <w:szCs w:val="24"/>
                <w:lang w:val="ru-RU"/>
              </w:rPr>
              <w:t xml:space="preserve"> </w:t>
            </w:r>
            <w:r w:rsidRPr="00FD6B73">
              <w:rPr>
                <w:rFonts w:cs="Times New Roman"/>
                <w:bCs/>
                <w:szCs w:val="24"/>
                <w:lang w:val="ru-RU"/>
              </w:rPr>
              <w:t xml:space="preserve">Унапређење инфраструктурних капацитета </w:t>
            </w:r>
            <w:r w:rsidR="00473A86">
              <w:rPr>
                <w:rFonts w:cs="Times New Roman"/>
                <w:bCs/>
                <w:szCs w:val="24"/>
                <w:lang w:val="ru-RU"/>
              </w:rPr>
              <w:t>ТРЗ</w:t>
            </w:r>
            <w:r w:rsidRPr="00FD6B73">
              <w:rPr>
                <w:rFonts w:cs="Times New Roman"/>
                <w:bCs/>
                <w:szCs w:val="24"/>
                <w:lang w:val="ru-RU"/>
              </w:rPr>
              <w:t xml:space="preserve">, укључујући </w:t>
            </w:r>
            <w:r w:rsidR="003048CA" w:rsidRPr="00FD6B73">
              <w:rPr>
                <w:rFonts w:cs="Times New Roman"/>
                <w:bCs/>
                <w:szCs w:val="24"/>
                <w:lang w:val="ru-RU"/>
              </w:rPr>
              <w:t>редовну набавку И</w:t>
            </w:r>
            <w:r w:rsidR="00DE35C7" w:rsidRPr="00FD6B73">
              <w:rPr>
                <w:rFonts w:cs="Times New Roman"/>
                <w:bCs/>
                <w:szCs w:val="24"/>
                <w:lang w:val="ru-RU"/>
              </w:rPr>
              <w:t>К</w:t>
            </w:r>
            <w:r w:rsidR="003048CA" w:rsidRPr="00FD6B73">
              <w:rPr>
                <w:rFonts w:cs="Times New Roman"/>
                <w:bCs/>
                <w:szCs w:val="24"/>
                <w:lang w:val="ru-RU"/>
              </w:rPr>
              <w:t>Т опреме потребне за ефи</w:t>
            </w:r>
            <w:r w:rsidR="001F1F5E" w:rsidRPr="00FD6B73">
              <w:rPr>
                <w:rFonts w:cs="Times New Roman"/>
                <w:bCs/>
                <w:szCs w:val="24"/>
                <w:lang w:val="ru-RU"/>
              </w:rPr>
              <w:t>к</w:t>
            </w:r>
            <w:r w:rsidR="003048CA" w:rsidRPr="00FD6B73">
              <w:rPr>
                <w:rFonts w:cs="Times New Roman"/>
                <w:bCs/>
                <w:szCs w:val="24"/>
                <w:lang w:val="ru-RU"/>
              </w:rPr>
              <w:t xml:space="preserve">асно функционисање система управљања предметима (САПО) и </w:t>
            </w:r>
            <w:r w:rsidR="003048CA" w:rsidRPr="00FD6B73">
              <w:rPr>
                <w:rFonts w:cs="Times New Roman"/>
                <w:bCs/>
                <w:lang w:val="ru-RU"/>
              </w:rPr>
              <w:t xml:space="preserve">формирање базе података </w:t>
            </w:r>
            <w:r w:rsidR="00473A86">
              <w:rPr>
                <w:rFonts w:cs="Times New Roman"/>
                <w:bCs/>
                <w:lang w:val="ru-RU"/>
              </w:rPr>
              <w:t>ТРЗ</w:t>
            </w:r>
            <w:r w:rsidR="003048CA" w:rsidRPr="00FD6B73">
              <w:rPr>
                <w:rFonts w:cs="Times New Roman"/>
                <w:bCs/>
                <w:lang w:val="ru-RU"/>
              </w:rPr>
              <w:t xml:space="preserve"> (по угледу на </w:t>
            </w:r>
            <w:r w:rsidR="003048CA" w:rsidRPr="00CD46D4">
              <w:rPr>
                <w:rFonts w:cs="Times New Roman"/>
                <w:bCs/>
              </w:rPr>
              <w:t>ZyLab</w:t>
            </w:r>
            <w:r w:rsidR="003048CA" w:rsidRPr="00FD6B73">
              <w:rPr>
                <w:rFonts w:cs="Times New Roman"/>
                <w:bCs/>
                <w:lang w:val="ru-RU"/>
              </w:rPr>
              <w:t xml:space="preserve"> базу података).</w:t>
            </w:r>
          </w:p>
        </w:tc>
      </w:tr>
      <w:tr w:rsidR="006B16EB" w:rsidRPr="00627105" w14:paraId="315FDDF5" w14:textId="77777777" w:rsidTr="003048CA">
        <w:trPr>
          <w:trHeight w:val="1484"/>
        </w:trPr>
        <w:tc>
          <w:tcPr>
            <w:tcW w:w="9350" w:type="dxa"/>
          </w:tcPr>
          <w:p w14:paraId="3075C6FE" w14:textId="67D45B16" w:rsidR="003048CA" w:rsidRPr="00FD6B73" w:rsidRDefault="006B16EB" w:rsidP="00473A86">
            <w:pPr>
              <w:spacing w:before="240"/>
              <w:rPr>
                <w:rFonts w:cs="Times New Roman"/>
                <w:lang w:val="ru-RU"/>
              </w:rPr>
            </w:pPr>
            <w:r w:rsidRPr="00FD6B73">
              <w:rPr>
                <w:rFonts w:cs="Times New Roman"/>
                <w:b/>
                <w:szCs w:val="24"/>
                <w:lang w:val="ru-RU"/>
              </w:rPr>
              <w:t>Мера 1.</w:t>
            </w:r>
            <w:r w:rsidR="001F1F5E" w:rsidRPr="00FD6B73">
              <w:rPr>
                <w:rFonts w:cs="Times New Roman"/>
                <w:b/>
                <w:szCs w:val="24"/>
                <w:lang w:val="ru-RU"/>
              </w:rPr>
              <w:t>4</w:t>
            </w:r>
            <w:r w:rsidR="00604486" w:rsidRPr="00FD6B73">
              <w:rPr>
                <w:rFonts w:cs="Times New Roman"/>
                <w:b/>
                <w:szCs w:val="24"/>
                <w:lang w:val="ru-RU"/>
              </w:rPr>
              <w:t>:</w:t>
            </w:r>
            <w:r w:rsidR="005E2CE0">
              <w:rPr>
                <w:rFonts w:cs="Times New Roman"/>
                <w:b/>
                <w:szCs w:val="24"/>
                <w:lang w:val="ru-RU"/>
              </w:rPr>
              <w:t xml:space="preserve"> </w:t>
            </w:r>
            <w:r w:rsidR="00E60485" w:rsidRPr="00FD6B73">
              <w:rPr>
                <w:rFonts w:cs="Times New Roman"/>
                <w:lang w:val="ru-RU"/>
              </w:rPr>
              <w:t>Оснаживање сарадње са Комисијом за нестала лица, Јединицом за заштиту</w:t>
            </w:r>
            <w:r w:rsidR="00473A86">
              <w:rPr>
                <w:rFonts w:cs="Times New Roman"/>
                <w:lang w:val="ru-RU"/>
              </w:rPr>
              <w:t xml:space="preserve"> сведока</w:t>
            </w:r>
            <w:r w:rsidR="00E60485" w:rsidRPr="00FD6B73">
              <w:rPr>
                <w:rFonts w:cs="Times New Roman"/>
                <w:lang w:val="ru-RU"/>
              </w:rPr>
              <w:t xml:space="preserve"> и </w:t>
            </w:r>
            <w:r w:rsidR="00473A86">
              <w:rPr>
                <w:rFonts w:cs="Times New Roman"/>
                <w:lang w:val="ru-RU"/>
              </w:rPr>
              <w:t>СОРЗ</w:t>
            </w:r>
            <w:r w:rsidR="001F1F5E" w:rsidRPr="00FD6B73">
              <w:rPr>
                <w:rFonts w:cs="Times New Roman"/>
                <w:lang w:val="ru-RU"/>
              </w:rPr>
              <w:t xml:space="preserve">, </w:t>
            </w:r>
            <w:r w:rsidR="00E60485" w:rsidRPr="00FD6B73">
              <w:rPr>
                <w:rFonts w:cs="Times New Roman"/>
                <w:lang w:val="ru-RU"/>
              </w:rPr>
              <w:t>као и са другим државним органима, ради што ефикаснијег процесуирања ратних злочина  кроз активности ближе одређене Тужилачком стратегијом</w:t>
            </w:r>
            <w:r w:rsidR="001F1F5E" w:rsidRPr="00FD6B73">
              <w:rPr>
                <w:rFonts w:cs="Times New Roman"/>
                <w:lang w:val="ru-RU"/>
              </w:rPr>
              <w:t>.</w:t>
            </w:r>
          </w:p>
        </w:tc>
      </w:tr>
      <w:tr w:rsidR="006B16EB" w:rsidRPr="00627105" w14:paraId="44B9E81D" w14:textId="77777777" w:rsidTr="00852729">
        <w:trPr>
          <w:trHeight w:val="593"/>
        </w:trPr>
        <w:tc>
          <w:tcPr>
            <w:tcW w:w="9350" w:type="dxa"/>
          </w:tcPr>
          <w:p w14:paraId="45D2D81F" w14:textId="6C8883AA" w:rsidR="00604486" w:rsidRPr="00FD6B73" w:rsidRDefault="00604486" w:rsidP="00473A86">
            <w:pPr>
              <w:spacing w:before="240" w:after="120"/>
              <w:rPr>
                <w:rFonts w:cs="Times New Roman"/>
                <w:lang w:val="ru-RU"/>
              </w:rPr>
            </w:pPr>
            <w:r w:rsidRPr="00FD6B73">
              <w:rPr>
                <w:rFonts w:cs="Times New Roman"/>
                <w:b/>
                <w:szCs w:val="24"/>
                <w:lang w:val="ru-RU"/>
              </w:rPr>
              <w:t xml:space="preserve">Мера </w:t>
            </w:r>
            <w:r w:rsidR="006B16EB" w:rsidRPr="00FD6B73">
              <w:rPr>
                <w:rFonts w:cs="Times New Roman"/>
                <w:b/>
                <w:szCs w:val="24"/>
                <w:lang w:val="ru-RU"/>
              </w:rPr>
              <w:t>1.</w:t>
            </w:r>
            <w:r w:rsidR="001F1F5E" w:rsidRPr="00FD6B73">
              <w:rPr>
                <w:rFonts w:cs="Times New Roman"/>
                <w:b/>
                <w:szCs w:val="24"/>
                <w:lang w:val="ru-RU"/>
              </w:rPr>
              <w:t>5</w:t>
            </w:r>
            <w:r w:rsidRPr="00FD6B73">
              <w:rPr>
                <w:rFonts w:cs="Times New Roman"/>
                <w:b/>
                <w:szCs w:val="24"/>
                <w:lang w:val="ru-RU"/>
              </w:rPr>
              <w:t>:</w:t>
            </w:r>
            <w:r w:rsidR="00E60485" w:rsidRPr="00FD6B73">
              <w:rPr>
                <w:rFonts w:cs="Times New Roman"/>
                <w:lang w:val="ru-RU"/>
              </w:rPr>
              <w:t xml:space="preserve"> Унапређење ефикасности </w:t>
            </w:r>
            <w:r w:rsidR="00473A86">
              <w:rPr>
                <w:rFonts w:cs="Times New Roman"/>
                <w:lang w:val="ru-RU"/>
              </w:rPr>
              <w:t>ТРЗ</w:t>
            </w:r>
            <w:r w:rsidR="00E60485" w:rsidRPr="00FD6B73">
              <w:rPr>
                <w:rFonts w:cs="Times New Roman"/>
                <w:lang w:val="ru-RU"/>
              </w:rPr>
              <w:t xml:space="preserve"> у поступцима пружања правне помоћи у разумном року између домаћих и страних државних органа који поступају у предметима ратних злочина</w:t>
            </w:r>
            <w:r w:rsidR="00DE35C7" w:rsidRPr="00FD6B73">
              <w:rPr>
                <w:rFonts w:cs="Times New Roman"/>
                <w:lang w:val="ru-RU"/>
              </w:rPr>
              <w:t>.</w:t>
            </w:r>
          </w:p>
        </w:tc>
      </w:tr>
      <w:tr w:rsidR="002B4EA5" w:rsidRPr="00627105" w14:paraId="4EA90828" w14:textId="77777777" w:rsidTr="00852729">
        <w:trPr>
          <w:trHeight w:val="593"/>
        </w:trPr>
        <w:tc>
          <w:tcPr>
            <w:tcW w:w="9350" w:type="dxa"/>
          </w:tcPr>
          <w:p w14:paraId="2B0A8BFC" w14:textId="7E811BDF" w:rsidR="002B4EA5" w:rsidRPr="00FD6B73" w:rsidRDefault="002B4EA5" w:rsidP="00473A86">
            <w:pPr>
              <w:spacing w:before="240" w:after="120"/>
              <w:rPr>
                <w:rFonts w:cs="Times New Roman"/>
                <w:b/>
                <w:szCs w:val="24"/>
                <w:lang w:val="ru-RU"/>
              </w:rPr>
            </w:pPr>
            <w:r w:rsidRPr="00FD6B73">
              <w:rPr>
                <w:rFonts w:cs="Times New Roman"/>
                <w:b/>
                <w:szCs w:val="24"/>
                <w:lang w:val="ru-RU"/>
              </w:rPr>
              <w:t>Мера 1.</w:t>
            </w:r>
            <w:r w:rsidR="00DE35C7" w:rsidRPr="00FD6B73">
              <w:rPr>
                <w:rFonts w:cs="Times New Roman"/>
                <w:b/>
                <w:szCs w:val="24"/>
                <w:lang w:val="ru-RU"/>
              </w:rPr>
              <w:t>6</w:t>
            </w:r>
            <w:r w:rsidRPr="00FD6B73">
              <w:rPr>
                <w:rFonts w:cs="Times New Roman"/>
                <w:b/>
                <w:szCs w:val="24"/>
                <w:lang w:val="ru-RU"/>
              </w:rPr>
              <w:t xml:space="preserve">: </w:t>
            </w:r>
            <w:r w:rsidRPr="00FD6B73">
              <w:rPr>
                <w:rFonts w:cs="Times New Roman"/>
                <w:bCs/>
                <w:szCs w:val="24"/>
                <w:lang w:val="ru-RU"/>
              </w:rPr>
              <w:t xml:space="preserve">Унапређење капацитета </w:t>
            </w:r>
            <w:r w:rsidR="00473A86">
              <w:rPr>
                <w:rFonts w:cs="Times New Roman"/>
                <w:bCs/>
                <w:szCs w:val="24"/>
                <w:lang w:val="ru-RU"/>
              </w:rPr>
              <w:t>СОРЗ</w:t>
            </w:r>
            <w:r w:rsidRPr="00FD6B73">
              <w:rPr>
                <w:rFonts w:cs="Times New Roman"/>
                <w:bCs/>
                <w:szCs w:val="24"/>
                <w:lang w:val="ru-RU"/>
              </w:rPr>
              <w:t xml:space="preserve"> кроз </w:t>
            </w:r>
            <w:r w:rsidRPr="00FD6B73">
              <w:rPr>
                <w:rFonts w:cs="Times New Roman"/>
                <w:bCs/>
                <w:color w:val="000000"/>
                <w:lang w:val="ru-RU"/>
              </w:rPr>
              <w:t>даља улагања у службена возила и модернизацију рачунарске опреме.</w:t>
            </w:r>
          </w:p>
        </w:tc>
      </w:tr>
      <w:tr w:rsidR="006B16EB" w:rsidRPr="00627105" w14:paraId="0CC48ACA" w14:textId="77777777" w:rsidTr="00852729">
        <w:trPr>
          <w:trHeight w:val="917"/>
        </w:trPr>
        <w:tc>
          <w:tcPr>
            <w:tcW w:w="9350" w:type="dxa"/>
          </w:tcPr>
          <w:p w14:paraId="412A3F20" w14:textId="643B1DD5" w:rsidR="001F4974" w:rsidRPr="00FD6B73" w:rsidRDefault="00604486" w:rsidP="00AD4730">
            <w:pPr>
              <w:spacing w:before="240"/>
              <w:rPr>
                <w:rFonts w:cs="Times New Roman"/>
                <w:b/>
                <w:szCs w:val="24"/>
                <w:lang w:val="ru-RU"/>
              </w:rPr>
            </w:pPr>
            <w:r w:rsidRPr="00FD6B73">
              <w:rPr>
                <w:rFonts w:cs="Times New Roman"/>
                <w:b/>
                <w:szCs w:val="24"/>
                <w:lang w:val="ru-RU"/>
              </w:rPr>
              <w:t xml:space="preserve">Мера </w:t>
            </w:r>
            <w:r w:rsidR="006B16EB" w:rsidRPr="00FD6B73">
              <w:rPr>
                <w:rFonts w:cs="Times New Roman"/>
                <w:b/>
                <w:szCs w:val="24"/>
                <w:lang w:val="ru-RU"/>
              </w:rPr>
              <w:t>1.</w:t>
            </w:r>
            <w:r w:rsidR="00A76BAD" w:rsidRPr="00FD6B73">
              <w:rPr>
                <w:rFonts w:cs="Times New Roman"/>
                <w:b/>
                <w:szCs w:val="24"/>
                <w:lang w:val="ru-RU"/>
              </w:rPr>
              <w:t>7</w:t>
            </w:r>
            <w:r w:rsidRPr="00FD6B73">
              <w:rPr>
                <w:rFonts w:cs="Times New Roman"/>
                <w:b/>
                <w:szCs w:val="24"/>
                <w:lang w:val="ru-RU"/>
              </w:rPr>
              <w:t>:</w:t>
            </w:r>
            <w:r w:rsidR="00DE35C7" w:rsidRPr="00FD6B73">
              <w:rPr>
                <w:rFonts w:eastAsia="Times New Roman" w:cs="Times New Roman"/>
                <w:color w:val="000000"/>
                <w:szCs w:val="24"/>
                <w:lang w:val="ru-RU"/>
              </w:rPr>
              <w:t>У</w:t>
            </w:r>
            <w:r w:rsidR="004D2661" w:rsidRPr="00FD6B73">
              <w:rPr>
                <w:rFonts w:eastAsia="Times New Roman" w:cs="Times New Roman"/>
                <w:color w:val="000000"/>
                <w:szCs w:val="24"/>
                <w:lang w:val="ru-RU"/>
              </w:rPr>
              <w:t>напређење инфраструктурних капацитета</w:t>
            </w:r>
            <w:r w:rsidR="00DE35C7" w:rsidRPr="00FD6B73">
              <w:rPr>
                <w:rFonts w:eastAsia="Times New Roman" w:cs="Times New Roman"/>
                <w:color w:val="000000"/>
                <w:szCs w:val="24"/>
                <w:lang w:val="ru-RU"/>
              </w:rPr>
              <w:t xml:space="preserve"> Посебног одељења за ратне злочине Вишег суда у Београду</w:t>
            </w:r>
            <w:r w:rsidR="004D2661" w:rsidRPr="00FD6B73">
              <w:rPr>
                <w:rFonts w:eastAsia="Times New Roman" w:cs="Times New Roman"/>
                <w:color w:val="000000"/>
                <w:szCs w:val="24"/>
                <w:lang w:val="ru-RU"/>
              </w:rPr>
              <w:t>,</w:t>
            </w:r>
            <w:r w:rsidR="00DE35C7" w:rsidRPr="00FD6B73">
              <w:rPr>
                <w:rFonts w:eastAsia="Times New Roman" w:cs="Times New Roman"/>
                <w:color w:val="000000"/>
                <w:szCs w:val="24"/>
                <w:lang w:val="ru-RU"/>
              </w:rPr>
              <w:t xml:space="preserve"> кроз</w:t>
            </w:r>
            <w:r w:rsidR="004D2661" w:rsidRPr="00FD6B73">
              <w:rPr>
                <w:rFonts w:eastAsia="Times New Roman" w:cs="Times New Roman"/>
                <w:color w:val="000000"/>
                <w:szCs w:val="24"/>
                <w:lang w:val="ru-RU"/>
              </w:rPr>
              <w:t xml:space="preserve"> обезбеђење нове</w:t>
            </w:r>
            <w:r w:rsidR="00DE35C7" w:rsidRPr="00FD6B73">
              <w:rPr>
                <w:rFonts w:eastAsia="Times New Roman" w:cs="Times New Roman"/>
                <w:color w:val="000000"/>
                <w:szCs w:val="24"/>
                <w:lang w:val="ru-RU"/>
              </w:rPr>
              <w:t>,</w:t>
            </w:r>
            <w:r w:rsidR="004D2661" w:rsidRPr="00FD6B73">
              <w:rPr>
                <w:rFonts w:eastAsia="Times New Roman" w:cs="Times New Roman"/>
                <w:color w:val="000000"/>
                <w:szCs w:val="24"/>
                <w:lang w:val="ru-RU"/>
              </w:rPr>
              <w:t xml:space="preserve"> савремене опреме за рад</w:t>
            </w:r>
            <w:r w:rsidR="00DE35C7" w:rsidRPr="00FD6B73">
              <w:rPr>
                <w:rFonts w:eastAsia="Times New Roman" w:cs="Times New Roman"/>
                <w:color w:val="000000"/>
                <w:szCs w:val="24"/>
                <w:lang w:val="ru-RU"/>
              </w:rPr>
              <w:t xml:space="preserve">, првенствено у погледу успостављања несметане </w:t>
            </w:r>
            <w:r w:rsidR="00FC542D" w:rsidRPr="00FD6B73">
              <w:rPr>
                <w:rFonts w:eastAsia="Times New Roman" w:cs="Times New Roman"/>
                <w:color w:val="000000"/>
                <w:szCs w:val="24"/>
                <w:lang w:val="ru-RU"/>
              </w:rPr>
              <w:t>видеоконференцијске везе током претреса.</w:t>
            </w:r>
          </w:p>
        </w:tc>
      </w:tr>
      <w:tr w:rsidR="007F5A2D" w:rsidRPr="00627105" w14:paraId="14F39437" w14:textId="77777777" w:rsidTr="00852729">
        <w:trPr>
          <w:trHeight w:val="917"/>
        </w:trPr>
        <w:tc>
          <w:tcPr>
            <w:tcW w:w="9350" w:type="dxa"/>
          </w:tcPr>
          <w:p w14:paraId="73335FEA" w14:textId="4AF46093" w:rsidR="001F4974" w:rsidRPr="00FD6B73" w:rsidRDefault="007F5A2D" w:rsidP="00AD4730">
            <w:pPr>
              <w:spacing w:before="240"/>
              <w:rPr>
                <w:rFonts w:cs="Times New Roman"/>
                <w:szCs w:val="24"/>
                <w:lang w:val="ru-RU"/>
              </w:rPr>
            </w:pPr>
            <w:r w:rsidRPr="00FD6B73">
              <w:rPr>
                <w:rFonts w:cs="Times New Roman"/>
                <w:b/>
                <w:bCs/>
                <w:szCs w:val="24"/>
                <w:lang w:val="ru-RU"/>
              </w:rPr>
              <w:t>Мера 1.</w:t>
            </w:r>
            <w:r w:rsidR="00A76BAD" w:rsidRPr="00FD6B73">
              <w:rPr>
                <w:rFonts w:cs="Times New Roman"/>
                <w:b/>
                <w:bCs/>
                <w:szCs w:val="24"/>
                <w:lang w:val="ru-RU"/>
              </w:rPr>
              <w:t>8</w:t>
            </w:r>
            <w:r w:rsidRPr="00FD6B73">
              <w:rPr>
                <w:rFonts w:cs="Times New Roman"/>
                <w:b/>
                <w:bCs/>
                <w:szCs w:val="24"/>
                <w:lang w:val="ru-RU"/>
              </w:rPr>
              <w:t>:</w:t>
            </w:r>
            <w:r w:rsidR="00DE35C7" w:rsidRPr="00FD6B73">
              <w:rPr>
                <w:rFonts w:eastAsia="Times New Roman" w:cs="Times New Roman"/>
                <w:color w:val="000000"/>
                <w:szCs w:val="24"/>
                <w:lang w:val="ru-RU"/>
              </w:rPr>
              <w:t xml:space="preserve">Унапређење инфраструктурних капацитета Посебног одељења за ратне злочине Апелационог суда у Београду, кроз </w:t>
            </w:r>
            <w:r w:rsidRPr="00FD6B73">
              <w:rPr>
                <w:rFonts w:cs="Times New Roman"/>
                <w:szCs w:val="24"/>
                <w:lang w:val="ru-RU"/>
              </w:rPr>
              <w:t>модернизациј</w:t>
            </w:r>
            <w:r w:rsidR="00DE35C7" w:rsidRPr="00FD6B73">
              <w:rPr>
                <w:rFonts w:cs="Times New Roman"/>
                <w:szCs w:val="24"/>
                <w:lang w:val="ru-RU"/>
              </w:rPr>
              <w:t>у</w:t>
            </w:r>
            <w:r w:rsidRPr="00FD6B73">
              <w:rPr>
                <w:rFonts w:cs="Times New Roman"/>
                <w:szCs w:val="24"/>
                <w:lang w:val="ru-RU"/>
              </w:rPr>
              <w:t xml:space="preserve"> и набавк</w:t>
            </w:r>
            <w:r w:rsidR="00DE35C7" w:rsidRPr="00FD6B73">
              <w:rPr>
                <w:rFonts w:cs="Times New Roman"/>
                <w:szCs w:val="24"/>
                <w:lang w:val="ru-RU"/>
              </w:rPr>
              <w:t>у</w:t>
            </w:r>
            <w:r w:rsidRPr="00FD6B73">
              <w:rPr>
                <w:rFonts w:cs="Times New Roman"/>
                <w:szCs w:val="24"/>
                <w:lang w:val="ru-RU"/>
              </w:rPr>
              <w:t xml:space="preserve"> ИКТ опреме, односно обезбеђење техничких услова за успостављање виодеоконференцијске везе између поступајућег судије у предметима ратних злочина и оштећених</w:t>
            </w:r>
            <w:r w:rsidR="008F0324" w:rsidRPr="00FD6B73">
              <w:rPr>
                <w:rFonts w:cs="Times New Roman"/>
                <w:szCs w:val="24"/>
                <w:lang w:val="ru-RU"/>
              </w:rPr>
              <w:t>, као и</w:t>
            </w:r>
            <w:r w:rsidRPr="00FD6B73">
              <w:rPr>
                <w:rFonts w:cs="Times New Roman"/>
                <w:szCs w:val="24"/>
                <w:lang w:val="ru-RU"/>
              </w:rPr>
              <w:t xml:space="preserve"> могућност аудио снимања тока суђења и скидање транскрипата, услед чега би се избегле могуће грешке и нејасноће</w:t>
            </w:r>
            <w:r w:rsidR="008F0324" w:rsidRPr="00FD6B73">
              <w:rPr>
                <w:rFonts w:cs="Times New Roman"/>
                <w:szCs w:val="24"/>
                <w:lang w:val="ru-RU"/>
              </w:rPr>
              <w:t xml:space="preserve"> и ефикасније </w:t>
            </w:r>
            <w:r w:rsidRPr="00FD6B73">
              <w:rPr>
                <w:rFonts w:cs="Times New Roman"/>
                <w:szCs w:val="24"/>
                <w:lang w:val="ru-RU"/>
              </w:rPr>
              <w:t xml:space="preserve">водио поступак.  </w:t>
            </w:r>
          </w:p>
        </w:tc>
      </w:tr>
    </w:tbl>
    <w:p w14:paraId="5F89AD5D" w14:textId="77777777" w:rsidR="006074A4" w:rsidRPr="00FD6B73" w:rsidRDefault="006074A4" w:rsidP="006074A4">
      <w:pPr>
        <w:pStyle w:val="Heading2"/>
        <w:spacing w:line="240" w:lineRule="auto"/>
        <w:ind w:left="1080"/>
        <w:rPr>
          <w:rFonts w:cs="Times New Roman"/>
          <w:lang w:val="ru-RU"/>
        </w:rPr>
      </w:pPr>
      <w:bookmarkStart w:id="68" w:name="_Toc72932080"/>
    </w:p>
    <w:p w14:paraId="3FCCA925" w14:textId="292CED9B" w:rsidR="007F714A" w:rsidRPr="00FD6B73" w:rsidRDefault="007F714A" w:rsidP="00AD4730">
      <w:pPr>
        <w:pStyle w:val="Heading2"/>
        <w:numPr>
          <w:ilvl w:val="1"/>
          <w:numId w:val="1"/>
        </w:numPr>
        <w:spacing w:line="240" w:lineRule="auto"/>
        <w:rPr>
          <w:rFonts w:cs="Times New Roman"/>
          <w:lang w:val="ru-RU"/>
        </w:rPr>
      </w:pPr>
      <w:bookmarkStart w:id="69" w:name="_Toc84580787"/>
      <w:r w:rsidRPr="00FD6B73">
        <w:rPr>
          <w:rFonts w:cs="Times New Roman"/>
          <w:lang w:val="ru-RU"/>
        </w:rPr>
        <w:t>Посебни циљ 2:</w:t>
      </w:r>
      <w:r w:rsidR="0003220D" w:rsidRPr="00FD6B73">
        <w:rPr>
          <w:rFonts w:cs="Times New Roman"/>
          <w:bCs/>
          <w:iCs/>
          <w:lang w:val="ru-RU"/>
        </w:rPr>
        <w:t xml:space="preserve"> Унапређење заштите и подршке </w:t>
      </w:r>
      <w:r w:rsidR="00086443" w:rsidRPr="00FD6B73">
        <w:rPr>
          <w:rFonts w:cs="Times New Roman"/>
          <w:bCs/>
          <w:iCs/>
          <w:lang w:val="ru-RU"/>
        </w:rPr>
        <w:t>оштећенима</w:t>
      </w:r>
      <w:r w:rsidR="0003220D" w:rsidRPr="00FD6B73">
        <w:rPr>
          <w:rFonts w:cs="Times New Roman"/>
          <w:bCs/>
          <w:iCs/>
          <w:lang w:val="ru-RU"/>
        </w:rPr>
        <w:t xml:space="preserve"> и сведоцима у</w:t>
      </w:r>
      <w:r w:rsidR="005E2CE0">
        <w:rPr>
          <w:rFonts w:cs="Times New Roman"/>
          <w:bCs/>
          <w:iCs/>
          <w:lang w:val="ru-RU"/>
        </w:rPr>
        <w:t xml:space="preserve"> </w:t>
      </w:r>
      <w:r w:rsidR="0003220D" w:rsidRPr="00FD6B73">
        <w:rPr>
          <w:rFonts w:cs="Times New Roman"/>
          <w:bCs/>
          <w:iCs/>
          <w:lang w:val="ru-RU"/>
        </w:rPr>
        <w:t>поступцима за</w:t>
      </w:r>
      <w:r w:rsidR="005E2CE0">
        <w:rPr>
          <w:rFonts w:cs="Times New Roman"/>
          <w:bCs/>
          <w:iCs/>
          <w:lang w:val="ru-RU"/>
        </w:rPr>
        <w:t xml:space="preserve"> </w:t>
      </w:r>
      <w:r w:rsidR="0003220D" w:rsidRPr="00FD6B73">
        <w:rPr>
          <w:rFonts w:cs="Times New Roman"/>
          <w:bCs/>
          <w:iCs/>
          <w:lang w:val="ru-RU"/>
        </w:rPr>
        <w:t>ратне злочине</w:t>
      </w:r>
      <w:bookmarkEnd w:id="68"/>
      <w:bookmarkEnd w:id="69"/>
    </w:p>
    <w:p w14:paraId="2981BA8C" w14:textId="77777777" w:rsidR="00343FB5" w:rsidRPr="00FD6B73" w:rsidRDefault="00343FB5" w:rsidP="00F10AC7">
      <w:pPr>
        <w:spacing w:line="240" w:lineRule="auto"/>
        <w:rPr>
          <w:rFonts w:cs="Times New Roman"/>
          <w:b/>
          <w:i/>
          <w:u w:val="single"/>
          <w:lang w:val="ru-RU"/>
        </w:rPr>
      </w:pPr>
    </w:p>
    <w:tbl>
      <w:tblPr>
        <w:tblStyle w:val="TableGrid"/>
        <w:tblW w:w="0" w:type="auto"/>
        <w:tblLook w:val="04A0" w:firstRow="1" w:lastRow="0" w:firstColumn="1" w:lastColumn="0" w:noHBand="0" w:noVBand="1"/>
      </w:tblPr>
      <w:tblGrid>
        <w:gridCol w:w="9350"/>
      </w:tblGrid>
      <w:tr w:rsidR="00343FB5" w:rsidRPr="00627105" w14:paraId="707CA47F" w14:textId="77777777" w:rsidTr="009207A7">
        <w:tc>
          <w:tcPr>
            <w:tcW w:w="9350" w:type="dxa"/>
            <w:shd w:val="clear" w:color="auto" w:fill="E7E6E6" w:themeFill="background2"/>
          </w:tcPr>
          <w:p w14:paraId="70DE58FC" w14:textId="77777777" w:rsidR="00343FB5" w:rsidRPr="00FD6B73" w:rsidRDefault="00343FB5" w:rsidP="00F10AC7">
            <w:pPr>
              <w:rPr>
                <w:rFonts w:cs="Times New Roman"/>
                <w:b/>
                <w:iCs/>
                <w:lang w:val="ru-RU"/>
              </w:rPr>
            </w:pPr>
            <w:r w:rsidRPr="00FD6B73">
              <w:rPr>
                <w:rFonts w:cs="Times New Roman"/>
                <w:b/>
                <w:bCs/>
                <w:szCs w:val="24"/>
                <w:lang w:val="ru-RU"/>
              </w:rPr>
              <w:t>Преглед мера за реализацију посебног циља 2</w:t>
            </w:r>
            <w:r w:rsidR="00410FB8" w:rsidRPr="00FD6B73">
              <w:rPr>
                <w:rFonts w:cs="Times New Roman"/>
                <w:b/>
                <w:bCs/>
                <w:szCs w:val="24"/>
                <w:lang w:val="ru-RU"/>
              </w:rPr>
              <w:t xml:space="preserve">: </w:t>
            </w:r>
          </w:p>
          <w:p w14:paraId="1D08AA5E" w14:textId="77777777" w:rsidR="006B16EB" w:rsidRPr="00FD6B73" w:rsidRDefault="006B16EB" w:rsidP="00F10AC7">
            <w:pPr>
              <w:rPr>
                <w:rFonts w:cs="Times New Roman"/>
                <w:b/>
                <w:bCs/>
                <w:szCs w:val="24"/>
                <w:lang w:val="ru-RU"/>
              </w:rPr>
            </w:pPr>
          </w:p>
        </w:tc>
      </w:tr>
      <w:tr w:rsidR="006B16EB" w:rsidRPr="00627105" w14:paraId="6A64A159" w14:textId="77777777" w:rsidTr="00852729">
        <w:trPr>
          <w:trHeight w:val="638"/>
        </w:trPr>
        <w:tc>
          <w:tcPr>
            <w:tcW w:w="9350" w:type="dxa"/>
          </w:tcPr>
          <w:p w14:paraId="78BF9FDC" w14:textId="1FBD2F4F" w:rsidR="006B16EB" w:rsidRPr="00FD6B73" w:rsidRDefault="00604486" w:rsidP="00F53BC0">
            <w:pPr>
              <w:spacing w:before="240" w:after="120"/>
              <w:rPr>
                <w:rFonts w:cs="Times New Roman"/>
                <w:b/>
                <w:szCs w:val="24"/>
                <w:lang w:val="ru-RU"/>
              </w:rPr>
            </w:pPr>
            <w:r w:rsidRPr="00FD6B73">
              <w:rPr>
                <w:rFonts w:cs="Times New Roman"/>
                <w:b/>
                <w:szCs w:val="24"/>
                <w:lang w:val="ru-RU"/>
              </w:rPr>
              <w:lastRenderedPageBreak/>
              <w:t xml:space="preserve">Мера </w:t>
            </w:r>
            <w:r w:rsidR="006B16EB" w:rsidRPr="00FD6B73">
              <w:rPr>
                <w:rFonts w:cs="Times New Roman"/>
                <w:b/>
                <w:szCs w:val="24"/>
                <w:lang w:val="ru-RU"/>
              </w:rPr>
              <w:t>2.1</w:t>
            </w:r>
            <w:r w:rsidRPr="00FD6B73">
              <w:rPr>
                <w:rFonts w:cs="Times New Roman"/>
                <w:b/>
                <w:szCs w:val="24"/>
                <w:lang w:val="ru-RU"/>
              </w:rPr>
              <w:t>:</w:t>
            </w:r>
            <w:r w:rsidR="005E2CE0">
              <w:rPr>
                <w:rFonts w:cs="Times New Roman"/>
                <w:b/>
                <w:szCs w:val="24"/>
                <w:lang w:val="ru-RU"/>
              </w:rPr>
              <w:t xml:space="preserve"> </w:t>
            </w:r>
            <w:r w:rsidR="004D2661" w:rsidRPr="00FD6B73">
              <w:rPr>
                <w:rFonts w:cs="Times New Roman"/>
                <w:bCs/>
                <w:szCs w:val="24"/>
                <w:lang w:val="ru-RU"/>
              </w:rPr>
              <w:t xml:space="preserve">Унапређење нормативног оквира </w:t>
            </w:r>
            <w:r w:rsidR="005D1FF5" w:rsidRPr="00FD6B73">
              <w:rPr>
                <w:rFonts w:cs="Times New Roman"/>
                <w:bCs/>
                <w:szCs w:val="24"/>
                <w:lang w:val="ru-RU"/>
              </w:rPr>
              <w:t>којим се уређује</w:t>
            </w:r>
            <w:r w:rsidR="004D2661" w:rsidRPr="00FD6B73">
              <w:rPr>
                <w:rFonts w:cs="Times New Roman"/>
                <w:bCs/>
                <w:szCs w:val="24"/>
                <w:lang w:val="ru-RU"/>
              </w:rPr>
              <w:t xml:space="preserve"> спровођење </w:t>
            </w:r>
            <w:r w:rsidR="00F53BC0">
              <w:rPr>
                <w:rFonts w:cs="Times New Roman"/>
                <w:bCs/>
                <w:szCs w:val="24"/>
                <w:lang w:val="ru-RU"/>
              </w:rPr>
              <w:t>п</w:t>
            </w:r>
            <w:r w:rsidR="004D2661" w:rsidRPr="00FD6B73">
              <w:rPr>
                <w:rFonts w:cs="Times New Roman"/>
                <w:bCs/>
                <w:szCs w:val="24"/>
                <w:lang w:val="ru-RU"/>
              </w:rPr>
              <w:t>рограма</w:t>
            </w:r>
            <w:r w:rsidR="005E2CE0">
              <w:rPr>
                <w:rFonts w:cs="Times New Roman"/>
                <w:bCs/>
                <w:szCs w:val="24"/>
                <w:lang w:val="ru-RU"/>
              </w:rPr>
              <w:t xml:space="preserve"> </w:t>
            </w:r>
            <w:r w:rsidR="004D2661" w:rsidRPr="00FD6B73">
              <w:rPr>
                <w:rFonts w:cs="Times New Roman"/>
                <w:bCs/>
                <w:szCs w:val="24"/>
                <w:lang w:val="ru-RU"/>
              </w:rPr>
              <w:t>заштите</w:t>
            </w:r>
            <w:r w:rsidR="00F53BC0">
              <w:rPr>
                <w:rFonts w:cs="Times New Roman"/>
                <w:bCs/>
                <w:szCs w:val="24"/>
                <w:lang w:val="ru-RU"/>
              </w:rPr>
              <w:t xml:space="preserve"> учесника у кривичном поступку</w:t>
            </w:r>
            <w:r w:rsidR="008B4606" w:rsidRPr="00FD6B73">
              <w:rPr>
                <w:rFonts w:cs="Times New Roman"/>
                <w:bCs/>
                <w:szCs w:val="24"/>
                <w:lang w:val="ru-RU"/>
              </w:rPr>
              <w:t xml:space="preserve">, кроз измене и допуне </w:t>
            </w:r>
            <w:r w:rsidR="004D2661" w:rsidRPr="00FD6B73">
              <w:rPr>
                <w:rFonts w:cs="Times New Roman"/>
                <w:szCs w:val="24"/>
                <w:lang w:val="ru-RU"/>
              </w:rPr>
              <w:t>Закона о Програму заштите учесника у кривичном поступку</w:t>
            </w:r>
            <w:r w:rsidR="00A20FDD" w:rsidRPr="00FD6B73">
              <w:rPr>
                <w:rFonts w:cs="Times New Roman"/>
                <w:szCs w:val="24"/>
                <w:lang w:val="ru-RU"/>
              </w:rPr>
              <w:t xml:space="preserve"> и пратећих подзаконских аката, као и</w:t>
            </w:r>
            <w:r w:rsidR="005E2CE0">
              <w:rPr>
                <w:rFonts w:cs="Times New Roman"/>
                <w:szCs w:val="24"/>
                <w:lang w:val="ru-RU"/>
              </w:rPr>
              <w:t xml:space="preserve"> </w:t>
            </w:r>
            <w:r w:rsidR="00A20FDD" w:rsidRPr="00FD6B73">
              <w:rPr>
                <w:rFonts w:cs="Times New Roman"/>
                <w:szCs w:val="24"/>
                <w:lang w:val="ru-RU"/>
              </w:rPr>
              <w:t>доношење подзаконских аката којима се уређује начин спровођења програма заштите.</w:t>
            </w:r>
          </w:p>
        </w:tc>
      </w:tr>
      <w:tr w:rsidR="006B16EB" w:rsidRPr="00627105" w14:paraId="4B56AE7B" w14:textId="77777777" w:rsidTr="00852729">
        <w:trPr>
          <w:trHeight w:val="710"/>
        </w:trPr>
        <w:tc>
          <w:tcPr>
            <w:tcW w:w="9350" w:type="dxa"/>
          </w:tcPr>
          <w:p w14:paraId="318EB8DC" w14:textId="7DCEA25E" w:rsidR="006B16EB" w:rsidRPr="00FD6B73" w:rsidRDefault="00604486" w:rsidP="00952E71">
            <w:pPr>
              <w:spacing w:before="120" w:after="120"/>
              <w:rPr>
                <w:rFonts w:cs="Times New Roman"/>
                <w:bCs/>
                <w:szCs w:val="24"/>
                <w:lang w:val="ru-RU"/>
              </w:rPr>
            </w:pPr>
            <w:r w:rsidRPr="00FD6B73">
              <w:rPr>
                <w:rFonts w:cs="Times New Roman"/>
                <w:b/>
                <w:szCs w:val="24"/>
                <w:lang w:val="ru-RU"/>
              </w:rPr>
              <w:t xml:space="preserve">Мера </w:t>
            </w:r>
            <w:r w:rsidR="006B16EB" w:rsidRPr="00FD6B73">
              <w:rPr>
                <w:rFonts w:cs="Times New Roman"/>
                <w:b/>
                <w:szCs w:val="24"/>
                <w:lang w:val="ru-RU"/>
              </w:rPr>
              <w:t>2.2</w:t>
            </w:r>
            <w:r w:rsidRPr="00FD6B73">
              <w:rPr>
                <w:rFonts w:cs="Times New Roman"/>
                <w:b/>
                <w:szCs w:val="24"/>
                <w:lang w:val="ru-RU"/>
              </w:rPr>
              <w:t>:</w:t>
            </w:r>
            <w:r w:rsidR="005E2CE0">
              <w:rPr>
                <w:rFonts w:cs="Times New Roman"/>
                <w:b/>
                <w:szCs w:val="24"/>
                <w:lang w:val="ru-RU"/>
              </w:rPr>
              <w:t xml:space="preserve"> </w:t>
            </w:r>
            <w:r w:rsidR="004D2661" w:rsidRPr="00FD6B73">
              <w:rPr>
                <w:rFonts w:cs="Times New Roman"/>
                <w:bCs/>
                <w:szCs w:val="24"/>
                <w:lang w:val="ru-RU"/>
              </w:rPr>
              <w:t>Унапређење административних и материјално-те</w:t>
            </w:r>
            <w:r w:rsidR="00F53BC0">
              <w:rPr>
                <w:rFonts w:cs="Times New Roman"/>
                <w:bCs/>
                <w:szCs w:val="24"/>
                <w:lang w:val="ru-RU"/>
              </w:rPr>
              <w:t xml:space="preserve">хничких капацитета Јединице за </w:t>
            </w:r>
            <w:r w:rsidR="004D2661" w:rsidRPr="00FD6B73">
              <w:rPr>
                <w:rFonts w:cs="Times New Roman"/>
                <w:bCs/>
                <w:szCs w:val="24"/>
                <w:lang w:val="ru-RU"/>
              </w:rPr>
              <w:t xml:space="preserve"> заштиту</w:t>
            </w:r>
            <w:r w:rsidR="00F53BC0">
              <w:rPr>
                <w:rFonts w:cs="Times New Roman"/>
                <w:bCs/>
                <w:szCs w:val="24"/>
                <w:lang w:val="ru-RU"/>
              </w:rPr>
              <w:t xml:space="preserve"> сведока</w:t>
            </w:r>
            <w:r w:rsidR="004D2661" w:rsidRPr="00FD6B73">
              <w:rPr>
                <w:rFonts w:cs="Times New Roman"/>
                <w:bCs/>
                <w:szCs w:val="24"/>
                <w:lang w:val="ru-RU"/>
              </w:rPr>
              <w:t>.</w:t>
            </w:r>
          </w:p>
        </w:tc>
      </w:tr>
      <w:tr w:rsidR="004D2661" w:rsidRPr="00627105" w14:paraId="1305DD18" w14:textId="77777777" w:rsidTr="00852729">
        <w:trPr>
          <w:trHeight w:val="710"/>
        </w:trPr>
        <w:tc>
          <w:tcPr>
            <w:tcW w:w="9350" w:type="dxa"/>
          </w:tcPr>
          <w:p w14:paraId="5770875D" w14:textId="6363A34B" w:rsidR="004D2661" w:rsidRPr="00FD6B73" w:rsidRDefault="004D2661" w:rsidP="00F53BC0">
            <w:pPr>
              <w:spacing w:before="120"/>
              <w:rPr>
                <w:rFonts w:cs="Times New Roman"/>
                <w:bCs/>
                <w:szCs w:val="24"/>
                <w:lang w:val="ru-RU"/>
              </w:rPr>
            </w:pPr>
            <w:r w:rsidRPr="00FD6B73">
              <w:rPr>
                <w:rFonts w:cs="Times New Roman"/>
                <w:b/>
                <w:szCs w:val="24"/>
                <w:lang w:val="ru-RU"/>
              </w:rPr>
              <w:t>Мера 2.</w:t>
            </w:r>
            <w:r w:rsidR="001A0D59" w:rsidRPr="00FD6B73">
              <w:rPr>
                <w:rFonts w:cs="Times New Roman"/>
                <w:b/>
                <w:szCs w:val="24"/>
                <w:lang w:val="ru-RU"/>
              </w:rPr>
              <w:t>3</w:t>
            </w:r>
            <w:r w:rsidRPr="00FD6B73">
              <w:rPr>
                <w:rFonts w:cs="Times New Roman"/>
                <w:b/>
                <w:szCs w:val="24"/>
                <w:lang w:val="ru-RU"/>
              </w:rPr>
              <w:t xml:space="preserve">: </w:t>
            </w:r>
            <w:r w:rsidRPr="00FD6B73">
              <w:rPr>
                <w:rFonts w:cs="Times New Roman"/>
                <w:bCs/>
                <w:szCs w:val="24"/>
                <w:lang w:val="ru-RU"/>
              </w:rPr>
              <w:t xml:space="preserve">Унапређење сарадње надлежних органа у циљу спровођења </w:t>
            </w:r>
            <w:r w:rsidR="00F53BC0">
              <w:rPr>
                <w:rFonts w:cs="Times New Roman"/>
                <w:bCs/>
                <w:szCs w:val="24"/>
                <w:lang w:val="ru-RU"/>
              </w:rPr>
              <w:t>п</w:t>
            </w:r>
            <w:r w:rsidRPr="00FD6B73">
              <w:rPr>
                <w:rFonts w:cs="Times New Roman"/>
                <w:bCs/>
                <w:szCs w:val="24"/>
                <w:lang w:val="ru-RU"/>
              </w:rPr>
              <w:t>рограма заштите</w:t>
            </w:r>
            <w:r w:rsidR="00F53BC0">
              <w:rPr>
                <w:rFonts w:cs="Times New Roman"/>
                <w:bCs/>
                <w:szCs w:val="24"/>
                <w:lang w:val="ru-RU"/>
              </w:rPr>
              <w:t xml:space="preserve"> учесника у кривичном поступку</w:t>
            </w:r>
            <w:r w:rsidRPr="00FD6B73">
              <w:rPr>
                <w:rFonts w:cs="Times New Roman"/>
                <w:bCs/>
                <w:szCs w:val="24"/>
                <w:lang w:val="ru-RU"/>
              </w:rPr>
              <w:t>.</w:t>
            </w:r>
          </w:p>
        </w:tc>
      </w:tr>
      <w:tr w:rsidR="00E60485" w:rsidRPr="00627105" w14:paraId="03D75C26" w14:textId="77777777" w:rsidTr="00852729">
        <w:trPr>
          <w:trHeight w:val="710"/>
        </w:trPr>
        <w:tc>
          <w:tcPr>
            <w:tcW w:w="9350" w:type="dxa"/>
          </w:tcPr>
          <w:p w14:paraId="62FFA12E" w14:textId="77777777" w:rsidR="00E60485" w:rsidRPr="00FD6B73" w:rsidRDefault="00E60485" w:rsidP="00E63C92">
            <w:pPr>
              <w:spacing w:before="240" w:after="120"/>
              <w:rPr>
                <w:rFonts w:cs="Times New Roman"/>
                <w:lang w:val="ru-RU"/>
              </w:rPr>
            </w:pPr>
            <w:r w:rsidRPr="00FD6B73">
              <w:rPr>
                <w:rFonts w:cs="Times New Roman"/>
                <w:b/>
                <w:bCs/>
                <w:lang w:val="ru-RU"/>
              </w:rPr>
              <w:t>Мера 2.</w:t>
            </w:r>
            <w:r w:rsidR="001A0D59" w:rsidRPr="00FD6B73">
              <w:rPr>
                <w:rFonts w:cs="Times New Roman"/>
                <w:b/>
                <w:bCs/>
                <w:lang w:val="ru-RU"/>
              </w:rPr>
              <w:t>4</w:t>
            </w:r>
            <w:r w:rsidRPr="00FD6B73">
              <w:rPr>
                <w:rFonts w:cs="Times New Roman"/>
                <w:b/>
                <w:bCs/>
                <w:lang w:val="ru-RU"/>
              </w:rPr>
              <w:t>:</w:t>
            </w:r>
            <w:r w:rsidRPr="00FD6B73">
              <w:rPr>
                <w:rFonts w:cs="Times New Roman"/>
                <w:lang w:val="ru-RU"/>
              </w:rPr>
              <w:t xml:space="preserve"> Унапређење сарадње везано за процесну заштиту коју сведоци остварују у поступцима пред домаћим, регионалним и другим иностраним правосудним институцијама</w:t>
            </w:r>
            <w:r w:rsidR="00E63C92" w:rsidRPr="00FD6B73">
              <w:rPr>
                <w:rFonts w:cs="Times New Roman"/>
                <w:lang w:val="ru-RU"/>
              </w:rPr>
              <w:t>.</w:t>
            </w:r>
          </w:p>
        </w:tc>
      </w:tr>
      <w:tr w:rsidR="004D2661" w:rsidRPr="00627105" w14:paraId="51A25605" w14:textId="77777777" w:rsidTr="00852729">
        <w:trPr>
          <w:trHeight w:val="710"/>
        </w:trPr>
        <w:tc>
          <w:tcPr>
            <w:tcW w:w="9350" w:type="dxa"/>
          </w:tcPr>
          <w:p w14:paraId="77F6C9A2" w14:textId="6AACC6EB" w:rsidR="004D2661" w:rsidRPr="00FD6B73" w:rsidRDefault="002B4EA5" w:rsidP="00F53BC0">
            <w:pPr>
              <w:spacing w:before="240" w:after="120"/>
              <w:rPr>
                <w:rFonts w:cs="Times New Roman"/>
                <w:lang w:val="ru-RU"/>
              </w:rPr>
            </w:pPr>
            <w:r w:rsidRPr="00FD6B73">
              <w:rPr>
                <w:rFonts w:cs="Times New Roman"/>
                <w:b/>
                <w:bCs/>
                <w:lang w:val="ru-RU"/>
              </w:rPr>
              <w:t>Мера 2.</w:t>
            </w:r>
            <w:r w:rsidR="001A0D59" w:rsidRPr="00FD6B73">
              <w:rPr>
                <w:rFonts w:cs="Times New Roman"/>
                <w:b/>
                <w:bCs/>
                <w:lang w:val="ru-RU"/>
              </w:rPr>
              <w:t>5</w:t>
            </w:r>
            <w:r w:rsidRPr="00FD6B73">
              <w:rPr>
                <w:rFonts w:cs="Times New Roman"/>
                <w:lang w:val="ru-RU"/>
              </w:rPr>
              <w:t>: Доследна примена Националне стратегије за остваривање права жртава и сведока кривичних дела у Ре</w:t>
            </w:r>
            <w:r w:rsidR="007B016F" w:rsidRPr="00FD6B73">
              <w:rPr>
                <w:rFonts w:cs="Times New Roman"/>
                <w:lang w:val="ru-RU"/>
              </w:rPr>
              <w:t>публици Србији за период од 2020</w:t>
            </w:r>
            <w:r w:rsidRPr="00FD6B73">
              <w:rPr>
                <w:rFonts w:cs="Times New Roman"/>
                <w:lang w:val="ru-RU"/>
              </w:rPr>
              <w:t xml:space="preserve">-2025. године са пратећим Акционим планом за период 2020-2022. године у делу који се односи на унапређење рада служби за помоћ и подршку оштећенима и сведоцима при Вишем суду у Београду и </w:t>
            </w:r>
            <w:r w:rsidR="00F53BC0">
              <w:rPr>
                <w:rFonts w:cs="Times New Roman"/>
                <w:lang w:val="ru-RU"/>
              </w:rPr>
              <w:t>ТРЗ</w:t>
            </w:r>
            <w:r w:rsidRPr="00FD6B73">
              <w:rPr>
                <w:rFonts w:cs="Times New Roman"/>
                <w:lang w:val="ru-RU"/>
              </w:rPr>
              <w:t xml:space="preserve"> у контексту успостављања Националне мреже служби подршке.</w:t>
            </w:r>
          </w:p>
        </w:tc>
      </w:tr>
      <w:tr w:rsidR="009D36AC" w:rsidRPr="00627105" w14:paraId="0F6F9D54" w14:textId="77777777" w:rsidTr="00852729">
        <w:trPr>
          <w:trHeight w:val="710"/>
        </w:trPr>
        <w:tc>
          <w:tcPr>
            <w:tcW w:w="9350" w:type="dxa"/>
          </w:tcPr>
          <w:p w14:paraId="5BCAD58E" w14:textId="77777777" w:rsidR="009D36AC" w:rsidRPr="00FD6B73" w:rsidRDefault="009D36AC" w:rsidP="00F10AC7">
            <w:pPr>
              <w:spacing w:before="240" w:after="120"/>
              <w:rPr>
                <w:rFonts w:cs="Times New Roman"/>
                <w:lang w:val="ru-RU"/>
              </w:rPr>
            </w:pPr>
            <w:r w:rsidRPr="00FD6B73">
              <w:rPr>
                <w:rFonts w:cs="Times New Roman"/>
                <w:b/>
                <w:bCs/>
                <w:lang w:val="ru-RU"/>
              </w:rPr>
              <w:t>Мера 2.</w:t>
            </w:r>
            <w:r w:rsidR="001A0D59" w:rsidRPr="00FD6B73">
              <w:rPr>
                <w:rFonts w:cs="Times New Roman"/>
                <w:b/>
                <w:bCs/>
                <w:lang w:val="ru-RU"/>
              </w:rPr>
              <w:t>6</w:t>
            </w:r>
            <w:r w:rsidRPr="00FD6B73">
              <w:rPr>
                <w:rFonts w:cs="Times New Roman"/>
                <w:lang w:val="ru-RU"/>
              </w:rPr>
              <w:t>: Унапређење механизама за одлучивање о имовинскоправном захтеву у кривичном поступку кроз континуирану примену Смерница за унапређење судске праксе у поступцима за накнаду штете жртвама тешких кривичних дела у кривичном поступку, као и организациј</w:t>
            </w:r>
            <w:r w:rsidR="00B361B8" w:rsidRPr="00FD6B73">
              <w:rPr>
                <w:rFonts w:cs="Times New Roman"/>
                <w:lang w:val="ru-RU"/>
              </w:rPr>
              <w:t>у</w:t>
            </w:r>
            <w:r w:rsidRPr="00FD6B73">
              <w:rPr>
                <w:rFonts w:cs="Times New Roman"/>
                <w:lang w:val="ru-RU"/>
              </w:rPr>
              <w:t xml:space="preserve"> обука носилаца правосудних функција који поступају у предметима ратних злочина на ову тему. </w:t>
            </w:r>
          </w:p>
        </w:tc>
      </w:tr>
      <w:tr w:rsidR="009D36AC" w:rsidRPr="00627105" w14:paraId="5CBDEC34" w14:textId="77777777" w:rsidTr="00852729">
        <w:trPr>
          <w:trHeight w:val="710"/>
        </w:trPr>
        <w:tc>
          <w:tcPr>
            <w:tcW w:w="9350" w:type="dxa"/>
          </w:tcPr>
          <w:p w14:paraId="47F352D7" w14:textId="77777777" w:rsidR="009D36AC" w:rsidRPr="00FD6B73" w:rsidRDefault="009D36AC" w:rsidP="00F10AC7">
            <w:pPr>
              <w:spacing w:before="240" w:after="120"/>
              <w:rPr>
                <w:rFonts w:cs="Times New Roman"/>
                <w:lang w:val="ru-RU"/>
              </w:rPr>
            </w:pPr>
            <w:r w:rsidRPr="00FD6B73">
              <w:rPr>
                <w:rFonts w:cs="Times New Roman"/>
                <w:b/>
                <w:bCs/>
                <w:lang w:val="ru-RU"/>
              </w:rPr>
              <w:t>Мера 2.</w:t>
            </w:r>
            <w:r w:rsidR="001A0D59" w:rsidRPr="00FD6B73">
              <w:rPr>
                <w:rFonts w:cs="Times New Roman"/>
                <w:b/>
                <w:bCs/>
                <w:lang w:val="ru-RU"/>
              </w:rPr>
              <w:t>7</w:t>
            </w:r>
            <w:r w:rsidRPr="00FD6B73">
              <w:rPr>
                <w:rFonts w:cs="Times New Roman"/>
                <w:lang w:val="ru-RU"/>
              </w:rPr>
              <w:t xml:space="preserve">: Стандардизација и институционализација обука у области права жртава и сведока кривичних дела. </w:t>
            </w:r>
          </w:p>
        </w:tc>
      </w:tr>
      <w:tr w:rsidR="006B16EB" w:rsidRPr="00627105" w14:paraId="65DD937A" w14:textId="77777777" w:rsidTr="00852729">
        <w:trPr>
          <w:trHeight w:val="503"/>
        </w:trPr>
        <w:tc>
          <w:tcPr>
            <w:tcW w:w="9350" w:type="dxa"/>
          </w:tcPr>
          <w:p w14:paraId="7D1B6885" w14:textId="55FA2EAF" w:rsidR="006B16EB" w:rsidRPr="00FD6B73" w:rsidRDefault="00604486" w:rsidP="00F10AC7">
            <w:pPr>
              <w:shd w:val="clear" w:color="auto" w:fill="FFFFFF"/>
              <w:spacing w:before="240"/>
              <w:rPr>
                <w:rFonts w:eastAsia="Times New Roman" w:cs="Times New Roman"/>
                <w:color w:val="000000"/>
                <w:szCs w:val="24"/>
                <w:lang w:val="ru-RU"/>
              </w:rPr>
            </w:pPr>
            <w:bookmarkStart w:id="70" w:name="_Hlk72054700"/>
            <w:r w:rsidRPr="00FD6B73">
              <w:rPr>
                <w:rFonts w:cs="Times New Roman"/>
                <w:b/>
                <w:szCs w:val="24"/>
                <w:lang w:val="ru-RU"/>
              </w:rPr>
              <w:t xml:space="preserve">Мера </w:t>
            </w:r>
            <w:r w:rsidR="006B16EB" w:rsidRPr="00FD6B73">
              <w:rPr>
                <w:rFonts w:cs="Times New Roman"/>
                <w:b/>
                <w:szCs w:val="24"/>
                <w:lang w:val="ru-RU"/>
              </w:rPr>
              <w:t>2.</w:t>
            </w:r>
            <w:r w:rsidR="001A0D59" w:rsidRPr="00FD6B73">
              <w:rPr>
                <w:rFonts w:cs="Times New Roman"/>
                <w:b/>
                <w:szCs w:val="24"/>
                <w:lang w:val="ru-RU"/>
              </w:rPr>
              <w:t>8</w:t>
            </w:r>
            <w:r w:rsidRPr="00FD6B73">
              <w:rPr>
                <w:rFonts w:cs="Times New Roman"/>
                <w:b/>
                <w:szCs w:val="24"/>
                <w:lang w:val="ru-RU"/>
              </w:rPr>
              <w:t>:</w:t>
            </w:r>
            <w:r w:rsidR="005E2CE0">
              <w:rPr>
                <w:rFonts w:cs="Times New Roman"/>
                <w:b/>
                <w:szCs w:val="24"/>
                <w:lang w:val="ru-RU"/>
              </w:rPr>
              <w:t xml:space="preserve"> </w:t>
            </w:r>
            <w:r w:rsidR="00F10AC7" w:rsidRPr="00FD6B73">
              <w:rPr>
                <w:rFonts w:cs="Times New Roman"/>
                <w:lang w:val="ru-RU"/>
              </w:rPr>
              <w:t xml:space="preserve">Даље унапређење регионалне сарадње </w:t>
            </w:r>
            <w:r w:rsidR="00E233C4" w:rsidRPr="00FD6B73">
              <w:rPr>
                <w:rFonts w:cs="Times New Roman"/>
                <w:lang w:val="ru-RU"/>
              </w:rPr>
              <w:t>у области</w:t>
            </w:r>
            <w:r w:rsidR="00F10AC7" w:rsidRPr="00FD6B73">
              <w:rPr>
                <w:rFonts w:cs="Times New Roman"/>
                <w:lang w:val="ru-RU"/>
              </w:rPr>
              <w:t xml:space="preserve"> подршке</w:t>
            </w:r>
            <w:r w:rsidR="00E233C4" w:rsidRPr="00FD6B73">
              <w:rPr>
                <w:rFonts w:cs="Times New Roman"/>
                <w:lang w:val="ru-RU"/>
              </w:rPr>
              <w:t xml:space="preserve"> и помоћи</w:t>
            </w:r>
            <w:r w:rsidR="00F10AC7" w:rsidRPr="00FD6B73">
              <w:rPr>
                <w:rFonts w:cs="Times New Roman"/>
                <w:lang w:val="ru-RU"/>
              </w:rPr>
              <w:t xml:space="preserve"> жртвама и сведоцима, кроз </w:t>
            </w:r>
            <w:r w:rsidR="00E233C4" w:rsidRPr="00FD6B73">
              <w:rPr>
                <w:rFonts w:cs="Times New Roman"/>
                <w:lang w:val="ru-RU"/>
              </w:rPr>
              <w:t xml:space="preserve">закључивање и ажурирање одговарајућих споразума, меморандума или протокола о </w:t>
            </w:r>
            <w:r w:rsidR="00F10AC7" w:rsidRPr="00FD6B73">
              <w:rPr>
                <w:rFonts w:cs="Times New Roman"/>
                <w:lang w:val="ru-RU"/>
              </w:rPr>
              <w:t xml:space="preserve">сарадњи али и континуирану размену искустава, </w:t>
            </w:r>
            <w:r w:rsidR="00E233C4" w:rsidRPr="00FD6B73">
              <w:rPr>
                <w:rFonts w:cs="Times New Roman"/>
                <w:lang w:val="ru-RU"/>
              </w:rPr>
              <w:t>ради</w:t>
            </w:r>
            <w:r w:rsidR="00F10AC7" w:rsidRPr="00FD6B73">
              <w:rPr>
                <w:rFonts w:cs="Times New Roman"/>
                <w:lang w:val="ru-RU"/>
              </w:rPr>
              <w:t xml:space="preserve"> оснаживањ</w:t>
            </w:r>
            <w:r w:rsidR="00E233C4" w:rsidRPr="00FD6B73">
              <w:rPr>
                <w:rFonts w:cs="Times New Roman"/>
                <w:lang w:val="ru-RU"/>
              </w:rPr>
              <w:t>а</w:t>
            </w:r>
            <w:r w:rsidR="00F10AC7" w:rsidRPr="00FD6B73">
              <w:rPr>
                <w:rFonts w:cs="Times New Roman"/>
                <w:lang w:val="ru-RU"/>
              </w:rPr>
              <w:t xml:space="preserve"> жртава и сведока за учешће у кривичном поступку.</w:t>
            </w:r>
          </w:p>
          <w:bookmarkEnd w:id="70"/>
          <w:p w14:paraId="1F85AA28" w14:textId="77777777" w:rsidR="006B16EB" w:rsidRPr="00FD6B73" w:rsidRDefault="006B16EB" w:rsidP="00F10AC7">
            <w:pPr>
              <w:ind w:firstLine="720"/>
              <w:rPr>
                <w:rFonts w:cs="Times New Roman"/>
                <w:szCs w:val="24"/>
                <w:lang w:val="ru-RU"/>
              </w:rPr>
            </w:pPr>
          </w:p>
        </w:tc>
      </w:tr>
      <w:tr w:rsidR="006B16EB" w:rsidRPr="00627105" w14:paraId="74FBA4CD" w14:textId="77777777" w:rsidTr="00852729">
        <w:trPr>
          <w:trHeight w:val="755"/>
        </w:trPr>
        <w:tc>
          <w:tcPr>
            <w:tcW w:w="9350" w:type="dxa"/>
          </w:tcPr>
          <w:p w14:paraId="006F8C16" w14:textId="5BA4211B" w:rsidR="006B16EB" w:rsidRPr="00FD6B73" w:rsidRDefault="00604486" w:rsidP="008B4606">
            <w:pPr>
              <w:spacing w:before="240"/>
              <w:rPr>
                <w:rFonts w:cs="Times New Roman"/>
                <w:b/>
                <w:szCs w:val="24"/>
                <w:lang w:val="ru-RU"/>
              </w:rPr>
            </w:pPr>
            <w:r w:rsidRPr="00FD6B73">
              <w:rPr>
                <w:rFonts w:cs="Times New Roman"/>
                <w:b/>
                <w:szCs w:val="24"/>
                <w:lang w:val="ru-RU"/>
              </w:rPr>
              <w:t xml:space="preserve">Мера </w:t>
            </w:r>
            <w:r w:rsidR="006B16EB" w:rsidRPr="00FD6B73">
              <w:rPr>
                <w:rFonts w:cs="Times New Roman"/>
                <w:b/>
                <w:szCs w:val="24"/>
                <w:lang w:val="ru-RU"/>
              </w:rPr>
              <w:t>2.</w:t>
            </w:r>
            <w:r w:rsidR="001A0D59" w:rsidRPr="00FD6B73">
              <w:rPr>
                <w:rFonts w:cs="Times New Roman"/>
                <w:b/>
                <w:szCs w:val="24"/>
                <w:lang w:val="ru-RU"/>
              </w:rPr>
              <w:t>9</w:t>
            </w:r>
            <w:r w:rsidRPr="00FD6B73">
              <w:rPr>
                <w:rFonts w:cs="Times New Roman"/>
                <w:b/>
                <w:szCs w:val="24"/>
                <w:lang w:val="ru-RU"/>
              </w:rPr>
              <w:t>:</w:t>
            </w:r>
            <w:r w:rsidR="005E2CE0">
              <w:rPr>
                <w:rFonts w:cs="Times New Roman"/>
                <w:b/>
                <w:szCs w:val="24"/>
                <w:lang w:val="ru-RU"/>
              </w:rPr>
              <w:t xml:space="preserve"> </w:t>
            </w:r>
            <w:r w:rsidR="002B4EA5" w:rsidRPr="00FD6B73">
              <w:rPr>
                <w:rFonts w:cs="Times New Roman"/>
                <w:bCs/>
                <w:szCs w:val="24"/>
                <w:lang w:val="ru-RU"/>
              </w:rPr>
              <w:t>Ј</w:t>
            </w:r>
            <w:r w:rsidR="002B4EA5" w:rsidRPr="00FD6B73">
              <w:rPr>
                <w:rFonts w:eastAsia="Times New Roman" w:cs="Times New Roman"/>
                <w:color w:val="000000"/>
                <w:szCs w:val="24"/>
                <w:lang w:val="ru-RU"/>
              </w:rPr>
              <w:t xml:space="preserve">ачање </w:t>
            </w:r>
            <w:r w:rsidR="009D36AC" w:rsidRPr="00FD6B73">
              <w:rPr>
                <w:rFonts w:eastAsia="Times New Roman" w:cs="Times New Roman"/>
                <w:color w:val="000000"/>
                <w:szCs w:val="24"/>
                <w:lang w:val="ru-RU"/>
              </w:rPr>
              <w:t xml:space="preserve">административних и инфраструктурних </w:t>
            </w:r>
            <w:r w:rsidR="002B4EA5" w:rsidRPr="00FD6B73">
              <w:rPr>
                <w:rFonts w:eastAsia="Times New Roman" w:cs="Times New Roman"/>
                <w:color w:val="000000"/>
                <w:szCs w:val="24"/>
                <w:lang w:val="ru-RU"/>
              </w:rPr>
              <w:t>капацитета за помоћ и подршку оштећенима и сведоцима кроз</w:t>
            </w:r>
            <w:r w:rsidR="002B4EA5" w:rsidRPr="00FD6B73">
              <w:rPr>
                <w:rFonts w:cs="Times New Roman"/>
                <w:bCs/>
                <w:szCs w:val="24"/>
                <w:lang w:val="ru-RU"/>
              </w:rPr>
              <w:t xml:space="preserve"> о</w:t>
            </w:r>
            <w:r w:rsidR="002B4EA5" w:rsidRPr="00FD6B73">
              <w:rPr>
                <w:rFonts w:cs="Times New Roman"/>
                <w:lang w:val="ru-RU"/>
              </w:rPr>
              <w:t xml:space="preserve">безбеђивање додатних ресурса за ангажовање професионалаца </w:t>
            </w:r>
            <w:r w:rsidR="00F53BC0">
              <w:rPr>
                <w:rFonts w:cs="Times New Roman"/>
                <w:lang w:val="ru-RU"/>
              </w:rPr>
              <w:t>одређених</w:t>
            </w:r>
            <w:r w:rsidR="002B4EA5" w:rsidRPr="00FD6B73">
              <w:rPr>
                <w:rFonts w:cs="Times New Roman"/>
                <w:lang w:val="ru-RU"/>
              </w:rPr>
              <w:t xml:space="preserve"> струка у службама подршке и помоћи оштећенима и сведоцима</w:t>
            </w:r>
            <w:r w:rsidR="009D36AC" w:rsidRPr="00FD6B73">
              <w:rPr>
                <w:rFonts w:cs="Times New Roman"/>
                <w:lang w:val="ru-RU"/>
              </w:rPr>
              <w:t xml:space="preserve"> при </w:t>
            </w:r>
            <w:r w:rsidR="00F53BC0">
              <w:rPr>
                <w:rFonts w:cs="Times New Roman"/>
                <w:lang w:val="ru-RU"/>
              </w:rPr>
              <w:t>ТРЗ</w:t>
            </w:r>
            <w:r w:rsidR="009D36AC" w:rsidRPr="00FD6B73">
              <w:rPr>
                <w:rFonts w:cs="Times New Roman"/>
                <w:lang w:val="ru-RU"/>
              </w:rPr>
              <w:t xml:space="preserve"> и Вишем суду у Београду</w:t>
            </w:r>
            <w:r w:rsidR="002B4EA5" w:rsidRPr="00FD6B73">
              <w:rPr>
                <w:rFonts w:cs="Times New Roman"/>
                <w:lang w:val="ru-RU"/>
              </w:rPr>
              <w:t xml:space="preserve">. </w:t>
            </w:r>
          </w:p>
          <w:p w14:paraId="525DD686" w14:textId="77777777" w:rsidR="006B16EB" w:rsidRPr="00FD6B73" w:rsidRDefault="006B16EB" w:rsidP="00F10AC7">
            <w:pPr>
              <w:tabs>
                <w:tab w:val="left" w:pos="1125"/>
              </w:tabs>
              <w:rPr>
                <w:rFonts w:cs="Times New Roman"/>
                <w:szCs w:val="24"/>
                <w:lang w:val="ru-RU"/>
              </w:rPr>
            </w:pPr>
          </w:p>
        </w:tc>
      </w:tr>
      <w:tr w:rsidR="006B16EB" w:rsidRPr="00627105" w14:paraId="3FDF86A9" w14:textId="77777777" w:rsidTr="00852729">
        <w:trPr>
          <w:trHeight w:val="638"/>
        </w:trPr>
        <w:tc>
          <w:tcPr>
            <w:tcW w:w="9350" w:type="dxa"/>
          </w:tcPr>
          <w:p w14:paraId="74EE34C5" w14:textId="50812B45" w:rsidR="006B16EB" w:rsidRPr="00FD6B73" w:rsidRDefault="00604486" w:rsidP="00213656">
            <w:pPr>
              <w:spacing w:before="240"/>
              <w:rPr>
                <w:rFonts w:cs="Times New Roman"/>
                <w:b/>
                <w:szCs w:val="24"/>
                <w:lang w:val="ru-RU"/>
              </w:rPr>
            </w:pPr>
            <w:r w:rsidRPr="00FD6B73">
              <w:rPr>
                <w:rFonts w:cs="Times New Roman"/>
                <w:b/>
                <w:szCs w:val="24"/>
                <w:lang w:val="ru-RU"/>
              </w:rPr>
              <w:t xml:space="preserve">Мера </w:t>
            </w:r>
            <w:r w:rsidR="006B16EB" w:rsidRPr="00FD6B73">
              <w:rPr>
                <w:rFonts w:cs="Times New Roman"/>
                <w:b/>
                <w:szCs w:val="24"/>
                <w:lang w:val="ru-RU"/>
              </w:rPr>
              <w:t>2.</w:t>
            </w:r>
            <w:r w:rsidR="00630326" w:rsidRPr="00FD6B73">
              <w:rPr>
                <w:rFonts w:cs="Times New Roman"/>
                <w:b/>
                <w:szCs w:val="24"/>
                <w:lang w:val="ru-RU"/>
              </w:rPr>
              <w:t>1</w:t>
            </w:r>
            <w:r w:rsidR="001A0D59" w:rsidRPr="00FD6B73">
              <w:rPr>
                <w:rFonts w:cs="Times New Roman"/>
                <w:b/>
                <w:szCs w:val="24"/>
                <w:lang w:val="ru-RU"/>
              </w:rPr>
              <w:t>0</w:t>
            </w:r>
            <w:r w:rsidRPr="00FD6B73">
              <w:rPr>
                <w:rFonts w:cs="Times New Roman"/>
                <w:b/>
                <w:szCs w:val="24"/>
                <w:lang w:val="ru-RU"/>
              </w:rPr>
              <w:t>:</w:t>
            </w:r>
            <w:r w:rsidR="005E2CE0">
              <w:rPr>
                <w:rFonts w:cs="Times New Roman"/>
                <w:b/>
                <w:szCs w:val="24"/>
                <w:lang w:val="ru-RU"/>
              </w:rPr>
              <w:t xml:space="preserve"> </w:t>
            </w:r>
            <w:r w:rsidR="0065696B" w:rsidRPr="00FD6B73">
              <w:rPr>
                <w:rFonts w:eastAsia="Times New Roman" w:cs="Times New Roman"/>
                <w:color w:val="000000"/>
                <w:szCs w:val="24"/>
                <w:lang w:val="ru-RU"/>
              </w:rPr>
              <w:t>Подизање нивоа свести</w:t>
            </w:r>
            <w:r w:rsidR="00630326" w:rsidRPr="00FD6B73">
              <w:rPr>
                <w:rFonts w:eastAsia="Times New Roman" w:cs="Times New Roman"/>
                <w:color w:val="000000"/>
                <w:szCs w:val="24"/>
                <w:lang w:val="ru-RU"/>
              </w:rPr>
              <w:t xml:space="preserve"> о положају оштећених и сведока у поступцима за ратне злочине, кроз изградњу партнерског односа институција надлежних за </w:t>
            </w:r>
            <w:r w:rsidR="00630326" w:rsidRPr="00FD6B73">
              <w:rPr>
                <w:rFonts w:eastAsia="Times New Roman" w:cs="Times New Roman"/>
                <w:color w:val="000000"/>
                <w:szCs w:val="24"/>
                <w:lang w:val="ru-RU"/>
              </w:rPr>
              <w:lastRenderedPageBreak/>
              <w:t xml:space="preserve">процесуирање ратних злочина </w:t>
            </w:r>
            <w:r w:rsidR="00D664CB" w:rsidRPr="00FD6B73">
              <w:rPr>
                <w:rFonts w:eastAsia="Times New Roman" w:cs="Times New Roman"/>
                <w:color w:val="000000"/>
                <w:szCs w:val="24"/>
                <w:lang w:val="ru-RU"/>
              </w:rPr>
              <w:t xml:space="preserve">са </w:t>
            </w:r>
            <w:r w:rsidR="00213656" w:rsidRPr="00FD6B73">
              <w:rPr>
                <w:rFonts w:eastAsia="Times New Roman" w:cs="Times New Roman"/>
                <w:color w:val="000000"/>
                <w:szCs w:val="24"/>
                <w:lang w:val="ru-RU"/>
              </w:rPr>
              <w:t>представн</w:t>
            </w:r>
            <w:r w:rsidR="00D664CB" w:rsidRPr="00FD6B73">
              <w:rPr>
                <w:rFonts w:eastAsia="Times New Roman" w:cs="Times New Roman"/>
                <w:color w:val="000000"/>
                <w:szCs w:val="24"/>
                <w:lang w:val="ru-RU"/>
              </w:rPr>
              <w:t xml:space="preserve">ицима медија и удружењима жртава и породица несталих лица. </w:t>
            </w:r>
          </w:p>
          <w:p w14:paraId="716B63C6" w14:textId="77777777" w:rsidR="006B16EB" w:rsidRPr="00FD6B73" w:rsidRDefault="006B16EB" w:rsidP="00F10AC7">
            <w:pPr>
              <w:ind w:firstLine="720"/>
              <w:rPr>
                <w:rFonts w:cs="Times New Roman"/>
                <w:szCs w:val="24"/>
                <w:lang w:val="ru-RU"/>
              </w:rPr>
            </w:pPr>
          </w:p>
        </w:tc>
      </w:tr>
    </w:tbl>
    <w:p w14:paraId="7D3DD23D" w14:textId="77777777" w:rsidR="00343FB5" w:rsidRPr="00FD6B73" w:rsidRDefault="00343FB5" w:rsidP="00F10AC7">
      <w:pPr>
        <w:spacing w:line="240" w:lineRule="auto"/>
        <w:rPr>
          <w:rFonts w:cs="Times New Roman"/>
          <w:lang w:val="ru-RU"/>
        </w:rPr>
      </w:pPr>
    </w:p>
    <w:p w14:paraId="47B76DFD" w14:textId="77777777" w:rsidR="007F714A" w:rsidRPr="00FD6B73" w:rsidRDefault="007F714A" w:rsidP="00AD4730">
      <w:pPr>
        <w:pStyle w:val="Heading2"/>
        <w:numPr>
          <w:ilvl w:val="1"/>
          <w:numId w:val="1"/>
        </w:numPr>
        <w:spacing w:line="240" w:lineRule="auto"/>
        <w:rPr>
          <w:rFonts w:cs="Times New Roman"/>
          <w:lang w:val="ru-RU"/>
        </w:rPr>
      </w:pPr>
      <w:bookmarkStart w:id="71" w:name="_Toc72932081"/>
      <w:bookmarkStart w:id="72" w:name="_Toc84580788"/>
      <w:r w:rsidRPr="00FD6B73">
        <w:rPr>
          <w:rFonts w:cs="Times New Roman"/>
          <w:lang w:val="ru-RU"/>
        </w:rPr>
        <w:t>Посебни циљ 3:</w:t>
      </w:r>
      <w:r w:rsidR="0003220D" w:rsidRPr="00FD6B73">
        <w:rPr>
          <w:rFonts w:cs="Times New Roman"/>
          <w:lang w:val="ru-RU"/>
        </w:rPr>
        <w:t xml:space="preserve"> Унапређе</w:t>
      </w:r>
      <w:r w:rsidR="00086443" w:rsidRPr="00FD6B73">
        <w:rPr>
          <w:rFonts w:cs="Times New Roman"/>
          <w:lang w:val="ru-RU"/>
        </w:rPr>
        <w:t>ње</w:t>
      </w:r>
      <w:r w:rsidR="0003220D" w:rsidRPr="00FD6B73">
        <w:rPr>
          <w:rFonts w:cs="Times New Roman"/>
          <w:lang w:val="ru-RU"/>
        </w:rPr>
        <w:t xml:space="preserve"> механиз</w:t>
      </w:r>
      <w:r w:rsidR="00086443" w:rsidRPr="00FD6B73">
        <w:rPr>
          <w:rFonts w:cs="Times New Roman"/>
          <w:lang w:val="ru-RU"/>
        </w:rPr>
        <w:t>ама</w:t>
      </w:r>
      <w:r w:rsidR="0003220D" w:rsidRPr="00FD6B73">
        <w:rPr>
          <w:rFonts w:cs="Times New Roman"/>
          <w:lang w:val="ru-RU"/>
        </w:rPr>
        <w:t xml:space="preserve"> откривања судбине несталих лица</w:t>
      </w:r>
      <w:bookmarkEnd w:id="71"/>
      <w:bookmarkEnd w:id="72"/>
    </w:p>
    <w:p w14:paraId="63035840" w14:textId="77777777" w:rsidR="00343FB5" w:rsidRPr="00FD6B73" w:rsidRDefault="00343FB5" w:rsidP="00F10AC7">
      <w:pPr>
        <w:spacing w:line="240" w:lineRule="auto"/>
        <w:rPr>
          <w:rFonts w:cs="Times New Roman"/>
          <w:lang w:val="ru-RU"/>
        </w:rPr>
      </w:pPr>
    </w:p>
    <w:tbl>
      <w:tblPr>
        <w:tblStyle w:val="TableGrid"/>
        <w:tblW w:w="0" w:type="auto"/>
        <w:tblLook w:val="04A0" w:firstRow="1" w:lastRow="0" w:firstColumn="1" w:lastColumn="0" w:noHBand="0" w:noVBand="1"/>
      </w:tblPr>
      <w:tblGrid>
        <w:gridCol w:w="9350"/>
      </w:tblGrid>
      <w:tr w:rsidR="00343FB5" w:rsidRPr="00627105" w14:paraId="29B14E30" w14:textId="77777777" w:rsidTr="009207A7">
        <w:tc>
          <w:tcPr>
            <w:tcW w:w="9350" w:type="dxa"/>
            <w:shd w:val="clear" w:color="auto" w:fill="E7E6E6" w:themeFill="background2"/>
          </w:tcPr>
          <w:p w14:paraId="125D8B2F" w14:textId="77777777" w:rsidR="006B16EB" w:rsidRPr="00FD6B73" w:rsidRDefault="00343FB5" w:rsidP="006504FE">
            <w:pPr>
              <w:spacing w:before="120" w:after="120"/>
              <w:rPr>
                <w:rFonts w:cs="Times New Roman"/>
                <w:b/>
                <w:bCs/>
                <w:szCs w:val="24"/>
                <w:lang w:val="ru-RU"/>
              </w:rPr>
            </w:pPr>
            <w:r w:rsidRPr="00FD6B73">
              <w:rPr>
                <w:rFonts w:cs="Times New Roman"/>
                <w:b/>
                <w:bCs/>
                <w:szCs w:val="24"/>
                <w:lang w:val="ru-RU"/>
              </w:rPr>
              <w:t>Преглед мера за реализацију посебног циља 3</w:t>
            </w:r>
            <w:r w:rsidR="00410FB8" w:rsidRPr="00FD6B73">
              <w:rPr>
                <w:rFonts w:cs="Times New Roman"/>
                <w:b/>
                <w:bCs/>
                <w:szCs w:val="24"/>
                <w:lang w:val="ru-RU"/>
              </w:rPr>
              <w:t xml:space="preserve">: </w:t>
            </w:r>
          </w:p>
        </w:tc>
      </w:tr>
      <w:tr w:rsidR="00604486" w:rsidRPr="00627105" w14:paraId="3AB1CD4F" w14:textId="77777777" w:rsidTr="006163B9">
        <w:trPr>
          <w:trHeight w:val="1097"/>
        </w:trPr>
        <w:tc>
          <w:tcPr>
            <w:tcW w:w="9350" w:type="dxa"/>
          </w:tcPr>
          <w:p w14:paraId="12113F30" w14:textId="77777777" w:rsidR="00E30DC4" w:rsidRPr="00FD6B73" w:rsidRDefault="00604486" w:rsidP="00A76BAD">
            <w:pPr>
              <w:spacing w:before="240" w:after="120"/>
              <w:rPr>
                <w:rFonts w:cs="Times New Roman"/>
                <w:b/>
                <w:szCs w:val="24"/>
                <w:lang w:val="ru-RU"/>
              </w:rPr>
            </w:pPr>
            <w:r w:rsidRPr="00FD6B73">
              <w:rPr>
                <w:rFonts w:cs="Times New Roman"/>
                <w:b/>
                <w:szCs w:val="24"/>
                <w:lang w:val="ru-RU"/>
              </w:rPr>
              <w:t>Мера 3.1</w:t>
            </w:r>
            <w:r w:rsidR="00ED78F7" w:rsidRPr="00FD6B73">
              <w:rPr>
                <w:rFonts w:cs="Times New Roman"/>
                <w:b/>
                <w:szCs w:val="24"/>
                <w:lang w:val="ru-RU"/>
              </w:rPr>
              <w:t xml:space="preserve">: </w:t>
            </w:r>
            <w:r w:rsidR="004D2661" w:rsidRPr="00FD6B73">
              <w:rPr>
                <w:rFonts w:cs="Times New Roman"/>
                <w:bCs/>
                <w:szCs w:val="24"/>
                <w:lang w:val="ru-RU"/>
              </w:rPr>
              <w:t>Унапређење нормативног оквира који уређује положај несталих лица и њихових породица</w:t>
            </w:r>
            <w:r w:rsidR="00A76BAD" w:rsidRPr="00FD6B73">
              <w:rPr>
                <w:rFonts w:cs="Times New Roman"/>
                <w:bCs/>
                <w:szCs w:val="24"/>
                <w:lang w:val="ru-RU"/>
              </w:rPr>
              <w:t xml:space="preserve"> кроз доношење </w:t>
            </w:r>
            <w:r w:rsidR="004D2661" w:rsidRPr="00FD6B73">
              <w:rPr>
                <w:rFonts w:cs="Times New Roman"/>
                <w:szCs w:val="24"/>
                <w:lang w:val="ru-RU"/>
              </w:rPr>
              <w:t>Закона о несталим лицима</w:t>
            </w:r>
            <w:r w:rsidR="00A76BAD" w:rsidRPr="00FD6B73">
              <w:rPr>
                <w:rFonts w:cs="Times New Roman"/>
                <w:szCs w:val="24"/>
                <w:lang w:val="ru-RU"/>
              </w:rPr>
              <w:t xml:space="preserve"> и пратећих</w:t>
            </w:r>
            <w:r w:rsidR="004D2661" w:rsidRPr="00FD6B73">
              <w:rPr>
                <w:rFonts w:cs="Times New Roman"/>
                <w:szCs w:val="24"/>
                <w:lang w:val="ru-RU"/>
              </w:rPr>
              <w:t xml:space="preserve"> подзаконских аката неопходних за примену</w:t>
            </w:r>
            <w:r w:rsidR="00A76BAD" w:rsidRPr="00FD6B73">
              <w:rPr>
                <w:rFonts w:cs="Times New Roman"/>
                <w:szCs w:val="24"/>
                <w:lang w:val="ru-RU"/>
              </w:rPr>
              <w:t xml:space="preserve"> тог закона.</w:t>
            </w:r>
          </w:p>
        </w:tc>
      </w:tr>
      <w:tr w:rsidR="00604486" w:rsidRPr="00627105" w14:paraId="69660DBA" w14:textId="77777777" w:rsidTr="00A76BAD">
        <w:trPr>
          <w:trHeight w:val="953"/>
        </w:trPr>
        <w:tc>
          <w:tcPr>
            <w:tcW w:w="9350" w:type="dxa"/>
          </w:tcPr>
          <w:p w14:paraId="521E245E" w14:textId="0665CA5D" w:rsidR="00E30DC4" w:rsidRPr="00FD6B73" w:rsidRDefault="00604486" w:rsidP="00A9036F">
            <w:pPr>
              <w:spacing w:before="120" w:after="120"/>
              <w:rPr>
                <w:rFonts w:cs="Times New Roman"/>
                <w:szCs w:val="24"/>
                <w:lang w:val="ru-RU"/>
              </w:rPr>
            </w:pPr>
            <w:r w:rsidRPr="00FD6B73">
              <w:rPr>
                <w:rFonts w:cs="Times New Roman"/>
                <w:b/>
                <w:szCs w:val="24"/>
                <w:lang w:val="ru-RU"/>
              </w:rPr>
              <w:t>Мера 3.2</w:t>
            </w:r>
            <w:r w:rsidR="00ED78F7" w:rsidRPr="00FD6B73">
              <w:rPr>
                <w:rFonts w:cs="Times New Roman"/>
                <w:b/>
                <w:szCs w:val="24"/>
                <w:lang w:val="ru-RU"/>
              </w:rPr>
              <w:t>:</w:t>
            </w:r>
            <w:r w:rsidR="005E2CE0">
              <w:rPr>
                <w:rFonts w:cs="Times New Roman"/>
                <w:b/>
                <w:szCs w:val="24"/>
                <w:lang w:val="ru-RU"/>
              </w:rPr>
              <w:t xml:space="preserve"> </w:t>
            </w:r>
            <w:r w:rsidR="00532B2C" w:rsidRPr="00FD6B73">
              <w:rPr>
                <w:rFonts w:cs="Times New Roman"/>
                <w:szCs w:val="24"/>
                <w:lang w:val="ru-RU"/>
              </w:rPr>
              <w:t>Унапређење нивоа усклађености кривичног законодавства са одредбама Међународне конвенције о заштити свих лица од присилних нестанака.</w:t>
            </w:r>
          </w:p>
        </w:tc>
      </w:tr>
      <w:tr w:rsidR="00604486" w:rsidRPr="00627105" w14:paraId="52643D4E" w14:textId="77777777" w:rsidTr="00A76BAD">
        <w:trPr>
          <w:trHeight w:val="440"/>
        </w:trPr>
        <w:tc>
          <w:tcPr>
            <w:tcW w:w="9350" w:type="dxa"/>
          </w:tcPr>
          <w:p w14:paraId="0B2981C6" w14:textId="0B45CE4B" w:rsidR="00E30DC4" w:rsidRPr="00FD6B73" w:rsidRDefault="00604486" w:rsidP="0067010B">
            <w:pPr>
              <w:tabs>
                <w:tab w:val="left" w:pos="3998"/>
              </w:tabs>
              <w:spacing w:before="120" w:after="120"/>
              <w:rPr>
                <w:rFonts w:cs="Times New Roman"/>
                <w:bCs/>
                <w:lang w:val="ru-RU"/>
              </w:rPr>
            </w:pPr>
            <w:r w:rsidRPr="00FD6B73">
              <w:rPr>
                <w:rFonts w:cs="Times New Roman"/>
                <w:b/>
                <w:szCs w:val="24"/>
                <w:lang w:val="ru-RU"/>
              </w:rPr>
              <w:t>Мера</w:t>
            </w:r>
            <w:r w:rsidR="00ED78F7" w:rsidRPr="00FD6B73">
              <w:rPr>
                <w:rFonts w:cs="Times New Roman"/>
                <w:b/>
                <w:szCs w:val="24"/>
                <w:lang w:val="ru-RU"/>
              </w:rPr>
              <w:t xml:space="preserve"> 3.3: </w:t>
            </w:r>
            <w:r w:rsidR="00380555" w:rsidRPr="00380555">
              <w:rPr>
                <w:rFonts w:cs="Times New Roman"/>
                <w:bCs/>
                <w:szCs w:val="24"/>
                <w:lang w:val="ru-RU"/>
              </w:rPr>
              <w:t>Измене и допуне релевантних прописа који ограничавају приступ социјалним правима за породице несталих лица, са циљем пуног усклађивања са одредбама Међународне конвенције о заштити свих лица од присилних нестанака.</w:t>
            </w:r>
          </w:p>
        </w:tc>
      </w:tr>
      <w:tr w:rsidR="00604486" w:rsidRPr="00627105" w14:paraId="4C05B938" w14:textId="77777777" w:rsidTr="006163B9">
        <w:trPr>
          <w:trHeight w:val="980"/>
        </w:trPr>
        <w:tc>
          <w:tcPr>
            <w:tcW w:w="9350" w:type="dxa"/>
          </w:tcPr>
          <w:p w14:paraId="6A90B1E6" w14:textId="76343817" w:rsidR="00E30DC4" w:rsidRPr="00FD6B73" w:rsidRDefault="00604486" w:rsidP="00F53BC0">
            <w:pPr>
              <w:tabs>
                <w:tab w:val="left" w:pos="3998"/>
              </w:tabs>
              <w:spacing w:before="120" w:after="120"/>
              <w:rPr>
                <w:rFonts w:cs="Times New Roman"/>
                <w:bCs/>
                <w:lang w:val="ru-RU"/>
              </w:rPr>
            </w:pPr>
            <w:r w:rsidRPr="00FD6B73">
              <w:rPr>
                <w:rFonts w:cs="Times New Roman"/>
                <w:b/>
                <w:szCs w:val="24"/>
                <w:lang w:val="ru-RU"/>
              </w:rPr>
              <w:t>Мера 3.4</w:t>
            </w:r>
            <w:r w:rsidR="00ED78F7" w:rsidRPr="00FD6B73">
              <w:rPr>
                <w:rFonts w:cs="Times New Roman"/>
                <w:b/>
                <w:szCs w:val="24"/>
                <w:lang w:val="ru-RU"/>
              </w:rPr>
              <w:t>:</w:t>
            </w:r>
            <w:r w:rsidR="005E2CE0">
              <w:rPr>
                <w:rFonts w:cs="Times New Roman"/>
                <w:b/>
                <w:szCs w:val="24"/>
                <w:lang w:val="ru-RU"/>
              </w:rPr>
              <w:t xml:space="preserve"> </w:t>
            </w:r>
            <w:r w:rsidR="00CD1697" w:rsidRPr="00FD6B73">
              <w:rPr>
                <w:rFonts w:cs="Times New Roman"/>
                <w:bCs/>
                <w:lang w:val="ru-RU"/>
              </w:rPr>
              <w:t>Р</w:t>
            </w:r>
            <w:r w:rsidR="00A9036F" w:rsidRPr="00FD6B73">
              <w:rPr>
                <w:rFonts w:cs="Times New Roman"/>
                <w:bCs/>
                <w:lang w:val="ru-RU"/>
              </w:rPr>
              <w:t>еш</w:t>
            </w:r>
            <w:r w:rsidR="00F53BC0">
              <w:rPr>
                <w:rFonts w:cs="Times New Roman"/>
                <w:bCs/>
                <w:lang w:val="ru-RU"/>
              </w:rPr>
              <w:t>авање институционалног статуса с</w:t>
            </w:r>
            <w:r w:rsidR="00A9036F" w:rsidRPr="00FD6B73">
              <w:rPr>
                <w:rFonts w:cs="Times New Roman"/>
                <w:bCs/>
                <w:lang w:val="ru-RU"/>
              </w:rPr>
              <w:t xml:space="preserve">тручне службе Комисије за нестала лица, чиме би се постигао склад између </w:t>
            </w:r>
            <w:r w:rsidR="00F53BC0">
              <w:rPr>
                <w:rFonts w:cs="Times New Roman"/>
                <w:bCs/>
                <w:lang w:val="ru-RU"/>
              </w:rPr>
              <w:t>з</w:t>
            </w:r>
            <w:r w:rsidR="00A9036F" w:rsidRPr="00FD6B73">
              <w:rPr>
                <w:rFonts w:cs="Times New Roman"/>
                <w:bCs/>
                <w:lang w:val="ru-RU"/>
              </w:rPr>
              <w:t xml:space="preserve">аконских овлашћења, административних капацитета и улоге коју </w:t>
            </w:r>
            <w:r w:rsidR="00F53BC0">
              <w:rPr>
                <w:rFonts w:cs="Times New Roman"/>
                <w:bCs/>
                <w:lang w:val="ru-RU"/>
              </w:rPr>
              <w:t>ова к</w:t>
            </w:r>
            <w:r w:rsidR="00A9036F" w:rsidRPr="00FD6B73">
              <w:rPr>
                <w:rFonts w:cs="Times New Roman"/>
                <w:bCs/>
                <w:lang w:val="ru-RU"/>
              </w:rPr>
              <w:t>омисија има у пракси.</w:t>
            </w:r>
          </w:p>
        </w:tc>
      </w:tr>
      <w:tr w:rsidR="00FE48F2" w:rsidRPr="00627105" w14:paraId="09019009" w14:textId="77777777" w:rsidTr="006163B9">
        <w:trPr>
          <w:trHeight w:val="980"/>
        </w:trPr>
        <w:tc>
          <w:tcPr>
            <w:tcW w:w="9350" w:type="dxa"/>
          </w:tcPr>
          <w:p w14:paraId="129F6C11" w14:textId="29D735B7" w:rsidR="00FE48F2" w:rsidRPr="00FD6B73" w:rsidRDefault="00FE48F2" w:rsidP="00F53BC0">
            <w:pPr>
              <w:tabs>
                <w:tab w:val="left" w:pos="3998"/>
              </w:tabs>
              <w:spacing w:before="120" w:after="120"/>
              <w:rPr>
                <w:rFonts w:cs="Times New Roman"/>
                <w:b/>
                <w:szCs w:val="24"/>
                <w:lang w:val="ru-RU"/>
              </w:rPr>
            </w:pPr>
            <w:r w:rsidRPr="00FD6B73">
              <w:rPr>
                <w:rFonts w:cs="Times New Roman"/>
                <w:b/>
                <w:szCs w:val="24"/>
                <w:lang w:val="ru-RU"/>
              </w:rPr>
              <w:t>Мера 3.</w:t>
            </w:r>
            <w:r w:rsidR="00E81681" w:rsidRPr="00FD6B73">
              <w:rPr>
                <w:rFonts w:cs="Times New Roman"/>
                <w:b/>
                <w:szCs w:val="24"/>
                <w:lang w:val="ru-RU"/>
              </w:rPr>
              <w:t>5</w:t>
            </w:r>
            <w:r w:rsidRPr="00FD6B73">
              <w:rPr>
                <w:rFonts w:cs="Times New Roman"/>
                <w:b/>
                <w:szCs w:val="24"/>
                <w:lang w:val="ru-RU"/>
              </w:rPr>
              <w:t xml:space="preserve">. </w:t>
            </w:r>
            <w:r w:rsidRPr="00FD6B73">
              <w:rPr>
                <w:rFonts w:cs="Times New Roman"/>
                <w:bCs/>
                <w:szCs w:val="24"/>
                <w:lang w:val="ru-RU"/>
              </w:rPr>
              <w:t>Јачање инфраструктурних капацитета</w:t>
            </w:r>
            <w:r w:rsidR="005E2CE0">
              <w:rPr>
                <w:rFonts w:cs="Times New Roman"/>
                <w:bCs/>
                <w:szCs w:val="24"/>
                <w:lang w:val="ru-RU"/>
              </w:rPr>
              <w:t xml:space="preserve"> </w:t>
            </w:r>
            <w:r w:rsidR="00F53BC0">
              <w:rPr>
                <w:rFonts w:cs="Times New Roman"/>
                <w:bCs/>
                <w:lang w:val="ru-RU"/>
              </w:rPr>
              <w:t>с</w:t>
            </w:r>
            <w:r w:rsidRPr="00FD6B73">
              <w:rPr>
                <w:rFonts w:cs="Times New Roman"/>
                <w:bCs/>
                <w:lang w:val="ru-RU"/>
              </w:rPr>
              <w:t xml:space="preserve">тручне службе Комисије за нестала лица, чиме би се омогућио ефикаснији рад </w:t>
            </w:r>
            <w:r w:rsidR="00F53BC0">
              <w:rPr>
                <w:rFonts w:cs="Times New Roman"/>
                <w:bCs/>
                <w:lang w:val="ru-RU"/>
              </w:rPr>
              <w:t>ове к</w:t>
            </w:r>
            <w:r w:rsidRPr="00FD6B73">
              <w:rPr>
                <w:rFonts w:cs="Times New Roman"/>
                <w:bCs/>
                <w:lang w:val="ru-RU"/>
              </w:rPr>
              <w:t>омисије у складу са измењеним нормативним оквиром.</w:t>
            </w:r>
          </w:p>
        </w:tc>
      </w:tr>
      <w:tr w:rsidR="00E04CD4" w:rsidRPr="00627105" w14:paraId="2FB27042" w14:textId="77777777" w:rsidTr="006163B9">
        <w:trPr>
          <w:trHeight w:val="980"/>
        </w:trPr>
        <w:tc>
          <w:tcPr>
            <w:tcW w:w="9350" w:type="dxa"/>
          </w:tcPr>
          <w:p w14:paraId="1BFF642A" w14:textId="68E7D407" w:rsidR="00E04CD4" w:rsidRPr="00FD6B73" w:rsidRDefault="00E04CD4" w:rsidP="00F53BC0">
            <w:pPr>
              <w:tabs>
                <w:tab w:val="left" w:pos="3998"/>
              </w:tabs>
              <w:spacing w:before="120" w:after="120"/>
              <w:rPr>
                <w:rFonts w:cs="Times New Roman"/>
                <w:b/>
                <w:szCs w:val="24"/>
                <w:lang w:val="ru-RU"/>
              </w:rPr>
            </w:pPr>
            <w:r w:rsidRPr="00FD6B73">
              <w:rPr>
                <w:rFonts w:cs="Times New Roman"/>
                <w:b/>
                <w:szCs w:val="24"/>
                <w:lang w:val="ru-RU"/>
              </w:rPr>
              <w:t>Мера 3.</w:t>
            </w:r>
            <w:r w:rsidR="00E81681" w:rsidRPr="00FD6B73">
              <w:rPr>
                <w:rFonts w:cs="Times New Roman"/>
                <w:b/>
                <w:szCs w:val="24"/>
                <w:lang w:val="ru-RU"/>
              </w:rPr>
              <w:t>6</w:t>
            </w:r>
            <w:r w:rsidRPr="00FD6B73">
              <w:rPr>
                <w:rFonts w:cs="Times New Roman"/>
                <w:b/>
                <w:szCs w:val="24"/>
                <w:lang w:val="ru-RU"/>
              </w:rPr>
              <w:t xml:space="preserve">: </w:t>
            </w:r>
            <w:r w:rsidRPr="00FD6B73">
              <w:rPr>
                <w:rFonts w:cs="Times New Roman"/>
                <w:bCs/>
                <w:szCs w:val="24"/>
                <w:lang w:val="ru-RU"/>
              </w:rPr>
              <w:t xml:space="preserve">Континуирана сарадња Комисије за нестала лица са </w:t>
            </w:r>
            <w:r w:rsidR="00F53BC0">
              <w:rPr>
                <w:rFonts w:cs="Times New Roman"/>
                <w:bCs/>
                <w:szCs w:val="24"/>
                <w:lang w:val="ru-RU"/>
              </w:rPr>
              <w:t>ТРЗ</w:t>
            </w:r>
            <w:r w:rsidRPr="00FD6B73">
              <w:rPr>
                <w:rFonts w:cs="Times New Roman"/>
                <w:bCs/>
                <w:szCs w:val="24"/>
                <w:lang w:val="ru-RU"/>
              </w:rPr>
              <w:t xml:space="preserve">, </w:t>
            </w:r>
            <w:r w:rsidR="00F53BC0">
              <w:rPr>
                <w:rFonts w:cs="Times New Roman"/>
                <w:bCs/>
                <w:szCs w:val="24"/>
                <w:lang w:val="ru-RU"/>
              </w:rPr>
              <w:t>СОРЗ</w:t>
            </w:r>
            <w:r w:rsidRPr="00FD6B73">
              <w:rPr>
                <w:rFonts w:cs="Times New Roman"/>
                <w:bCs/>
                <w:szCs w:val="24"/>
                <w:lang w:val="ru-RU"/>
              </w:rPr>
              <w:t xml:space="preserve"> и другим институцијама и организацијама у Републици Србији.</w:t>
            </w:r>
          </w:p>
        </w:tc>
      </w:tr>
      <w:tr w:rsidR="00604486" w:rsidRPr="00627105" w14:paraId="0E8F4768" w14:textId="77777777" w:rsidTr="006163B9">
        <w:trPr>
          <w:trHeight w:val="1250"/>
        </w:trPr>
        <w:tc>
          <w:tcPr>
            <w:tcW w:w="9350" w:type="dxa"/>
          </w:tcPr>
          <w:p w14:paraId="6B895503" w14:textId="77777777" w:rsidR="00E30DC4" w:rsidRPr="00FD6B73" w:rsidRDefault="00604486" w:rsidP="00A76BAD">
            <w:pPr>
              <w:spacing w:before="240"/>
              <w:rPr>
                <w:rFonts w:cs="Times New Roman"/>
                <w:szCs w:val="24"/>
                <w:lang w:val="ru-RU"/>
              </w:rPr>
            </w:pPr>
            <w:r w:rsidRPr="00FD6B73">
              <w:rPr>
                <w:rFonts w:cs="Times New Roman"/>
                <w:b/>
                <w:szCs w:val="24"/>
                <w:lang w:val="ru-RU"/>
              </w:rPr>
              <w:t>Мера 3.</w:t>
            </w:r>
            <w:r w:rsidR="00E81681" w:rsidRPr="00FD6B73">
              <w:rPr>
                <w:rFonts w:cs="Times New Roman"/>
                <w:b/>
                <w:szCs w:val="24"/>
                <w:lang w:val="ru-RU"/>
              </w:rPr>
              <w:t>7</w:t>
            </w:r>
            <w:r w:rsidR="00ED78F7" w:rsidRPr="00FD6B73">
              <w:rPr>
                <w:rFonts w:cs="Times New Roman"/>
                <w:b/>
                <w:szCs w:val="24"/>
                <w:lang w:val="ru-RU"/>
              </w:rPr>
              <w:t>:</w:t>
            </w:r>
            <w:r w:rsidR="00CD1697" w:rsidRPr="00FD6B73">
              <w:rPr>
                <w:rFonts w:cs="Times New Roman"/>
                <w:bCs/>
                <w:lang w:val="ru-RU"/>
              </w:rPr>
              <w:t xml:space="preserve"> У складу са</w:t>
            </w:r>
            <w:r w:rsidR="00A20FDD" w:rsidRPr="00FD6B73">
              <w:rPr>
                <w:rFonts w:cs="Times New Roman"/>
                <w:bCs/>
                <w:lang w:val="ru-RU"/>
              </w:rPr>
              <w:t xml:space="preserve"> успостављеним</w:t>
            </w:r>
            <w:r w:rsidR="00CD1697" w:rsidRPr="00FD6B73">
              <w:rPr>
                <w:rFonts w:cs="Times New Roman"/>
                <w:bCs/>
                <w:lang w:val="ru-RU"/>
              </w:rPr>
              <w:t xml:space="preserve"> механизмима сарадње</w:t>
            </w:r>
            <w:r w:rsidR="00E81681" w:rsidRPr="00FD6B73">
              <w:rPr>
                <w:rFonts w:cs="Times New Roman"/>
                <w:bCs/>
                <w:lang w:val="ru-RU"/>
              </w:rPr>
              <w:t>, укључујући и оне засноване на</w:t>
            </w:r>
            <w:r w:rsidR="00CD1697" w:rsidRPr="00FD6B73">
              <w:rPr>
                <w:rFonts w:cs="Times New Roman"/>
                <w:bCs/>
                <w:lang w:val="ru-RU"/>
              </w:rPr>
              <w:t xml:space="preserve"> одредбама </w:t>
            </w:r>
            <w:r w:rsidR="00CD1697" w:rsidRPr="00FD6B73">
              <w:rPr>
                <w:rFonts w:cs="Times New Roman"/>
                <w:lang w:val="ru-RU"/>
              </w:rPr>
              <w:t>Оквирног плана који проистиче из</w:t>
            </w:r>
            <w:r w:rsidR="00CD1697" w:rsidRPr="00FD6B73">
              <w:rPr>
                <w:rFonts w:cs="Times New Roman"/>
                <w:bCs/>
                <w:lang w:val="ru-RU"/>
              </w:rPr>
              <w:t xml:space="preserve"> Лондонске декларације, наставити са ефикасном сарадњом у откривању судбине несталих лица.</w:t>
            </w:r>
          </w:p>
        </w:tc>
      </w:tr>
    </w:tbl>
    <w:p w14:paraId="29B3293D" w14:textId="77777777" w:rsidR="00343FB5" w:rsidRPr="00FD6B73" w:rsidRDefault="00343FB5" w:rsidP="00F10AC7">
      <w:pPr>
        <w:spacing w:line="240" w:lineRule="auto"/>
        <w:rPr>
          <w:rFonts w:cs="Times New Roman"/>
          <w:lang w:val="ru-RU"/>
        </w:rPr>
      </w:pPr>
    </w:p>
    <w:p w14:paraId="5941D570" w14:textId="169B21CD" w:rsidR="007F714A" w:rsidRPr="00FD6B73" w:rsidRDefault="007F714A" w:rsidP="00AD4730">
      <w:pPr>
        <w:pStyle w:val="Heading2"/>
        <w:numPr>
          <w:ilvl w:val="1"/>
          <w:numId w:val="1"/>
        </w:numPr>
        <w:spacing w:line="240" w:lineRule="auto"/>
        <w:rPr>
          <w:rFonts w:cs="Times New Roman"/>
          <w:lang w:val="ru-RU"/>
        </w:rPr>
      </w:pPr>
      <w:bookmarkStart w:id="73" w:name="_Toc72932082"/>
      <w:bookmarkStart w:id="74" w:name="_Toc84580789"/>
      <w:r w:rsidRPr="00FD6B73">
        <w:rPr>
          <w:rFonts w:cs="Times New Roman"/>
          <w:lang w:val="ru-RU"/>
        </w:rPr>
        <w:t>Посебни циљ 4:</w:t>
      </w:r>
      <w:r w:rsidR="0003220D" w:rsidRPr="00FD6B73">
        <w:rPr>
          <w:rFonts w:cs="Times New Roman"/>
          <w:bCs/>
          <w:iCs/>
          <w:lang w:val="ru-RU"/>
        </w:rPr>
        <w:t xml:space="preserve"> Унапређење сарадње са</w:t>
      </w:r>
      <w:r w:rsidR="005E2CE0">
        <w:rPr>
          <w:rFonts w:cs="Times New Roman"/>
          <w:bCs/>
          <w:iCs/>
          <w:lang w:val="ru-RU"/>
        </w:rPr>
        <w:t xml:space="preserve"> </w:t>
      </w:r>
      <w:r w:rsidR="0003220D" w:rsidRPr="00FD6B73">
        <w:rPr>
          <w:rFonts w:cs="Times New Roman"/>
          <w:bCs/>
          <w:iCs/>
          <w:lang w:val="ru-RU"/>
        </w:rPr>
        <w:t>Међународним резидуалним</w:t>
      </w:r>
      <w:r w:rsidR="005E2CE0">
        <w:rPr>
          <w:rFonts w:cs="Times New Roman"/>
          <w:bCs/>
          <w:iCs/>
          <w:lang w:val="ru-RU"/>
        </w:rPr>
        <w:t xml:space="preserve"> </w:t>
      </w:r>
      <w:r w:rsidR="0003220D" w:rsidRPr="00FD6B73">
        <w:rPr>
          <w:rFonts w:cs="Times New Roman"/>
          <w:bCs/>
          <w:iCs/>
          <w:lang w:val="ru-RU"/>
        </w:rPr>
        <w:t>м</w:t>
      </w:r>
      <w:r w:rsidR="0003220D" w:rsidRPr="00FD6B73">
        <w:rPr>
          <w:rFonts w:cs="Times New Roman"/>
          <w:lang w:val="ru-RU"/>
        </w:rPr>
        <w:t xml:space="preserve">еханизмом за кривичне </w:t>
      </w:r>
      <w:r w:rsidR="00842558" w:rsidRPr="00FD6B73">
        <w:rPr>
          <w:rFonts w:cs="Times New Roman"/>
          <w:lang w:val="ru-RU"/>
        </w:rPr>
        <w:t>судове</w:t>
      </w:r>
      <w:bookmarkEnd w:id="73"/>
      <w:bookmarkEnd w:id="74"/>
    </w:p>
    <w:p w14:paraId="4DA60014" w14:textId="77777777" w:rsidR="00343FB5" w:rsidRPr="00FD6B73" w:rsidRDefault="00343FB5" w:rsidP="00F10AC7">
      <w:pPr>
        <w:spacing w:line="240" w:lineRule="auto"/>
        <w:rPr>
          <w:rFonts w:cs="Times New Roman"/>
          <w:lang w:val="ru-RU"/>
        </w:rPr>
      </w:pPr>
    </w:p>
    <w:tbl>
      <w:tblPr>
        <w:tblStyle w:val="TableGrid"/>
        <w:tblW w:w="0" w:type="auto"/>
        <w:tblLook w:val="04A0" w:firstRow="1" w:lastRow="0" w:firstColumn="1" w:lastColumn="0" w:noHBand="0" w:noVBand="1"/>
      </w:tblPr>
      <w:tblGrid>
        <w:gridCol w:w="9350"/>
      </w:tblGrid>
      <w:tr w:rsidR="00343FB5" w:rsidRPr="00627105" w14:paraId="31BB5BFC" w14:textId="77777777" w:rsidTr="009207A7">
        <w:tc>
          <w:tcPr>
            <w:tcW w:w="9350" w:type="dxa"/>
            <w:shd w:val="clear" w:color="auto" w:fill="E7E6E6" w:themeFill="background2"/>
          </w:tcPr>
          <w:p w14:paraId="745DE9A9" w14:textId="77777777" w:rsidR="00343FB5" w:rsidRPr="00FD6B73" w:rsidRDefault="00343FB5" w:rsidP="00F10AC7">
            <w:pPr>
              <w:rPr>
                <w:rFonts w:cs="Times New Roman"/>
                <w:b/>
                <w:bCs/>
                <w:szCs w:val="24"/>
                <w:lang w:val="ru-RU"/>
              </w:rPr>
            </w:pPr>
            <w:r w:rsidRPr="00FD6B73">
              <w:rPr>
                <w:rFonts w:cs="Times New Roman"/>
                <w:b/>
                <w:bCs/>
                <w:szCs w:val="24"/>
                <w:lang w:val="ru-RU"/>
              </w:rPr>
              <w:t>Преглед мера за реализацију посебног циља 4</w:t>
            </w:r>
            <w:r w:rsidR="006F3041" w:rsidRPr="00FD6B73">
              <w:rPr>
                <w:rFonts w:cs="Times New Roman"/>
                <w:b/>
                <w:bCs/>
                <w:szCs w:val="24"/>
                <w:lang w:val="ru-RU"/>
              </w:rPr>
              <w:t xml:space="preserve">: </w:t>
            </w:r>
          </w:p>
          <w:p w14:paraId="51D9F5E6" w14:textId="77777777" w:rsidR="006B16EB" w:rsidRPr="00FD6B73" w:rsidRDefault="006B16EB" w:rsidP="00F10AC7">
            <w:pPr>
              <w:rPr>
                <w:rFonts w:cs="Times New Roman"/>
                <w:b/>
                <w:bCs/>
                <w:szCs w:val="24"/>
                <w:lang w:val="ru-RU"/>
              </w:rPr>
            </w:pPr>
          </w:p>
        </w:tc>
      </w:tr>
      <w:tr w:rsidR="00ED78F7" w:rsidRPr="00627105" w14:paraId="434CC12E" w14:textId="77777777" w:rsidTr="00842558">
        <w:trPr>
          <w:trHeight w:val="800"/>
        </w:trPr>
        <w:tc>
          <w:tcPr>
            <w:tcW w:w="9350" w:type="dxa"/>
          </w:tcPr>
          <w:p w14:paraId="7BC4ADCE" w14:textId="5026D47E" w:rsidR="00E30DC4" w:rsidRPr="00FD6B73" w:rsidRDefault="00ED78F7" w:rsidP="00F53BC0">
            <w:pPr>
              <w:spacing w:before="240" w:after="120"/>
              <w:rPr>
                <w:rFonts w:cs="Times New Roman"/>
                <w:b/>
                <w:szCs w:val="24"/>
                <w:lang w:val="ru-RU"/>
              </w:rPr>
            </w:pPr>
            <w:r w:rsidRPr="00FD6B73">
              <w:rPr>
                <w:rFonts w:cs="Times New Roman"/>
                <w:b/>
                <w:szCs w:val="24"/>
                <w:lang w:val="ru-RU"/>
              </w:rPr>
              <w:lastRenderedPageBreak/>
              <w:t>Мера 4.</w:t>
            </w:r>
            <w:r w:rsidR="00462EBE" w:rsidRPr="00FD6B73">
              <w:rPr>
                <w:rFonts w:cs="Times New Roman"/>
                <w:b/>
                <w:szCs w:val="24"/>
                <w:lang w:val="ru-RU"/>
              </w:rPr>
              <w:t>1</w:t>
            </w:r>
            <w:r w:rsidR="006F3041" w:rsidRPr="00FD6B73">
              <w:rPr>
                <w:rFonts w:cs="Times New Roman"/>
                <w:b/>
                <w:szCs w:val="24"/>
                <w:lang w:val="ru-RU"/>
              </w:rPr>
              <w:t xml:space="preserve">: </w:t>
            </w:r>
            <w:r w:rsidR="006F3041" w:rsidRPr="00FD6B73">
              <w:rPr>
                <w:rFonts w:cs="Times New Roman"/>
                <w:lang w:val="ru-RU"/>
              </w:rPr>
              <w:t xml:space="preserve">Унапређење сарадње </w:t>
            </w:r>
            <w:r w:rsidR="00842558" w:rsidRPr="00FD6B73">
              <w:rPr>
                <w:rFonts w:cs="Times New Roman"/>
                <w:lang w:val="ru-RU"/>
              </w:rPr>
              <w:t xml:space="preserve">са </w:t>
            </w:r>
            <w:r w:rsidR="00F53BC0" w:rsidRPr="00FD6B73">
              <w:rPr>
                <w:rFonts w:cs="Times New Roman"/>
                <w:lang w:val="ru-RU"/>
              </w:rPr>
              <w:t>МРМКС</w:t>
            </w:r>
            <w:r w:rsidR="00842558" w:rsidRPr="00FD6B73">
              <w:rPr>
                <w:rFonts w:cs="Times New Roman"/>
                <w:lang w:val="ru-RU"/>
              </w:rPr>
              <w:t xml:space="preserve"> </w:t>
            </w:r>
            <w:r w:rsidR="006F3041" w:rsidRPr="00FD6B73">
              <w:rPr>
                <w:rFonts w:cs="Times New Roman"/>
                <w:lang w:val="ru-RU"/>
              </w:rPr>
              <w:t>кроз организовање обука</w:t>
            </w:r>
            <w:r w:rsidR="00096A8E" w:rsidRPr="00FD6B73">
              <w:rPr>
                <w:rFonts w:cs="Times New Roman"/>
                <w:lang w:val="ru-RU"/>
              </w:rPr>
              <w:t xml:space="preserve">, односно </w:t>
            </w:r>
            <w:r w:rsidR="006F3041" w:rsidRPr="00FD6B73">
              <w:rPr>
                <w:rFonts w:cs="Times New Roman"/>
                <w:lang w:val="ru-RU"/>
              </w:rPr>
              <w:t xml:space="preserve">стручно усавршавање уз подршку МРМКС, између осталог и на тему сексуалног насиља као облика извршења кривичних дела из надлежности </w:t>
            </w:r>
            <w:r w:rsidR="00F53BC0">
              <w:rPr>
                <w:rFonts w:cs="Times New Roman"/>
                <w:lang w:val="ru-RU"/>
              </w:rPr>
              <w:t>ТРЗ</w:t>
            </w:r>
            <w:r w:rsidR="00096A8E" w:rsidRPr="00FD6B73">
              <w:rPr>
                <w:rFonts w:cs="Times New Roman"/>
                <w:lang w:val="ru-RU"/>
              </w:rPr>
              <w:t>.</w:t>
            </w:r>
            <w:r w:rsidR="00F53BC0">
              <w:rPr>
                <w:rFonts w:cs="Times New Roman"/>
                <w:lang w:val="ru-RU"/>
              </w:rPr>
              <w:t xml:space="preserve"> </w:t>
            </w:r>
          </w:p>
        </w:tc>
      </w:tr>
      <w:tr w:rsidR="00ED78F7" w:rsidRPr="00627105" w14:paraId="5FF7C541" w14:textId="77777777" w:rsidTr="00842558">
        <w:trPr>
          <w:trHeight w:val="620"/>
        </w:trPr>
        <w:tc>
          <w:tcPr>
            <w:tcW w:w="9350" w:type="dxa"/>
          </w:tcPr>
          <w:p w14:paraId="729BD999" w14:textId="46B4F349" w:rsidR="00E30DC4" w:rsidRPr="00FD6B73" w:rsidRDefault="00ED78F7" w:rsidP="001A0A94">
            <w:pPr>
              <w:spacing w:before="240" w:after="120"/>
              <w:rPr>
                <w:rFonts w:cs="Times New Roman"/>
                <w:lang w:val="ru-RU"/>
              </w:rPr>
            </w:pPr>
            <w:r w:rsidRPr="00FD6B73">
              <w:rPr>
                <w:rFonts w:cs="Times New Roman"/>
                <w:b/>
                <w:szCs w:val="24"/>
                <w:lang w:val="ru-RU"/>
              </w:rPr>
              <w:t>Мера 4.</w:t>
            </w:r>
            <w:r w:rsidR="00114DF7" w:rsidRPr="00FD6B73">
              <w:rPr>
                <w:rFonts w:cs="Times New Roman"/>
                <w:b/>
                <w:szCs w:val="24"/>
                <w:lang w:val="ru-RU"/>
              </w:rPr>
              <w:t>2</w:t>
            </w:r>
            <w:r w:rsidR="00E30DC4" w:rsidRPr="00FD6B73">
              <w:rPr>
                <w:rFonts w:cs="Times New Roman"/>
                <w:b/>
                <w:szCs w:val="24"/>
                <w:lang w:val="ru-RU"/>
              </w:rPr>
              <w:t>:</w:t>
            </w:r>
            <w:r w:rsidR="005E2CE0">
              <w:rPr>
                <w:rFonts w:cs="Times New Roman"/>
                <w:b/>
                <w:szCs w:val="24"/>
                <w:lang w:val="ru-RU"/>
              </w:rPr>
              <w:t xml:space="preserve"> </w:t>
            </w:r>
            <w:r w:rsidR="006F3041" w:rsidRPr="00FD6B73">
              <w:rPr>
                <w:rFonts w:cs="Times New Roman"/>
                <w:lang w:val="ru-RU"/>
              </w:rPr>
              <w:t xml:space="preserve">Одржавање континуитета у размени захтева за помоћ са </w:t>
            </w:r>
            <w:r w:rsidR="00C15136" w:rsidRPr="00FD6B73">
              <w:rPr>
                <w:rFonts w:cs="Times New Roman"/>
                <w:lang w:val="ru-RU"/>
              </w:rPr>
              <w:t>МРМКС</w:t>
            </w:r>
            <w:r w:rsidR="006F3041" w:rsidRPr="00FD6B73">
              <w:rPr>
                <w:rFonts w:cs="Times New Roman"/>
                <w:lang w:val="ru-RU"/>
              </w:rPr>
              <w:t xml:space="preserve"> кроз наставак пројекта ЕУ „Национални тужиоци у посети</w:t>
            </w:r>
            <w:r w:rsidR="00586C7D">
              <w:rPr>
                <w:rFonts w:cs="Times New Roman"/>
                <w:lang w:val="ru-RU"/>
              </w:rPr>
              <w:t>ˮ</w:t>
            </w:r>
            <w:r w:rsidR="006F3041" w:rsidRPr="00FD6B73">
              <w:rPr>
                <w:rFonts w:cs="Times New Roman"/>
                <w:lang w:val="ru-RU"/>
              </w:rPr>
              <w:t xml:space="preserve"> </w:t>
            </w:r>
            <w:r w:rsidR="00F53BC0">
              <w:rPr>
                <w:rFonts w:cs="Times New Roman"/>
                <w:lang w:val="ru-RU"/>
              </w:rPr>
              <w:t xml:space="preserve">преко </w:t>
            </w:r>
            <w:r w:rsidR="006F3041" w:rsidRPr="00FD6B73">
              <w:rPr>
                <w:rFonts w:cs="Times New Roman"/>
                <w:lang w:val="ru-RU"/>
              </w:rPr>
              <w:t>официра за везу</w:t>
            </w:r>
            <w:r w:rsidR="001A0A94" w:rsidRPr="00FD6B73">
              <w:rPr>
                <w:rFonts w:cs="Times New Roman"/>
                <w:lang w:val="ru-RU"/>
              </w:rPr>
              <w:t>.</w:t>
            </w:r>
          </w:p>
        </w:tc>
      </w:tr>
      <w:tr w:rsidR="00ED78F7" w:rsidRPr="00627105" w14:paraId="12358816" w14:textId="77777777" w:rsidTr="00842558">
        <w:trPr>
          <w:trHeight w:val="620"/>
        </w:trPr>
        <w:tc>
          <w:tcPr>
            <w:tcW w:w="9350" w:type="dxa"/>
          </w:tcPr>
          <w:p w14:paraId="3F57466D" w14:textId="2992C884" w:rsidR="00E30DC4" w:rsidRPr="00FD6B73" w:rsidRDefault="00ED78F7" w:rsidP="00E32577">
            <w:pPr>
              <w:spacing w:before="240" w:after="120"/>
              <w:rPr>
                <w:rFonts w:cs="Times New Roman"/>
                <w:lang w:val="ru-RU"/>
              </w:rPr>
            </w:pPr>
            <w:r w:rsidRPr="00FD6B73">
              <w:rPr>
                <w:rFonts w:cs="Times New Roman"/>
                <w:b/>
                <w:szCs w:val="24"/>
                <w:lang w:val="ru-RU"/>
              </w:rPr>
              <w:t>Мера 4.</w:t>
            </w:r>
            <w:r w:rsidR="00114DF7" w:rsidRPr="00FD6B73">
              <w:rPr>
                <w:rFonts w:cs="Times New Roman"/>
                <w:b/>
                <w:szCs w:val="24"/>
                <w:lang w:val="ru-RU"/>
              </w:rPr>
              <w:t>3</w:t>
            </w:r>
            <w:r w:rsidR="00E30DC4" w:rsidRPr="00FD6B73">
              <w:rPr>
                <w:rFonts w:cs="Times New Roman"/>
                <w:b/>
                <w:szCs w:val="24"/>
                <w:lang w:val="ru-RU"/>
              </w:rPr>
              <w:t>:</w:t>
            </w:r>
            <w:r w:rsidR="005E2CE0">
              <w:rPr>
                <w:rFonts w:cs="Times New Roman"/>
                <w:b/>
                <w:szCs w:val="24"/>
                <w:lang w:val="ru-RU"/>
              </w:rPr>
              <w:t xml:space="preserve"> </w:t>
            </w:r>
            <w:r w:rsidR="006F3041" w:rsidRPr="00FD6B73">
              <w:rPr>
                <w:rFonts w:cs="Times New Roman"/>
                <w:lang w:val="ru-RU"/>
              </w:rPr>
              <w:t xml:space="preserve">Олакшавање приступа документацији којом располаже </w:t>
            </w:r>
            <w:r w:rsidR="00F53BC0" w:rsidRPr="00FD6B73">
              <w:rPr>
                <w:bCs/>
                <w:szCs w:val="24"/>
                <w:lang w:val="ru-RU"/>
              </w:rPr>
              <w:t>МРМКС</w:t>
            </w:r>
            <w:r w:rsidR="006F3041" w:rsidRPr="00FD6B73">
              <w:rPr>
                <w:rFonts w:cs="Times New Roman"/>
                <w:lang w:val="ru-RU"/>
              </w:rPr>
              <w:t>, а која није обелодањена током досадашњих поступака вођеним пред МК</w:t>
            </w:r>
            <w:r w:rsidR="00E32577">
              <w:rPr>
                <w:rFonts w:cs="Times New Roman"/>
                <w:lang w:val="ru-RU"/>
              </w:rPr>
              <w:t>Т</w:t>
            </w:r>
            <w:r w:rsidR="00F53BC0">
              <w:rPr>
                <w:rFonts w:cs="Times New Roman"/>
                <w:lang w:val="ru-RU"/>
              </w:rPr>
              <w:t>Ј/</w:t>
            </w:r>
            <w:r w:rsidR="006F3041" w:rsidRPr="00FD6B73">
              <w:rPr>
                <w:rFonts w:cs="Times New Roman"/>
                <w:lang w:val="ru-RU"/>
              </w:rPr>
              <w:t>МРМК</w:t>
            </w:r>
            <w:r w:rsidR="001A0A94" w:rsidRPr="00FD6B73">
              <w:rPr>
                <w:rFonts w:cs="Times New Roman"/>
                <w:lang w:val="ru-RU"/>
              </w:rPr>
              <w:t>С</w:t>
            </w:r>
            <w:r w:rsidR="005E2CE0">
              <w:rPr>
                <w:rFonts w:cs="Times New Roman"/>
                <w:lang w:val="ru-RU"/>
              </w:rPr>
              <w:t xml:space="preserve"> </w:t>
            </w:r>
            <w:r w:rsidR="00440EA2" w:rsidRPr="00FD6B73">
              <w:rPr>
                <w:rFonts w:cs="Times New Roman"/>
                <w:szCs w:val="24"/>
                <w:lang w:val="ru-RU"/>
              </w:rPr>
              <w:t>и унапређено поступање са преузетим подацима</w:t>
            </w:r>
            <w:r w:rsidR="006F3041" w:rsidRPr="00FD6B73">
              <w:rPr>
                <w:rFonts w:cs="Times New Roman"/>
                <w:szCs w:val="24"/>
                <w:lang w:val="ru-RU"/>
              </w:rPr>
              <w:t>.</w:t>
            </w:r>
            <w:r w:rsidR="00F53BC0">
              <w:rPr>
                <w:rFonts w:cs="Times New Roman"/>
                <w:szCs w:val="24"/>
                <w:lang w:val="ru-RU"/>
              </w:rPr>
              <w:t xml:space="preserve"> </w:t>
            </w:r>
          </w:p>
        </w:tc>
      </w:tr>
      <w:tr w:rsidR="009E4647" w:rsidRPr="00532B2C" w14:paraId="6B9384FF" w14:textId="77777777" w:rsidTr="00842558">
        <w:trPr>
          <w:trHeight w:val="620"/>
        </w:trPr>
        <w:tc>
          <w:tcPr>
            <w:tcW w:w="9350" w:type="dxa"/>
          </w:tcPr>
          <w:p w14:paraId="2AB26838" w14:textId="77777777" w:rsidR="00280AFB" w:rsidRPr="00FD6B73" w:rsidRDefault="009E4647" w:rsidP="001F4974">
            <w:pPr>
              <w:pStyle w:val="CommentText"/>
              <w:spacing w:before="240"/>
              <w:rPr>
                <w:bCs/>
                <w:sz w:val="24"/>
                <w:szCs w:val="24"/>
                <w:lang w:val="ru-RU"/>
              </w:rPr>
            </w:pPr>
            <w:r w:rsidRPr="00FD6B73">
              <w:rPr>
                <w:b/>
                <w:sz w:val="24"/>
                <w:szCs w:val="24"/>
                <w:lang w:val="ru-RU"/>
              </w:rPr>
              <w:t>Мера 4.</w:t>
            </w:r>
            <w:r w:rsidR="00114DF7" w:rsidRPr="00FD6B73">
              <w:rPr>
                <w:b/>
                <w:sz w:val="24"/>
                <w:szCs w:val="24"/>
                <w:lang w:val="ru-RU"/>
              </w:rPr>
              <w:t>4</w:t>
            </w:r>
            <w:r w:rsidRPr="00FD6B73">
              <w:rPr>
                <w:b/>
                <w:sz w:val="24"/>
                <w:szCs w:val="24"/>
                <w:lang w:val="ru-RU"/>
              </w:rPr>
              <w:t xml:space="preserve">: </w:t>
            </w:r>
            <w:r w:rsidR="00280AFB" w:rsidRPr="00FD6B73">
              <w:rPr>
                <w:sz w:val="24"/>
                <w:szCs w:val="24"/>
                <w:lang w:val="ru-RU"/>
              </w:rPr>
              <w:t>Са циљем</w:t>
            </w:r>
            <w:r w:rsidR="00280AFB" w:rsidRPr="00FD6B73">
              <w:rPr>
                <w:bCs/>
                <w:sz w:val="24"/>
                <w:szCs w:val="24"/>
                <w:lang w:val="ru-RU"/>
              </w:rPr>
              <w:t xml:space="preserve"> бољег и квалитетнијег обезбеђења и рада са документацијом и доказима који су достављени од МРМКС, радити на унапређењу просторних капацитета, хардверске и софтверске опреме за поступање са том документацијом.</w:t>
            </w:r>
          </w:p>
          <w:p w14:paraId="1954F6FA" w14:textId="77777777" w:rsidR="009E4647" w:rsidRPr="009E4647" w:rsidRDefault="009E4647" w:rsidP="009E4647">
            <w:pPr>
              <w:spacing w:after="120"/>
              <w:rPr>
                <w:b/>
              </w:rPr>
            </w:pPr>
            <w:r w:rsidRPr="00B249F1">
              <w:rPr>
                <w:rFonts w:cs="Times New Roman"/>
                <w:bCs/>
                <w:szCs w:val="24"/>
              </w:rPr>
              <w:t>.</w:t>
            </w:r>
          </w:p>
        </w:tc>
      </w:tr>
    </w:tbl>
    <w:p w14:paraId="156222F9" w14:textId="77777777" w:rsidR="00343FB5" w:rsidRPr="00CD46D4" w:rsidRDefault="00343FB5" w:rsidP="00F10AC7">
      <w:pPr>
        <w:spacing w:line="240" w:lineRule="auto"/>
        <w:rPr>
          <w:rFonts w:cs="Times New Roman"/>
        </w:rPr>
      </w:pPr>
    </w:p>
    <w:p w14:paraId="70E47981" w14:textId="304BD84B" w:rsidR="007F714A" w:rsidRPr="00FD6B73" w:rsidRDefault="007F714A" w:rsidP="00F10AC7">
      <w:pPr>
        <w:pStyle w:val="Heading2"/>
        <w:numPr>
          <w:ilvl w:val="1"/>
          <w:numId w:val="1"/>
        </w:numPr>
        <w:spacing w:line="240" w:lineRule="auto"/>
        <w:rPr>
          <w:rFonts w:cs="Times New Roman"/>
          <w:lang w:val="ru-RU"/>
        </w:rPr>
      </w:pPr>
      <w:bookmarkStart w:id="75" w:name="_Toc72932083"/>
      <w:bookmarkStart w:id="76" w:name="_Toc84580790"/>
      <w:r w:rsidRPr="00FD6B73">
        <w:rPr>
          <w:rFonts w:cs="Times New Roman"/>
          <w:lang w:val="ru-RU"/>
        </w:rPr>
        <w:t>Посебни циљ 5:</w:t>
      </w:r>
      <w:r w:rsidR="005E2CE0">
        <w:rPr>
          <w:rFonts w:cs="Times New Roman"/>
          <w:lang w:val="ru-RU"/>
        </w:rPr>
        <w:t xml:space="preserve"> </w:t>
      </w:r>
      <w:r w:rsidR="0003220D" w:rsidRPr="00FD6B73">
        <w:rPr>
          <w:rFonts w:cs="Times New Roman"/>
          <w:bCs/>
          <w:iCs/>
          <w:lang w:val="ru-RU"/>
        </w:rPr>
        <w:t>Унапређење регионалне и шире међународне сарадње и других механизама у служби транзиционе правде</w:t>
      </w:r>
      <w:bookmarkEnd w:id="75"/>
      <w:bookmarkEnd w:id="76"/>
    </w:p>
    <w:p w14:paraId="08163BE8" w14:textId="77777777" w:rsidR="002F7B39" w:rsidRPr="00FD6B73" w:rsidRDefault="002F7B39" w:rsidP="00F10AC7">
      <w:pPr>
        <w:spacing w:line="240" w:lineRule="auto"/>
        <w:rPr>
          <w:rFonts w:cs="Times New Roman"/>
          <w:lang w:val="ru-RU"/>
        </w:rPr>
      </w:pPr>
    </w:p>
    <w:tbl>
      <w:tblPr>
        <w:tblStyle w:val="TableGrid"/>
        <w:tblW w:w="0" w:type="auto"/>
        <w:tblLook w:val="04A0" w:firstRow="1" w:lastRow="0" w:firstColumn="1" w:lastColumn="0" w:noHBand="0" w:noVBand="1"/>
      </w:tblPr>
      <w:tblGrid>
        <w:gridCol w:w="9350"/>
      </w:tblGrid>
      <w:tr w:rsidR="002F7B39" w:rsidRPr="00627105" w14:paraId="51BBD3A0" w14:textId="77777777" w:rsidTr="009207A7">
        <w:tc>
          <w:tcPr>
            <w:tcW w:w="9350" w:type="dxa"/>
            <w:shd w:val="clear" w:color="auto" w:fill="E7E6E6" w:themeFill="background2"/>
          </w:tcPr>
          <w:p w14:paraId="5804F870" w14:textId="77777777" w:rsidR="002F7B39" w:rsidRPr="00FD6B73" w:rsidRDefault="002F7B39" w:rsidP="00E233C4">
            <w:pPr>
              <w:spacing w:before="120" w:after="120"/>
              <w:rPr>
                <w:rFonts w:cs="Times New Roman"/>
                <w:b/>
                <w:bCs/>
                <w:szCs w:val="24"/>
                <w:lang w:val="ru-RU"/>
              </w:rPr>
            </w:pPr>
            <w:r w:rsidRPr="00FD6B73">
              <w:rPr>
                <w:rFonts w:cs="Times New Roman"/>
                <w:b/>
                <w:bCs/>
                <w:szCs w:val="24"/>
                <w:lang w:val="ru-RU"/>
              </w:rPr>
              <w:t>Преглед мера за реализацију посебног циља 5</w:t>
            </w:r>
            <w:r w:rsidR="0003220D" w:rsidRPr="00FD6B73">
              <w:rPr>
                <w:rFonts w:cs="Times New Roman"/>
                <w:b/>
                <w:bCs/>
                <w:szCs w:val="24"/>
                <w:lang w:val="ru-RU"/>
              </w:rPr>
              <w:t xml:space="preserve">: </w:t>
            </w:r>
          </w:p>
        </w:tc>
      </w:tr>
      <w:tr w:rsidR="00E30DC4" w:rsidRPr="00627105" w14:paraId="7AB34C29" w14:textId="77777777" w:rsidTr="006163B9">
        <w:trPr>
          <w:trHeight w:val="1205"/>
        </w:trPr>
        <w:tc>
          <w:tcPr>
            <w:tcW w:w="9350" w:type="dxa"/>
          </w:tcPr>
          <w:p w14:paraId="2DB29364" w14:textId="77777777" w:rsidR="00E30DC4" w:rsidRPr="00FD6B73" w:rsidRDefault="00E30DC4" w:rsidP="00F10AC7">
            <w:pPr>
              <w:rPr>
                <w:rFonts w:cs="Times New Roman"/>
                <w:b/>
                <w:szCs w:val="24"/>
                <w:lang w:val="ru-RU"/>
              </w:rPr>
            </w:pPr>
          </w:p>
          <w:p w14:paraId="36CD3D3E" w14:textId="4FED78BA" w:rsidR="00E30DC4" w:rsidRPr="00FD6B73" w:rsidRDefault="00E30DC4" w:rsidP="00F53BC0">
            <w:pPr>
              <w:spacing w:after="120"/>
              <w:rPr>
                <w:rFonts w:cs="Times New Roman"/>
                <w:lang w:val="ru-RU"/>
              </w:rPr>
            </w:pPr>
            <w:r w:rsidRPr="00FD6B73">
              <w:rPr>
                <w:rFonts w:cs="Times New Roman"/>
                <w:b/>
                <w:szCs w:val="24"/>
                <w:lang w:val="ru-RU"/>
              </w:rPr>
              <w:t>Мера</w:t>
            </w:r>
            <w:r w:rsidR="005E2CE0">
              <w:rPr>
                <w:rFonts w:cs="Times New Roman"/>
                <w:b/>
                <w:szCs w:val="24"/>
                <w:lang w:val="ru-RU"/>
              </w:rPr>
              <w:t xml:space="preserve"> </w:t>
            </w:r>
            <w:r w:rsidRPr="00FD6B73">
              <w:rPr>
                <w:rFonts w:cs="Times New Roman"/>
                <w:b/>
                <w:szCs w:val="24"/>
                <w:lang w:val="ru-RU"/>
              </w:rPr>
              <w:t>5.</w:t>
            </w:r>
            <w:r w:rsidR="00676748" w:rsidRPr="00FD6B73">
              <w:rPr>
                <w:rFonts w:cs="Times New Roman"/>
                <w:b/>
                <w:szCs w:val="24"/>
                <w:lang w:val="ru-RU"/>
              </w:rPr>
              <w:t>1</w:t>
            </w:r>
            <w:r w:rsidRPr="00FD6B73">
              <w:rPr>
                <w:rFonts w:cs="Times New Roman"/>
                <w:b/>
                <w:szCs w:val="24"/>
                <w:lang w:val="ru-RU"/>
              </w:rPr>
              <w:t>:</w:t>
            </w:r>
            <w:r w:rsidR="005E2CE0">
              <w:rPr>
                <w:rFonts w:cs="Times New Roman"/>
                <w:b/>
                <w:szCs w:val="24"/>
                <w:lang w:val="ru-RU"/>
              </w:rPr>
              <w:t xml:space="preserve"> </w:t>
            </w:r>
            <w:r w:rsidR="0003722F" w:rsidRPr="00FD6B73">
              <w:rPr>
                <w:rFonts w:cs="Times New Roman"/>
                <w:lang w:val="ru-RU"/>
              </w:rPr>
              <w:t xml:space="preserve">Афирмисање инструмента уступања кривичног гоњења у сарадњи са Тужилаштвом Босне и Херцеговине и Државним одвјетништвом Републике Хрватске у складу са важећим прописима и Тужилачком стратегијом за истрагу и гоњење ратних злочина и Континуирано одржавање регионалне сарадње </w:t>
            </w:r>
            <w:r w:rsidR="00F53BC0">
              <w:rPr>
                <w:rFonts w:cs="Times New Roman"/>
                <w:lang w:val="ru-RU"/>
              </w:rPr>
              <w:t>ТРЗ</w:t>
            </w:r>
            <w:r w:rsidR="0003722F" w:rsidRPr="00FD6B73">
              <w:rPr>
                <w:rFonts w:cs="Times New Roman"/>
                <w:lang w:val="ru-RU"/>
              </w:rPr>
              <w:t xml:space="preserve"> са тужилаштвима у региону који поступају у предметима ратних злочина, уз учешће представника </w:t>
            </w:r>
            <w:r w:rsidR="00F53BC0" w:rsidRPr="00FD6B73">
              <w:rPr>
                <w:bCs/>
                <w:szCs w:val="24"/>
                <w:lang w:val="ru-RU"/>
              </w:rPr>
              <w:t>МРМКС</w:t>
            </w:r>
            <w:r w:rsidR="0003722F" w:rsidRPr="00FD6B73">
              <w:rPr>
                <w:rFonts w:cs="Times New Roman"/>
                <w:lang w:val="ru-RU"/>
              </w:rPr>
              <w:t>, кроз редовно одржавање регионалних конференција попут „Палићког процеса</w:t>
            </w:r>
            <w:r w:rsidR="00586C7D">
              <w:rPr>
                <w:rFonts w:cs="Times New Roman"/>
                <w:lang w:val="ru-RU"/>
              </w:rPr>
              <w:t>ˮ</w:t>
            </w:r>
            <w:r w:rsidR="0003722F" w:rsidRPr="00FD6B73">
              <w:rPr>
                <w:rFonts w:cs="Times New Roman"/>
                <w:lang w:val="ru-RU"/>
              </w:rPr>
              <w:t xml:space="preserve"> и регионалног пројекта „Јачање регионалне сарадње у процесуирању ратних злочина.</w:t>
            </w:r>
            <w:r w:rsidR="00586C7D">
              <w:rPr>
                <w:rFonts w:cs="Times New Roman"/>
                <w:lang w:val="ru-RU"/>
              </w:rPr>
              <w:t>ˮ</w:t>
            </w:r>
          </w:p>
        </w:tc>
      </w:tr>
      <w:tr w:rsidR="00E30DC4" w:rsidRPr="00627105" w14:paraId="3B0622EA" w14:textId="77777777" w:rsidTr="00EF6262">
        <w:trPr>
          <w:trHeight w:val="710"/>
        </w:trPr>
        <w:tc>
          <w:tcPr>
            <w:tcW w:w="9350" w:type="dxa"/>
          </w:tcPr>
          <w:p w14:paraId="4B7DBC87" w14:textId="77777777" w:rsidR="00E30DC4" w:rsidRPr="00FD6B73" w:rsidRDefault="00E30DC4" w:rsidP="00F10AC7">
            <w:pPr>
              <w:rPr>
                <w:rFonts w:cs="Times New Roman"/>
                <w:b/>
                <w:szCs w:val="24"/>
                <w:lang w:val="ru-RU"/>
              </w:rPr>
            </w:pPr>
          </w:p>
          <w:p w14:paraId="31B655CB" w14:textId="2C6DEC58" w:rsidR="00E30DC4" w:rsidRPr="00FD6B73" w:rsidRDefault="00E30DC4" w:rsidP="00F53BC0">
            <w:pPr>
              <w:spacing w:after="120"/>
              <w:rPr>
                <w:rFonts w:cs="Times New Roman"/>
                <w:szCs w:val="24"/>
                <w:lang w:val="ru-RU"/>
              </w:rPr>
            </w:pPr>
            <w:r w:rsidRPr="00FD6B73">
              <w:rPr>
                <w:rFonts w:cs="Times New Roman"/>
                <w:b/>
                <w:szCs w:val="24"/>
                <w:lang w:val="ru-RU"/>
              </w:rPr>
              <w:t>Мера</w:t>
            </w:r>
            <w:r w:rsidR="005E2CE0">
              <w:rPr>
                <w:rFonts w:cs="Times New Roman"/>
                <w:b/>
                <w:szCs w:val="24"/>
                <w:lang w:val="ru-RU"/>
              </w:rPr>
              <w:t xml:space="preserve"> </w:t>
            </w:r>
            <w:r w:rsidRPr="00FD6B73">
              <w:rPr>
                <w:rFonts w:cs="Times New Roman"/>
                <w:b/>
                <w:szCs w:val="24"/>
                <w:lang w:val="ru-RU"/>
              </w:rPr>
              <w:t>5.</w:t>
            </w:r>
            <w:r w:rsidR="00676748" w:rsidRPr="00FD6B73">
              <w:rPr>
                <w:rFonts w:cs="Times New Roman"/>
                <w:b/>
                <w:szCs w:val="24"/>
                <w:lang w:val="ru-RU"/>
              </w:rPr>
              <w:t>2</w:t>
            </w:r>
            <w:r w:rsidRPr="00FD6B73">
              <w:rPr>
                <w:rFonts w:cs="Times New Roman"/>
                <w:b/>
                <w:szCs w:val="24"/>
                <w:lang w:val="ru-RU"/>
              </w:rPr>
              <w:t>:</w:t>
            </w:r>
            <w:r w:rsidR="005E2CE0">
              <w:rPr>
                <w:rFonts w:cs="Times New Roman"/>
                <w:b/>
                <w:szCs w:val="24"/>
                <w:lang w:val="ru-RU"/>
              </w:rPr>
              <w:t xml:space="preserve"> </w:t>
            </w:r>
            <w:r w:rsidR="00EB11DD" w:rsidRPr="00FD6B73">
              <w:rPr>
                <w:rFonts w:cs="Times New Roman"/>
                <w:bCs/>
                <w:szCs w:val="24"/>
                <w:lang w:val="ru-RU"/>
              </w:rPr>
              <w:t>С</w:t>
            </w:r>
            <w:r w:rsidR="003B2CB7" w:rsidRPr="00FD6B73">
              <w:rPr>
                <w:rFonts w:cs="Times New Roman"/>
                <w:bCs/>
                <w:iCs/>
                <w:color w:val="000000"/>
                <w:szCs w:val="24"/>
                <w:lang w:val="ru-RU"/>
              </w:rPr>
              <w:t xml:space="preserve">арадња </w:t>
            </w:r>
            <w:r w:rsidR="00F53BC0">
              <w:rPr>
                <w:rFonts w:cs="Times New Roman"/>
                <w:bCs/>
                <w:iCs/>
                <w:color w:val="000000"/>
                <w:szCs w:val="24"/>
                <w:lang w:val="ru-RU"/>
              </w:rPr>
              <w:t>ТРЗ</w:t>
            </w:r>
            <w:r w:rsidR="00722465" w:rsidRPr="00FD6B73">
              <w:rPr>
                <w:rFonts w:cs="Times New Roman"/>
                <w:bCs/>
                <w:iCs/>
                <w:color w:val="000000"/>
                <w:szCs w:val="24"/>
                <w:lang w:val="ru-RU"/>
              </w:rPr>
              <w:t xml:space="preserve"> </w:t>
            </w:r>
            <w:r w:rsidR="003B2CB7" w:rsidRPr="00FD6B73">
              <w:rPr>
                <w:rFonts w:cs="Times New Roman"/>
                <w:bCs/>
                <w:iCs/>
                <w:color w:val="000000"/>
                <w:szCs w:val="24"/>
                <w:lang w:val="ru-RU"/>
              </w:rPr>
              <w:t xml:space="preserve">са Мисијом европске владавине права на </w:t>
            </w:r>
            <w:r w:rsidR="00F53BC0">
              <w:rPr>
                <w:rFonts w:cs="Times New Roman"/>
                <w:bCs/>
                <w:iCs/>
                <w:color w:val="000000"/>
                <w:szCs w:val="24"/>
                <w:lang w:val="ru-RU"/>
              </w:rPr>
              <w:t xml:space="preserve">АП Косово и Метохија </w:t>
            </w:r>
            <w:r w:rsidR="00EB11DD" w:rsidRPr="00FD6B73">
              <w:rPr>
                <w:rFonts w:cs="Times New Roman"/>
                <w:bCs/>
                <w:iCs/>
                <w:color w:val="000000"/>
                <w:szCs w:val="24"/>
                <w:lang w:val="ru-RU"/>
              </w:rPr>
              <w:t>(</w:t>
            </w:r>
            <w:r w:rsidR="003B2CB7" w:rsidRPr="00FD6B73">
              <w:rPr>
                <w:rFonts w:cs="Times New Roman"/>
                <w:bCs/>
                <w:iCs/>
                <w:color w:val="000000"/>
                <w:szCs w:val="24"/>
                <w:lang w:val="ru-RU"/>
              </w:rPr>
              <w:t>ЕУЛЕКС</w:t>
            </w:r>
            <w:r w:rsidR="00EB11DD" w:rsidRPr="00FD6B73">
              <w:rPr>
                <w:rFonts w:cs="Times New Roman"/>
                <w:bCs/>
                <w:iCs/>
                <w:color w:val="000000"/>
                <w:szCs w:val="24"/>
                <w:lang w:val="ru-RU"/>
              </w:rPr>
              <w:t>)</w:t>
            </w:r>
            <w:r w:rsidR="003B2CB7" w:rsidRPr="00FD6B73">
              <w:rPr>
                <w:rFonts w:cs="Times New Roman"/>
                <w:bCs/>
                <w:iCs/>
                <w:color w:val="000000"/>
                <w:szCs w:val="24"/>
                <w:lang w:val="ru-RU"/>
              </w:rPr>
              <w:t xml:space="preserve"> и Привременим институцијама самоуправе у Приштини</w:t>
            </w:r>
            <w:r w:rsidR="005E2CE0">
              <w:rPr>
                <w:rFonts w:cs="Times New Roman"/>
                <w:bCs/>
                <w:iCs/>
                <w:color w:val="000000"/>
                <w:szCs w:val="24"/>
                <w:lang w:val="ru-RU"/>
              </w:rPr>
              <w:t xml:space="preserve"> </w:t>
            </w:r>
            <w:r w:rsidR="003B2CB7" w:rsidRPr="00FD6B73">
              <w:rPr>
                <w:rFonts w:cs="Times New Roman"/>
                <w:szCs w:val="24"/>
                <w:lang w:val="ru-RU"/>
              </w:rPr>
              <w:t>у складу са Закључком Владе Републике Србије 0</w:t>
            </w:r>
            <w:r w:rsidR="00F53BC0">
              <w:rPr>
                <w:rFonts w:cs="Times New Roman"/>
                <w:szCs w:val="24"/>
                <w:lang w:val="ru-RU"/>
              </w:rPr>
              <w:t xml:space="preserve">5 број 018-1862/2013-1 од 07. марта </w:t>
            </w:r>
            <w:r w:rsidR="003B2CB7" w:rsidRPr="00FD6B73">
              <w:rPr>
                <w:rFonts w:cs="Times New Roman"/>
                <w:szCs w:val="24"/>
                <w:lang w:val="ru-RU"/>
              </w:rPr>
              <w:t>2012. године, којим је усвојен текст Процедура узајамне правне помоћи</w:t>
            </w:r>
            <w:r w:rsidR="00EB11DD" w:rsidRPr="00FD6B73">
              <w:rPr>
                <w:rFonts w:cs="Times New Roman"/>
                <w:szCs w:val="24"/>
                <w:lang w:val="ru-RU"/>
              </w:rPr>
              <w:t>.</w:t>
            </w:r>
          </w:p>
        </w:tc>
      </w:tr>
      <w:tr w:rsidR="00F31510" w:rsidRPr="00627105" w14:paraId="54955201" w14:textId="77777777" w:rsidTr="001772ED">
        <w:trPr>
          <w:trHeight w:val="890"/>
        </w:trPr>
        <w:tc>
          <w:tcPr>
            <w:tcW w:w="9350" w:type="dxa"/>
          </w:tcPr>
          <w:p w14:paraId="75764080" w14:textId="3B02D4F4" w:rsidR="00F31510" w:rsidRPr="00FD6B73" w:rsidRDefault="00F31510" w:rsidP="00F53BC0">
            <w:pPr>
              <w:spacing w:before="240" w:after="120"/>
              <w:rPr>
                <w:rFonts w:cs="Times New Roman"/>
                <w:bCs/>
                <w:szCs w:val="24"/>
                <w:lang w:val="ru-RU"/>
              </w:rPr>
            </w:pPr>
            <w:r w:rsidRPr="00FD6B73">
              <w:rPr>
                <w:rFonts w:cs="Times New Roman"/>
                <w:b/>
                <w:szCs w:val="24"/>
                <w:lang w:val="ru-RU"/>
              </w:rPr>
              <w:t>Мера 5.</w:t>
            </w:r>
            <w:r w:rsidR="00676748" w:rsidRPr="00FD6B73">
              <w:rPr>
                <w:rFonts w:cs="Times New Roman"/>
                <w:b/>
                <w:szCs w:val="24"/>
                <w:lang w:val="ru-RU"/>
              </w:rPr>
              <w:t>3</w:t>
            </w:r>
            <w:r w:rsidRPr="00FD6B73">
              <w:rPr>
                <w:rFonts w:cs="Times New Roman"/>
                <w:b/>
                <w:szCs w:val="24"/>
                <w:lang w:val="ru-RU"/>
              </w:rPr>
              <w:t>:</w:t>
            </w:r>
            <w:r w:rsidRPr="00FD6B73">
              <w:rPr>
                <w:rFonts w:cs="Times New Roman"/>
                <w:bCs/>
                <w:szCs w:val="24"/>
                <w:lang w:val="ru-RU"/>
              </w:rPr>
              <w:t xml:space="preserve"> Унапређење</w:t>
            </w:r>
            <w:r w:rsidR="005E2CE0">
              <w:rPr>
                <w:rFonts w:cs="Times New Roman"/>
                <w:bCs/>
                <w:szCs w:val="24"/>
                <w:lang w:val="ru-RU"/>
              </w:rPr>
              <w:t xml:space="preserve"> </w:t>
            </w:r>
            <w:r w:rsidRPr="00FD6B73">
              <w:rPr>
                <w:rFonts w:cs="Times New Roman"/>
                <w:bCs/>
                <w:szCs w:val="24"/>
                <w:lang w:val="ru-RU"/>
              </w:rPr>
              <w:t>дијалога о реф</w:t>
            </w:r>
            <w:r w:rsidR="001772ED" w:rsidRPr="00FD6B73">
              <w:rPr>
                <w:rFonts w:cs="Times New Roman"/>
                <w:bCs/>
                <w:szCs w:val="24"/>
                <w:lang w:val="ru-RU"/>
              </w:rPr>
              <w:t xml:space="preserve">ормским процесима између институција задужених за спровођење </w:t>
            </w:r>
            <w:r w:rsidR="00F53BC0">
              <w:rPr>
                <w:rFonts w:cs="Times New Roman"/>
                <w:bCs/>
                <w:szCs w:val="24"/>
                <w:lang w:val="ru-RU"/>
              </w:rPr>
              <w:t>ове</w:t>
            </w:r>
            <w:r w:rsidR="001772ED" w:rsidRPr="00FD6B73">
              <w:rPr>
                <w:rFonts w:cs="Times New Roman"/>
                <w:bCs/>
                <w:szCs w:val="24"/>
                <w:lang w:val="ru-RU"/>
              </w:rPr>
              <w:t xml:space="preserve"> стратегије, академске заједнице и организација цивилног друштва</w:t>
            </w:r>
            <w:r w:rsidR="00585EA1" w:rsidRPr="00FD6B73">
              <w:rPr>
                <w:rFonts w:cs="Times New Roman"/>
                <w:bCs/>
                <w:szCs w:val="24"/>
                <w:lang w:val="ru-RU"/>
              </w:rPr>
              <w:t>, како на националном нивоу, тако и кроз регионалну размену искустава у склопу научних и стручних форума.</w:t>
            </w:r>
          </w:p>
        </w:tc>
      </w:tr>
      <w:tr w:rsidR="00FD5CB8" w:rsidRPr="00627105" w14:paraId="32D6F014" w14:textId="77777777" w:rsidTr="00F31510">
        <w:trPr>
          <w:trHeight w:val="710"/>
        </w:trPr>
        <w:tc>
          <w:tcPr>
            <w:tcW w:w="9350" w:type="dxa"/>
          </w:tcPr>
          <w:p w14:paraId="7F77D297" w14:textId="77777777" w:rsidR="00FD5CB8" w:rsidRPr="00FD6B73" w:rsidRDefault="00FD5CB8" w:rsidP="006F1E56">
            <w:pPr>
              <w:spacing w:before="240" w:after="120"/>
              <w:rPr>
                <w:rFonts w:cs="Times New Roman"/>
                <w:b/>
                <w:szCs w:val="24"/>
                <w:lang w:val="ru-RU"/>
              </w:rPr>
            </w:pPr>
            <w:r w:rsidRPr="00FD6B73">
              <w:rPr>
                <w:rFonts w:cs="Times New Roman"/>
                <w:b/>
                <w:szCs w:val="24"/>
                <w:lang w:val="ru-RU"/>
              </w:rPr>
              <w:t>Мера 5.</w:t>
            </w:r>
            <w:r w:rsidR="00676748" w:rsidRPr="00FD6B73">
              <w:rPr>
                <w:rFonts w:cs="Times New Roman"/>
                <w:b/>
                <w:szCs w:val="24"/>
                <w:lang w:val="ru-RU"/>
              </w:rPr>
              <w:t>4</w:t>
            </w:r>
            <w:r w:rsidRPr="00FD6B73">
              <w:rPr>
                <w:rFonts w:cs="Times New Roman"/>
                <w:b/>
                <w:szCs w:val="24"/>
                <w:lang w:val="ru-RU"/>
              </w:rPr>
              <w:t xml:space="preserve">: </w:t>
            </w:r>
            <w:r w:rsidR="00F31510" w:rsidRPr="00FD6B73">
              <w:rPr>
                <w:rFonts w:cs="Times New Roman"/>
                <w:bCs/>
                <w:szCs w:val="24"/>
                <w:lang w:val="ru-RU"/>
              </w:rPr>
              <w:t xml:space="preserve">Унапређење јавног дискурса о суђењима за ратне злочине и важности </w:t>
            </w:r>
            <w:r w:rsidR="00F31510" w:rsidRPr="00FD6B73">
              <w:rPr>
                <w:rFonts w:cs="Times New Roman"/>
                <w:bCs/>
                <w:szCs w:val="24"/>
                <w:lang w:val="ru-RU"/>
              </w:rPr>
              <w:lastRenderedPageBreak/>
              <w:t>унапређења регионалне сарадње у контексту тр</w:t>
            </w:r>
            <w:r w:rsidR="00181387" w:rsidRPr="00FD6B73">
              <w:rPr>
                <w:rFonts w:cs="Times New Roman"/>
                <w:bCs/>
                <w:szCs w:val="24"/>
                <w:lang w:val="ru-RU"/>
              </w:rPr>
              <w:t>а</w:t>
            </w:r>
            <w:r w:rsidR="00F31510" w:rsidRPr="00FD6B73">
              <w:rPr>
                <w:rFonts w:cs="Times New Roman"/>
                <w:bCs/>
                <w:szCs w:val="24"/>
                <w:lang w:val="ru-RU"/>
              </w:rPr>
              <w:t>нзиционе правде.</w:t>
            </w:r>
          </w:p>
        </w:tc>
      </w:tr>
    </w:tbl>
    <w:p w14:paraId="7AC5079A" w14:textId="39A0C859" w:rsidR="00F46068" w:rsidRDefault="00F46068" w:rsidP="00F10AC7">
      <w:pPr>
        <w:spacing w:line="240" w:lineRule="auto"/>
        <w:rPr>
          <w:rFonts w:cs="Times New Roman"/>
          <w:lang w:val="ru-RU"/>
        </w:rPr>
      </w:pPr>
    </w:p>
    <w:p w14:paraId="6832C057" w14:textId="0AA0A584" w:rsidR="00F53BC0" w:rsidRDefault="00F53BC0" w:rsidP="00F10AC7">
      <w:pPr>
        <w:spacing w:line="240" w:lineRule="auto"/>
        <w:rPr>
          <w:rFonts w:cs="Times New Roman"/>
          <w:lang w:val="ru-RU"/>
        </w:rPr>
      </w:pPr>
    </w:p>
    <w:p w14:paraId="4FFA60AA" w14:textId="77777777" w:rsidR="00F53BC0" w:rsidRPr="00FD6B73" w:rsidRDefault="00F53BC0" w:rsidP="00F10AC7">
      <w:pPr>
        <w:spacing w:line="240" w:lineRule="auto"/>
        <w:rPr>
          <w:rFonts w:cs="Times New Roman"/>
          <w:lang w:val="ru-RU"/>
        </w:rPr>
      </w:pPr>
    </w:p>
    <w:p w14:paraId="73C1A510" w14:textId="77777777" w:rsidR="006844E0" w:rsidRPr="00FD6B73" w:rsidRDefault="006844E0" w:rsidP="00F10AC7">
      <w:pPr>
        <w:pStyle w:val="Heading1"/>
        <w:numPr>
          <w:ilvl w:val="0"/>
          <w:numId w:val="1"/>
        </w:numPr>
        <w:spacing w:line="240" w:lineRule="auto"/>
        <w:rPr>
          <w:rFonts w:cs="Times New Roman"/>
          <w:lang w:val="ru-RU"/>
        </w:rPr>
      </w:pPr>
      <w:bookmarkStart w:id="77" w:name="_Toc72932084"/>
      <w:bookmarkStart w:id="78" w:name="_Toc84580791"/>
      <w:r w:rsidRPr="00FD6B73">
        <w:rPr>
          <w:rFonts w:cs="Times New Roman"/>
          <w:lang w:val="ru-RU"/>
        </w:rPr>
        <w:t>МЕХАНИЗАМ ЗА СПРОВОЂЕЊЕ СТРАТЕГИЈЕ И НАЧИН ИЗВЕШТАВАЊА О РЕЗУЛТАТИМА СПРОВОЂЕЊА</w:t>
      </w:r>
      <w:bookmarkEnd w:id="77"/>
      <w:bookmarkEnd w:id="78"/>
    </w:p>
    <w:p w14:paraId="66E65C68" w14:textId="77777777" w:rsidR="00D368EA" w:rsidRPr="00FD6B73" w:rsidRDefault="00D368EA" w:rsidP="00F10AC7">
      <w:pPr>
        <w:spacing w:line="240" w:lineRule="auto"/>
        <w:rPr>
          <w:rFonts w:cs="Times New Roman"/>
          <w:lang w:val="ru-RU"/>
        </w:rPr>
      </w:pPr>
    </w:p>
    <w:p w14:paraId="2E73FCE4" w14:textId="5A49B9A5" w:rsidR="00F46068" w:rsidRPr="00FD6B73" w:rsidRDefault="00F46068" w:rsidP="00F10AC7">
      <w:pPr>
        <w:spacing w:line="240" w:lineRule="auto"/>
        <w:rPr>
          <w:rFonts w:cs="Times New Roman"/>
          <w:szCs w:val="24"/>
          <w:lang w:val="ru-RU"/>
        </w:rPr>
      </w:pPr>
      <w:r w:rsidRPr="00FD6B73">
        <w:rPr>
          <w:rFonts w:cs="Times New Roman"/>
          <w:szCs w:val="24"/>
          <w:lang w:val="ru-RU"/>
        </w:rPr>
        <w:t xml:space="preserve">Праћење и процена успешности спровођења </w:t>
      </w:r>
      <w:r w:rsidR="00F53BC0">
        <w:rPr>
          <w:rFonts w:cs="Times New Roman"/>
          <w:szCs w:val="24"/>
          <w:lang w:val="ru-RU"/>
        </w:rPr>
        <w:t>ове с</w:t>
      </w:r>
      <w:r w:rsidRPr="00FD6B73">
        <w:rPr>
          <w:rFonts w:cs="Times New Roman"/>
          <w:szCs w:val="24"/>
          <w:lang w:val="ru-RU"/>
        </w:rPr>
        <w:t>тратегије</w:t>
      </w:r>
      <w:r w:rsidR="00BB3829" w:rsidRPr="00FD6B73">
        <w:rPr>
          <w:rFonts w:cs="Times New Roman"/>
          <w:szCs w:val="24"/>
          <w:lang w:val="ru-RU"/>
        </w:rPr>
        <w:t>, од</w:t>
      </w:r>
      <w:r w:rsidRPr="00FD6B73">
        <w:rPr>
          <w:rFonts w:cs="Times New Roman"/>
          <w:szCs w:val="24"/>
          <w:lang w:val="ru-RU"/>
        </w:rPr>
        <w:t xml:space="preserve"> великог су значаја за динамику и квалитет спровођења овог стратешког документа и пратећег Акционог плана, као и за благовремено уочавање изазова и предузимање мера за њихово превазилажење.</w:t>
      </w:r>
    </w:p>
    <w:p w14:paraId="32B97B04" w14:textId="72AA0581" w:rsidR="00410FB8" w:rsidRPr="00FD6B73" w:rsidRDefault="00D368EA" w:rsidP="00F10AC7">
      <w:pPr>
        <w:spacing w:after="0" w:line="240" w:lineRule="auto"/>
        <w:rPr>
          <w:rFonts w:cs="Times New Roman"/>
          <w:lang w:val="ru-RU"/>
        </w:rPr>
      </w:pPr>
      <w:r w:rsidRPr="00FD6B73">
        <w:rPr>
          <w:rFonts w:cs="Times New Roman"/>
          <w:lang w:val="ru-RU"/>
        </w:rPr>
        <w:t xml:space="preserve">За </w:t>
      </w:r>
      <w:r w:rsidR="008848F7" w:rsidRPr="00FD6B73">
        <w:rPr>
          <w:rFonts w:cs="Times New Roman"/>
          <w:lang w:val="ru-RU"/>
        </w:rPr>
        <w:t xml:space="preserve">потребе </w:t>
      </w:r>
      <w:r w:rsidRPr="00FD6B73">
        <w:rPr>
          <w:rFonts w:cs="Times New Roman"/>
          <w:lang w:val="ru-RU"/>
        </w:rPr>
        <w:t>праћењ</w:t>
      </w:r>
      <w:r w:rsidR="008848F7" w:rsidRPr="00FD6B73">
        <w:rPr>
          <w:rFonts w:cs="Times New Roman"/>
          <w:lang w:val="ru-RU"/>
        </w:rPr>
        <w:t>а</w:t>
      </w:r>
      <w:r w:rsidRPr="00FD6B73">
        <w:rPr>
          <w:rFonts w:cs="Times New Roman"/>
          <w:lang w:val="ru-RU"/>
        </w:rPr>
        <w:t xml:space="preserve"> спровођења </w:t>
      </w:r>
      <w:r w:rsidR="00F53BC0">
        <w:rPr>
          <w:rFonts w:cs="Times New Roman"/>
          <w:lang w:val="ru-RU"/>
        </w:rPr>
        <w:t>ове стратегије, одлуком Владе,</w:t>
      </w:r>
      <w:r w:rsidRPr="00FD6B73">
        <w:rPr>
          <w:rFonts w:cs="Times New Roman"/>
          <w:lang w:val="ru-RU"/>
        </w:rPr>
        <w:t xml:space="preserve"> образује се радно тело</w:t>
      </w:r>
      <w:r w:rsidR="00F53BC0">
        <w:rPr>
          <w:rFonts w:cs="Times New Roman"/>
          <w:lang w:val="ru-RU"/>
        </w:rPr>
        <w:t xml:space="preserve"> састављено од 13 чланова</w:t>
      </w:r>
      <w:r w:rsidR="006521F8" w:rsidRPr="00FD6B73">
        <w:rPr>
          <w:rFonts w:cs="Times New Roman"/>
          <w:lang w:val="ru-RU"/>
        </w:rPr>
        <w:t>,</w:t>
      </w:r>
      <w:r w:rsidRPr="00FD6B73">
        <w:rPr>
          <w:rFonts w:cs="Times New Roman"/>
          <w:lang w:val="ru-RU"/>
        </w:rPr>
        <w:t xml:space="preserve"> најкасније 30 дана од дана усвајања </w:t>
      </w:r>
      <w:r w:rsidR="00F53BC0">
        <w:rPr>
          <w:rFonts w:cs="Times New Roman"/>
          <w:lang w:val="ru-RU"/>
        </w:rPr>
        <w:t xml:space="preserve">ове стратегије. За чланове </w:t>
      </w:r>
      <w:r w:rsidR="00166498" w:rsidRPr="00FD6B73">
        <w:rPr>
          <w:rFonts w:cs="Times New Roman"/>
          <w:lang w:val="ru-RU"/>
        </w:rPr>
        <w:t xml:space="preserve">радног тела именују се представници: </w:t>
      </w:r>
      <w:r w:rsidR="00F53BC0" w:rsidRPr="00FD6B73">
        <w:rPr>
          <w:rFonts w:cs="Times New Roman"/>
          <w:lang w:val="ru-RU"/>
        </w:rPr>
        <w:t xml:space="preserve">Врховног касационог суда, </w:t>
      </w:r>
      <w:r w:rsidR="00BB3829" w:rsidRPr="00FD6B73">
        <w:rPr>
          <w:rFonts w:cs="Times New Roman"/>
          <w:lang w:val="ru-RU"/>
        </w:rPr>
        <w:t xml:space="preserve">Апелационог суда у Београду, Вишег суда у Београду, </w:t>
      </w:r>
      <w:r w:rsidR="00F53BC0" w:rsidRPr="00FD6B73">
        <w:rPr>
          <w:rFonts w:cs="Times New Roman"/>
          <w:lang w:val="ru-RU"/>
        </w:rPr>
        <w:t>Републичког јавног тужилаштва, Тужилаштва за ратне злочине</w:t>
      </w:r>
      <w:r w:rsidR="00F53BC0">
        <w:rPr>
          <w:rFonts w:cs="Times New Roman"/>
          <w:lang w:val="ru-RU"/>
        </w:rPr>
        <w:t xml:space="preserve">, </w:t>
      </w:r>
      <w:r w:rsidR="00F53BC0" w:rsidRPr="00FD6B73">
        <w:rPr>
          <w:rFonts w:cs="Times New Roman"/>
          <w:lang w:val="ru-RU"/>
        </w:rPr>
        <w:t>Министарства правде, Министарства унутрашњих послова</w:t>
      </w:r>
      <w:r w:rsidR="00F53BC0">
        <w:rPr>
          <w:rFonts w:cs="Times New Roman"/>
          <w:lang w:val="ru-RU"/>
        </w:rPr>
        <w:t xml:space="preserve"> </w:t>
      </w:r>
      <w:r w:rsidR="00F53BC0" w:rsidRPr="00FD6B73">
        <w:rPr>
          <w:rFonts w:cs="Times New Roman"/>
          <w:lang w:val="ru-RU"/>
        </w:rPr>
        <w:t>- Јединице за заштиту</w:t>
      </w:r>
      <w:r w:rsidR="00F53BC0">
        <w:rPr>
          <w:rFonts w:cs="Times New Roman"/>
          <w:lang w:val="ru-RU"/>
        </w:rPr>
        <w:t xml:space="preserve"> сведока</w:t>
      </w:r>
      <w:r w:rsidR="00F53BC0" w:rsidRPr="00FD6B73">
        <w:rPr>
          <w:rFonts w:cs="Times New Roman"/>
          <w:lang w:val="ru-RU"/>
        </w:rPr>
        <w:t>, Министарства унутрашњих послова</w:t>
      </w:r>
      <w:r w:rsidR="00F53BC0">
        <w:rPr>
          <w:rFonts w:cs="Times New Roman"/>
          <w:lang w:val="ru-RU"/>
        </w:rPr>
        <w:t xml:space="preserve"> </w:t>
      </w:r>
      <w:r w:rsidR="00F53BC0" w:rsidRPr="00FD6B73">
        <w:rPr>
          <w:rFonts w:cs="Times New Roman"/>
          <w:lang w:val="ru-RU"/>
        </w:rPr>
        <w:t>-</w:t>
      </w:r>
      <w:r w:rsidR="00F53BC0">
        <w:rPr>
          <w:rFonts w:cs="Times New Roman"/>
          <w:lang w:val="ru-RU"/>
        </w:rPr>
        <w:t xml:space="preserve"> </w:t>
      </w:r>
      <w:r w:rsidR="00F53BC0" w:rsidRPr="00FD6B73">
        <w:rPr>
          <w:rFonts w:cs="Times New Roman"/>
          <w:lang w:val="ru-RU"/>
        </w:rPr>
        <w:t>Службе за откривање ратних злочина,</w:t>
      </w:r>
      <w:r w:rsidR="00F53BC0">
        <w:rPr>
          <w:rFonts w:cs="Times New Roman"/>
          <w:lang w:val="ru-RU"/>
        </w:rPr>
        <w:t xml:space="preserve"> </w:t>
      </w:r>
      <w:r w:rsidR="00F53BC0" w:rsidRPr="00FD6B73">
        <w:rPr>
          <w:rFonts w:cs="Times New Roman"/>
          <w:lang w:val="ru-RU"/>
        </w:rPr>
        <w:t>Министарства за рад, запошљавање, борачка и социјална питања</w:t>
      </w:r>
      <w:r w:rsidR="00F53BC0">
        <w:rPr>
          <w:rFonts w:cs="Times New Roman"/>
          <w:lang w:val="ru-RU"/>
        </w:rPr>
        <w:t>,</w:t>
      </w:r>
      <w:r w:rsidR="00F53BC0" w:rsidRPr="00FD6B73">
        <w:rPr>
          <w:rFonts w:cs="Times New Roman"/>
          <w:lang w:val="ru-RU"/>
        </w:rPr>
        <w:t xml:space="preserve"> Министарства спољних послова, </w:t>
      </w:r>
      <w:r w:rsidR="00BB3829" w:rsidRPr="00FD6B73">
        <w:rPr>
          <w:rFonts w:cs="Times New Roman"/>
          <w:lang w:val="ru-RU"/>
        </w:rPr>
        <w:t xml:space="preserve">Комисије за нестала лица, Правосудне академије, </w:t>
      </w:r>
      <w:r w:rsidR="00E848FE" w:rsidRPr="00FD6B73">
        <w:rPr>
          <w:rFonts w:cs="Times New Roman"/>
          <w:lang w:val="ru-RU"/>
        </w:rPr>
        <w:t xml:space="preserve">и академске заједнице. </w:t>
      </w:r>
      <w:r w:rsidRPr="00FD6B73">
        <w:rPr>
          <w:rFonts w:cs="Times New Roman"/>
          <w:lang w:val="ru-RU"/>
        </w:rPr>
        <w:t xml:space="preserve">При </w:t>
      </w:r>
      <w:r w:rsidR="008919B1">
        <w:rPr>
          <w:rFonts w:cs="Times New Roman"/>
          <w:lang w:val="ru-RU"/>
        </w:rPr>
        <w:t>предлагању</w:t>
      </w:r>
      <w:r w:rsidRPr="00FD6B73">
        <w:rPr>
          <w:rFonts w:cs="Times New Roman"/>
          <w:lang w:val="ru-RU"/>
        </w:rPr>
        <w:t xml:space="preserve"> представника за чланство у радном телу институције ће се старати да они буду по функцији високо позиционирани у организационој структури институције, чиме би се обезбедио ефективни утицај на спровођење </w:t>
      </w:r>
      <w:r w:rsidR="008919B1">
        <w:rPr>
          <w:rFonts w:cs="Times New Roman"/>
          <w:lang w:val="ru-RU"/>
        </w:rPr>
        <w:t>ове с</w:t>
      </w:r>
      <w:r w:rsidR="00181387" w:rsidRPr="00FD6B73">
        <w:rPr>
          <w:rFonts w:cs="Times New Roman"/>
          <w:lang w:val="ru-RU"/>
        </w:rPr>
        <w:t>т</w:t>
      </w:r>
      <w:r w:rsidRPr="00FD6B73">
        <w:rPr>
          <w:rFonts w:cs="Times New Roman"/>
          <w:lang w:val="ru-RU"/>
        </w:rPr>
        <w:t xml:space="preserve">ратегије. Чланови радног тела неће примати накнаду за свој рад. Радно тело ће се састајати најмање четири пута годишње и анализирати резултате спровођења </w:t>
      </w:r>
      <w:r w:rsidR="008919B1">
        <w:rPr>
          <w:rFonts w:cs="Times New Roman"/>
          <w:lang w:val="ru-RU"/>
        </w:rPr>
        <w:t>ове</w:t>
      </w:r>
      <w:r w:rsidRPr="00FD6B73">
        <w:rPr>
          <w:rFonts w:cs="Times New Roman"/>
          <w:lang w:val="ru-RU"/>
        </w:rPr>
        <w:t xml:space="preserve"> стратегије</w:t>
      </w:r>
      <w:r w:rsidR="008919B1">
        <w:rPr>
          <w:rFonts w:cs="Times New Roman"/>
          <w:lang w:val="ru-RU"/>
        </w:rPr>
        <w:t>,</w:t>
      </w:r>
      <w:r w:rsidRPr="00FD6B73">
        <w:rPr>
          <w:rFonts w:cs="Times New Roman"/>
          <w:lang w:val="ru-RU"/>
        </w:rPr>
        <w:t xml:space="preserve"> на основу извештаја свих релевантних институција које учествују у </w:t>
      </w:r>
      <w:r w:rsidR="008919B1">
        <w:rPr>
          <w:rFonts w:cs="Times New Roman"/>
          <w:lang w:val="ru-RU"/>
        </w:rPr>
        <w:t xml:space="preserve">њеном </w:t>
      </w:r>
      <w:r w:rsidRPr="00FD6B73">
        <w:rPr>
          <w:rFonts w:cs="Times New Roman"/>
          <w:lang w:val="ru-RU"/>
        </w:rPr>
        <w:t>спровођењу. Радно тело дефинише закључке и пр</w:t>
      </w:r>
      <w:r w:rsidR="008919B1">
        <w:rPr>
          <w:rFonts w:cs="Times New Roman"/>
          <w:lang w:val="ru-RU"/>
        </w:rPr>
        <w:t>епоруке надлежним институцијама</w:t>
      </w:r>
      <w:r w:rsidRPr="00FD6B73">
        <w:rPr>
          <w:rFonts w:cs="Times New Roman"/>
          <w:lang w:val="ru-RU"/>
        </w:rPr>
        <w:t xml:space="preserve"> и о резултатима спровођења квартално извештава </w:t>
      </w:r>
      <w:r w:rsidR="000D2B26" w:rsidRPr="00FD6B73">
        <w:rPr>
          <w:rFonts w:cs="Times New Roman"/>
          <w:lang w:val="ru-RU"/>
        </w:rPr>
        <w:t>Координационо тело за спровођење Акционог плана за Поглавље 23</w:t>
      </w:r>
      <w:r w:rsidRPr="00FD6B73">
        <w:rPr>
          <w:rFonts w:cs="Times New Roman"/>
          <w:lang w:val="ru-RU"/>
        </w:rPr>
        <w:t xml:space="preserve"> и Владу.</w:t>
      </w:r>
      <w:r w:rsidR="003E7D17" w:rsidRPr="00FD6B73">
        <w:rPr>
          <w:rFonts w:cs="Times New Roman"/>
          <w:lang w:val="ru-RU"/>
        </w:rPr>
        <w:t xml:space="preserve"> Извештаји о споровођењу </w:t>
      </w:r>
      <w:r w:rsidR="008919B1">
        <w:rPr>
          <w:rFonts w:cs="Times New Roman"/>
          <w:lang w:val="ru-RU"/>
        </w:rPr>
        <w:t>ове с</w:t>
      </w:r>
      <w:r w:rsidR="003E7D17" w:rsidRPr="00FD6B73">
        <w:rPr>
          <w:rFonts w:cs="Times New Roman"/>
          <w:lang w:val="ru-RU"/>
        </w:rPr>
        <w:t>тратегије објављују се на интернет стран</w:t>
      </w:r>
      <w:r w:rsidR="008919B1">
        <w:rPr>
          <w:rFonts w:cs="Times New Roman"/>
          <w:lang w:val="ru-RU"/>
        </w:rPr>
        <w:t>ицама</w:t>
      </w:r>
      <w:r w:rsidR="003E7D17" w:rsidRPr="00FD6B73">
        <w:rPr>
          <w:rFonts w:cs="Times New Roman"/>
          <w:lang w:val="ru-RU"/>
        </w:rPr>
        <w:t xml:space="preserve"> Министарства правде и Тужилаштва за ратне злочине.</w:t>
      </w:r>
      <w:r w:rsidRPr="00FD6B73">
        <w:rPr>
          <w:rFonts w:cs="Times New Roman"/>
          <w:lang w:val="ru-RU"/>
        </w:rPr>
        <w:t xml:space="preserve"> Задаци и функционисање радног тела ближе се одређују пословником о раду. Административно-техничку подршку радном телу пружају Министарство правде и Тужилаштво за ратне злочине. Радно тело за праћење спровођења </w:t>
      </w:r>
      <w:r w:rsidR="008919B1">
        <w:rPr>
          <w:rFonts w:cs="Times New Roman"/>
          <w:lang w:val="ru-RU"/>
        </w:rPr>
        <w:t>ове с</w:t>
      </w:r>
      <w:r w:rsidRPr="00FD6B73">
        <w:rPr>
          <w:rFonts w:cs="Times New Roman"/>
          <w:lang w:val="ru-RU"/>
        </w:rPr>
        <w:t xml:space="preserve">тратегије </w:t>
      </w:r>
      <w:r w:rsidR="00CB399A" w:rsidRPr="00FD6B73">
        <w:rPr>
          <w:rFonts w:cs="Times New Roman"/>
          <w:lang w:val="ru-RU"/>
        </w:rPr>
        <w:t xml:space="preserve">по потреби на састанке позива представнике других институција и организација </w:t>
      </w:r>
      <w:r w:rsidRPr="00FD6B73">
        <w:rPr>
          <w:rFonts w:cs="Times New Roman"/>
          <w:lang w:val="ru-RU"/>
        </w:rPr>
        <w:t xml:space="preserve">укључених у процесуирање ратних злочина, праћење поступака за ратне злочине и област транзиционе правде. </w:t>
      </w:r>
    </w:p>
    <w:p w14:paraId="10B1072C" w14:textId="77777777" w:rsidR="007F714A" w:rsidRPr="00FD6B73" w:rsidRDefault="007F714A" w:rsidP="00F10AC7">
      <w:pPr>
        <w:spacing w:line="240" w:lineRule="auto"/>
        <w:rPr>
          <w:rFonts w:cs="Times New Roman"/>
          <w:lang w:val="ru-RU"/>
        </w:rPr>
      </w:pPr>
    </w:p>
    <w:p w14:paraId="726CD7BB" w14:textId="77777777" w:rsidR="0061506D" w:rsidRPr="00FD6B73" w:rsidRDefault="007F714A" w:rsidP="00F10AC7">
      <w:pPr>
        <w:pStyle w:val="Heading1"/>
        <w:numPr>
          <w:ilvl w:val="0"/>
          <w:numId w:val="1"/>
        </w:numPr>
        <w:spacing w:line="240" w:lineRule="auto"/>
        <w:rPr>
          <w:rFonts w:cs="Times New Roman"/>
          <w:lang w:val="ru-RU"/>
        </w:rPr>
      </w:pPr>
      <w:bookmarkStart w:id="79" w:name="_Toc72932085"/>
      <w:bookmarkStart w:id="80" w:name="_Toc84580792"/>
      <w:r w:rsidRPr="00FD6B73">
        <w:rPr>
          <w:rFonts w:cs="Times New Roman"/>
          <w:lang w:val="ru-RU"/>
        </w:rPr>
        <w:t>ИНФОРМАЦИЈЕ О СПРОВЕДЕНИМ КОНСУЛТАЦИЈАМА</w:t>
      </w:r>
      <w:r w:rsidR="0061506D" w:rsidRPr="00FD6B73">
        <w:rPr>
          <w:rFonts w:cs="Times New Roman"/>
          <w:lang w:val="ru-RU"/>
        </w:rPr>
        <w:t xml:space="preserve"> СА ЗАИНТЕРЕСОВАНИМ СТРАНАМА</w:t>
      </w:r>
      <w:bookmarkEnd w:id="79"/>
      <w:bookmarkEnd w:id="80"/>
    </w:p>
    <w:p w14:paraId="549D1C57" w14:textId="77777777" w:rsidR="00652981" w:rsidRPr="00FD6B73" w:rsidRDefault="00652981" w:rsidP="00F10AC7">
      <w:pPr>
        <w:spacing w:line="240" w:lineRule="auto"/>
        <w:rPr>
          <w:rFonts w:cs="Times New Roman"/>
          <w:lang w:val="ru-RU"/>
        </w:rPr>
      </w:pPr>
    </w:p>
    <w:p w14:paraId="2A5515BD" w14:textId="7297F02B" w:rsidR="00F46068" w:rsidRPr="00FD6B73" w:rsidRDefault="00F46068" w:rsidP="00F10AC7">
      <w:pPr>
        <w:pStyle w:val="v2-clan-1"/>
        <w:shd w:val="clear" w:color="auto" w:fill="FFFFFF"/>
        <w:spacing w:before="420" w:after="150"/>
        <w:jc w:val="both"/>
        <w:rPr>
          <w:bCs/>
          <w:color w:val="333333"/>
          <w:lang w:val="ru-RU"/>
        </w:rPr>
      </w:pPr>
      <w:r w:rsidRPr="00FD6B73">
        <w:rPr>
          <w:bCs/>
          <w:lang w:val="ru-RU"/>
        </w:rPr>
        <w:lastRenderedPageBreak/>
        <w:t xml:space="preserve">Руководећи се чланом 77. Закона о државној управи, као и процедурално-методолошким оквиром садржаним у Закону о планском систему Републике Србије, процесу усвајања </w:t>
      </w:r>
      <w:r w:rsidR="008919B1">
        <w:rPr>
          <w:bCs/>
          <w:lang w:val="ru-RU"/>
        </w:rPr>
        <w:t>ове с</w:t>
      </w:r>
      <w:r w:rsidRPr="00FD6B73">
        <w:rPr>
          <w:bCs/>
          <w:lang w:val="ru-RU"/>
        </w:rPr>
        <w:t xml:space="preserve">тратегије претходио је консултативни процес који је укључио све </w:t>
      </w:r>
      <w:r w:rsidRPr="00FD6B73">
        <w:rPr>
          <w:lang w:val="ru-RU"/>
        </w:rPr>
        <w:t xml:space="preserve">институције које имају надлежности у предметној области, </w:t>
      </w:r>
      <w:r w:rsidR="009636E5" w:rsidRPr="00FD6B73">
        <w:rPr>
          <w:lang w:val="ru-RU"/>
        </w:rPr>
        <w:t xml:space="preserve">међународне организације, </w:t>
      </w:r>
      <w:r w:rsidRPr="00FD6B73">
        <w:rPr>
          <w:lang w:val="ru-RU"/>
        </w:rPr>
        <w:t>организације цивилног друштва</w:t>
      </w:r>
      <w:r w:rsidRPr="00CD46D4">
        <w:rPr>
          <w:rStyle w:val="FootnoteReference"/>
        </w:rPr>
        <w:footnoteReference w:id="59"/>
      </w:r>
      <w:r w:rsidRPr="00FD6B73">
        <w:rPr>
          <w:lang w:val="ru-RU"/>
        </w:rPr>
        <w:t xml:space="preserve"> и екстерн</w:t>
      </w:r>
      <w:r w:rsidR="00560403" w:rsidRPr="00FD6B73">
        <w:rPr>
          <w:lang w:val="ru-RU"/>
        </w:rPr>
        <w:t>ог експерта</w:t>
      </w:r>
      <w:r w:rsidRPr="00FD6B73">
        <w:rPr>
          <w:lang w:val="ru-RU"/>
        </w:rPr>
        <w:t xml:space="preserve"> чији је рад подржао </w:t>
      </w:r>
      <w:r w:rsidRPr="00CD46D4">
        <w:t>UNDP</w:t>
      </w:r>
      <w:r w:rsidRPr="00FD6B73">
        <w:rPr>
          <w:lang w:val="ru-RU"/>
        </w:rPr>
        <w:t>.</w:t>
      </w:r>
    </w:p>
    <w:p w14:paraId="1D2FCF3A" w14:textId="39CA3572" w:rsidR="00F46068" w:rsidRPr="00FD6B73" w:rsidRDefault="00F46068" w:rsidP="00F10AC7">
      <w:pPr>
        <w:pStyle w:val="v2-clan-left-1"/>
        <w:shd w:val="clear" w:color="auto" w:fill="FFFFFF"/>
        <w:spacing w:after="150"/>
        <w:jc w:val="both"/>
        <w:rPr>
          <w:bCs/>
          <w:lang w:val="ru-RU"/>
        </w:rPr>
      </w:pPr>
      <w:r w:rsidRPr="00FD6B73">
        <w:rPr>
          <w:bCs/>
          <w:lang w:val="ru-RU"/>
        </w:rPr>
        <w:t xml:space="preserve">Министарство правде обавештавало је јавност путем своје интернет странице </w:t>
      </w:r>
      <w:r w:rsidRPr="00CD46D4">
        <w:rPr>
          <w:bCs/>
        </w:rPr>
        <w:t>o</w:t>
      </w:r>
      <w:r w:rsidRPr="00FD6B73">
        <w:rPr>
          <w:bCs/>
          <w:lang w:val="ru-RU"/>
        </w:rPr>
        <w:t xml:space="preserve"> отпочињању израде </w:t>
      </w:r>
      <w:r w:rsidR="00B364DD" w:rsidRPr="00FD6B73">
        <w:rPr>
          <w:bCs/>
          <w:lang w:val="ru-RU"/>
        </w:rPr>
        <w:t>Н</w:t>
      </w:r>
      <w:r w:rsidRPr="00FD6B73">
        <w:rPr>
          <w:bCs/>
          <w:lang w:val="ru-RU"/>
        </w:rPr>
        <w:t xml:space="preserve">ацрта стратегије; о саставу радне групе; датумима одржавања и закључцима консултативног процеса у оквиру ког се расправљало о радном тексту </w:t>
      </w:r>
      <w:r w:rsidR="008919B1">
        <w:rPr>
          <w:bCs/>
          <w:lang w:val="ru-RU"/>
        </w:rPr>
        <w:t>ове с</w:t>
      </w:r>
      <w:r w:rsidRPr="00FD6B73">
        <w:rPr>
          <w:bCs/>
          <w:lang w:val="ru-RU"/>
        </w:rPr>
        <w:t xml:space="preserve">тратегије и пратећег акционог плана, насталих као резултат одржаних </w:t>
      </w:r>
      <w:r w:rsidR="008919B1">
        <w:rPr>
          <w:bCs/>
          <w:lang w:val="ru-RU"/>
        </w:rPr>
        <w:t>шест</w:t>
      </w:r>
      <w:r w:rsidRPr="00FD6B73">
        <w:rPr>
          <w:bCs/>
          <w:lang w:val="ru-RU"/>
        </w:rPr>
        <w:t xml:space="preserve"> састанака радне групе. </w:t>
      </w:r>
    </w:p>
    <w:p w14:paraId="4E2D9632" w14:textId="0269C807" w:rsidR="00F46068" w:rsidRPr="00FD6B73" w:rsidRDefault="00F46068" w:rsidP="00F10AC7">
      <w:pPr>
        <w:pStyle w:val="v2-clan-left-1"/>
        <w:shd w:val="clear" w:color="auto" w:fill="FFFFFF"/>
        <w:spacing w:after="150"/>
        <w:jc w:val="both"/>
        <w:rPr>
          <w:bCs/>
          <w:lang w:val="ru-RU"/>
        </w:rPr>
      </w:pPr>
      <w:r w:rsidRPr="00FD6B73">
        <w:rPr>
          <w:bCs/>
          <w:lang w:val="ru-RU"/>
        </w:rPr>
        <w:t>Детаљан извештај о консултативном процесу</w:t>
      </w:r>
      <w:r w:rsidR="00B364DD" w:rsidRPr="00FD6B73">
        <w:rPr>
          <w:bCs/>
          <w:lang w:val="ru-RU"/>
        </w:rPr>
        <w:t xml:space="preserve"> спроведеном у период</w:t>
      </w:r>
      <w:r w:rsidR="0019193D" w:rsidRPr="00FD6B73">
        <w:rPr>
          <w:bCs/>
          <w:lang w:val="ru-RU"/>
        </w:rPr>
        <w:t>у</w:t>
      </w:r>
      <w:r w:rsidR="008919B1">
        <w:rPr>
          <w:bCs/>
          <w:lang w:val="ru-RU"/>
        </w:rPr>
        <w:t xml:space="preserve"> од 19. априла 2021. године до </w:t>
      </w:r>
      <w:r w:rsidR="0019193D" w:rsidRPr="00FD6B73">
        <w:rPr>
          <w:bCs/>
          <w:lang w:val="ru-RU"/>
        </w:rPr>
        <w:t xml:space="preserve">7. </w:t>
      </w:r>
      <w:r w:rsidR="00B364DD" w:rsidRPr="00FD6B73">
        <w:rPr>
          <w:bCs/>
          <w:lang w:val="ru-RU"/>
        </w:rPr>
        <w:t>маја 2021. године</w:t>
      </w:r>
      <w:r w:rsidRPr="00FD6B73">
        <w:rPr>
          <w:bCs/>
          <w:lang w:val="ru-RU"/>
        </w:rPr>
        <w:t xml:space="preserve">, са табеларним прегледом пристиглих коментара и описаним степеном и начином њихове имплементације у радни текст, такође су објављени на интернет страници Министарства правде, чиме је консултативни процес у целости, од </w:t>
      </w:r>
      <w:r w:rsidR="008919B1">
        <w:rPr>
          <w:bCs/>
          <w:lang w:val="ru-RU"/>
        </w:rPr>
        <w:t>образовања</w:t>
      </w:r>
      <w:r w:rsidRPr="00FD6B73">
        <w:rPr>
          <w:bCs/>
          <w:lang w:val="ru-RU"/>
        </w:rPr>
        <w:t xml:space="preserve"> радне групе за израду </w:t>
      </w:r>
      <w:r w:rsidR="008919B1">
        <w:rPr>
          <w:bCs/>
          <w:lang w:val="ru-RU"/>
        </w:rPr>
        <w:t>ове с</w:t>
      </w:r>
      <w:r w:rsidRPr="00FD6B73">
        <w:rPr>
          <w:bCs/>
          <w:lang w:val="ru-RU"/>
        </w:rPr>
        <w:t>тратегије, до њеног упућивања у процедуру усвајања, учињен у потпуности транспарентним.</w:t>
      </w:r>
    </w:p>
    <w:p w14:paraId="45E7E9DC" w14:textId="3ED67C80" w:rsidR="00F46068" w:rsidRPr="00FD6B73" w:rsidRDefault="00F46068" w:rsidP="006C2FDE">
      <w:pPr>
        <w:pStyle w:val="v2-clan-left-1"/>
        <w:shd w:val="clear" w:color="auto" w:fill="FFFFFF"/>
        <w:spacing w:before="0" w:beforeAutospacing="0" w:after="0" w:afterAutospacing="0"/>
        <w:jc w:val="both"/>
        <w:rPr>
          <w:bCs/>
          <w:lang w:val="ru-RU"/>
        </w:rPr>
      </w:pPr>
      <w:r w:rsidRPr="00FD6B73">
        <w:rPr>
          <w:bCs/>
          <w:lang w:val="ru-RU"/>
        </w:rPr>
        <w:t>Усвајању ове стратегије претходило је и спровођење јавне расправе, у складу са Пословником Владе.</w:t>
      </w:r>
      <w:r w:rsidR="00B364DD" w:rsidRPr="00FD6B73">
        <w:rPr>
          <w:bCs/>
          <w:lang w:val="ru-RU"/>
        </w:rPr>
        <w:t xml:space="preserve"> Ј</w:t>
      </w:r>
      <w:r w:rsidR="00F7481C" w:rsidRPr="00FD6B73">
        <w:rPr>
          <w:shd w:val="clear" w:color="auto" w:fill="FFFFFF"/>
          <w:lang w:val="ru-RU"/>
        </w:rPr>
        <w:t>авна расправа поводом Националне стратегије за процесуирање ратн</w:t>
      </w:r>
      <w:r w:rsidR="008919B1">
        <w:rPr>
          <w:shd w:val="clear" w:color="auto" w:fill="FFFFFF"/>
          <w:lang w:val="ru-RU"/>
        </w:rPr>
        <w:t>их злочна за период од 2021. до</w:t>
      </w:r>
      <w:r w:rsidR="00F7481C" w:rsidRPr="00FD6B73">
        <w:rPr>
          <w:shd w:val="clear" w:color="auto" w:fill="FFFFFF"/>
          <w:lang w:val="ru-RU"/>
        </w:rPr>
        <w:t xml:space="preserve"> 2026. године трајал</w:t>
      </w:r>
      <w:r w:rsidR="008919B1">
        <w:rPr>
          <w:shd w:val="clear" w:color="auto" w:fill="FFFFFF"/>
          <w:lang w:val="ru-RU"/>
        </w:rPr>
        <w:t xml:space="preserve">а је од </w:t>
      </w:r>
      <w:r w:rsidR="00F7481C" w:rsidRPr="00FD6B73">
        <w:rPr>
          <w:shd w:val="clear" w:color="auto" w:fill="FFFFFF"/>
          <w:lang w:val="ru-RU"/>
        </w:rPr>
        <w:t>4. августа 2021. године до 10. септембра 2021. године. Због опште епидемиолошке ситуације у држави, јавна расправа је одржана у складу са усвојеним Програмом јавне расправе, у форми доставе писаних предлога, сугестија и примедби. У оквиру јавне расправе</w:t>
      </w:r>
      <w:r w:rsidR="008919B1">
        <w:rPr>
          <w:shd w:val="clear" w:color="auto" w:fill="FFFFFF"/>
          <w:lang w:val="ru-RU"/>
        </w:rPr>
        <w:t xml:space="preserve"> одржан је и један округли сто 7. септембра </w:t>
      </w:r>
      <w:r w:rsidR="00F7481C" w:rsidRPr="00FD6B73">
        <w:rPr>
          <w:shd w:val="clear" w:color="auto" w:fill="FFFFFF"/>
          <w:lang w:val="ru-RU"/>
        </w:rPr>
        <w:t>2021. године у Београду. Током јавне расправе, писаним путем је пристигло три дописа са предлозима и сугестијама</w:t>
      </w:r>
      <w:r w:rsidR="0098092C">
        <w:rPr>
          <w:rStyle w:val="FootnoteReference"/>
          <w:shd w:val="clear" w:color="auto" w:fill="FFFFFF"/>
        </w:rPr>
        <w:footnoteReference w:id="60"/>
      </w:r>
      <w:r w:rsidR="00F7481C" w:rsidRPr="00FD6B73">
        <w:rPr>
          <w:shd w:val="clear" w:color="auto" w:fill="FFFFFF"/>
          <w:lang w:val="ru-RU"/>
        </w:rPr>
        <w:t xml:space="preserve">, посредством назначене адресе електронске поште, од којих су све сугестије и примедбе које су доприносиле квалитативном уређивању текста и садржале конкретне предлоге, односно предлоге који могу бити садржани у овом типу планског документа, прихваћене и уврштене у текст </w:t>
      </w:r>
      <w:r w:rsidR="008919B1">
        <w:rPr>
          <w:shd w:val="clear" w:color="auto" w:fill="FFFFFF"/>
          <w:lang w:val="ru-RU"/>
        </w:rPr>
        <w:t>ове стратегије и пратећег А</w:t>
      </w:r>
      <w:r w:rsidR="00F7481C" w:rsidRPr="00FD6B73">
        <w:rPr>
          <w:shd w:val="clear" w:color="auto" w:fill="FFFFFF"/>
          <w:lang w:val="ru-RU"/>
        </w:rPr>
        <w:t>кционог плана.</w:t>
      </w:r>
    </w:p>
    <w:p w14:paraId="6D0373C3" w14:textId="77777777" w:rsidR="006C2FDE" w:rsidRPr="00FD6B73" w:rsidRDefault="006C2FDE" w:rsidP="006C2FDE">
      <w:pPr>
        <w:pStyle w:val="v2-clan-left-1"/>
        <w:shd w:val="clear" w:color="auto" w:fill="FFFFFF"/>
        <w:spacing w:before="0" w:beforeAutospacing="0" w:after="0" w:afterAutospacing="0"/>
        <w:jc w:val="both"/>
        <w:rPr>
          <w:bCs/>
          <w:lang w:val="ru-RU"/>
        </w:rPr>
      </w:pPr>
    </w:p>
    <w:p w14:paraId="387CEDAF" w14:textId="77777777" w:rsidR="0061506D" w:rsidRPr="00FD6B73" w:rsidRDefault="0061506D" w:rsidP="00F10AC7">
      <w:pPr>
        <w:pStyle w:val="Heading1"/>
        <w:numPr>
          <w:ilvl w:val="0"/>
          <w:numId w:val="1"/>
        </w:numPr>
        <w:spacing w:line="240" w:lineRule="auto"/>
        <w:rPr>
          <w:rFonts w:cs="Times New Roman"/>
          <w:lang w:val="ru-RU"/>
        </w:rPr>
      </w:pPr>
      <w:bookmarkStart w:id="81" w:name="_Toc72932086"/>
      <w:bookmarkStart w:id="82" w:name="_Toc84580793"/>
      <w:r w:rsidRPr="00FD6B73">
        <w:rPr>
          <w:rFonts w:cs="Times New Roman"/>
          <w:lang w:val="ru-RU"/>
        </w:rPr>
        <w:t>ПРОЦЕНА ФИНАНСИЈСКИХ СРЕДСТАВА ПОТРЕБНИХ ЗА СПРОВОЂЕЊЕ СТРАТЕГИЈЕ И АНАЛИЗА ФИНАНСИЈСКИХ ЕФЕКАТА</w:t>
      </w:r>
      <w:bookmarkEnd w:id="81"/>
      <w:bookmarkEnd w:id="82"/>
    </w:p>
    <w:p w14:paraId="2BB73781" w14:textId="77777777" w:rsidR="00B364DD" w:rsidRPr="00FD6B73" w:rsidRDefault="00B364DD" w:rsidP="000116AC">
      <w:pPr>
        <w:pStyle w:val="v2-clan-left-1"/>
        <w:shd w:val="clear" w:color="auto" w:fill="FFFFFF"/>
        <w:spacing w:after="150"/>
        <w:jc w:val="both"/>
        <w:rPr>
          <w:bCs/>
          <w:lang w:val="ru-RU"/>
        </w:rPr>
      </w:pPr>
      <w:r w:rsidRPr="00FD6B73">
        <w:rPr>
          <w:bCs/>
          <w:lang w:val="ru-RU"/>
        </w:rPr>
        <w:t>Средства за спровођење ове стратегије обезбеђена су из буџета Републике Србије и донаторских средстава.</w:t>
      </w:r>
    </w:p>
    <w:p w14:paraId="2ED91D0A" w14:textId="2F8C09D6" w:rsidR="005D5A0E" w:rsidRPr="00FD6B73" w:rsidRDefault="005D5A0E" w:rsidP="000116AC">
      <w:pPr>
        <w:pStyle w:val="v2-clan-left-1"/>
        <w:shd w:val="clear" w:color="auto" w:fill="FFFFFF"/>
        <w:spacing w:after="150"/>
        <w:jc w:val="both"/>
        <w:rPr>
          <w:bCs/>
          <w:lang w:val="ru-RU"/>
        </w:rPr>
      </w:pPr>
      <w:r w:rsidRPr="00FD6B73">
        <w:rPr>
          <w:bCs/>
          <w:lang w:val="ru-RU"/>
        </w:rPr>
        <w:lastRenderedPageBreak/>
        <w:t xml:space="preserve">Детаљна процена финансијских средстава потребних за спровођење </w:t>
      </w:r>
      <w:r w:rsidR="008919B1">
        <w:rPr>
          <w:bCs/>
          <w:lang w:val="ru-RU"/>
        </w:rPr>
        <w:t>ове с</w:t>
      </w:r>
      <w:r w:rsidRPr="00FD6B73">
        <w:rPr>
          <w:bCs/>
          <w:lang w:val="ru-RU"/>
        </w:rPr>
        <w:t>тратегије, дата је у оквиру Акционог плана који чини саставни део ове стратегије.</w:t>
      </w:r>
    </w:p>
    <w:p w14:paraId="06843391" w14:textId="4204F1FA" w:rsidR="00741390" w:rsidRPr="00741390" w:rsidRDefault="00741390" w:rsidP="00741390">
      <w:pPr>
        <w:spacing w:line="240" w:lineRule="auto"/>
        <w:rPr>
          <w:rFonts w:eastAsia="Times New Roman" w:cs="Times New Roman"/>
          <w:bCs/>
          <w:szCs w:val="24"/>
          <w:lang w:val="sr-Cyrl-RS"/>
        </w:rPr>
      </w:pPr>
      <w:r w:rsidRPr="00741390">
        <w:rPr>
          <w:rFonts w:eastAsia="Times New Roman" w:cs="Times New Roman"/>
          <w:bCs/>
          <w:szCs w:val="24"/>
          <w:lang w:val="ru-RU"/>
        </w:rPr>
        <w:t xml:space="preserve">За реализацију </w:t>
      </w:r>
      <w:r w:rsidR="008919B1">
        <w:rPr>
          <w:rFonts w:eastAsia="Times New Roman" w:cs="Times New Roman"/>
          <w:bCs/>
          <w:szCs w:val="24"/>
          <w:lang w:val="ru-RU"/>
        </w:rPr>
        <w:t>ове стратегије</w:t>
      </w:r>
      <w:r w:rsidRPr="00741390">
        <w:rPr>
          <w:rFonts w:eastAsia="Times New Roman" w:cs="Times New Roman"/>
          <w:bCs/>
          <w:szCs w:val="24"/>
          <w:lang w:val="ru-RU"/>
        </w:rPr>
        <w:t xml:space="preserve"> (период од 2021. до 2026.  године) потребна средства су процењена у укупном износу од 1.358.234  ЕУР или 159.670.000 РСД, при чему се средства обезбеђују у буџету Републике Србије, као и из донаторских средстава кроз пројекте које реализује УНДП и Мисија ОЕБС-а у Републици Србији. Од укупног процењеног износа потребних средстава, на терет буџета Републике Србије процењено је 1.268.898  ЕУР или 149.168.000  РСД, што је 93,42%, а на терет донаторских средстава 89.335 ЕУР или 10.502.000 РСД, што је 6,58% од укупних средстава. Процењена средства на терет буџета Републике Србије, потребна за спровођење </w:t>
      </w:r>
      <w:r w:rsidR="008919B1">
        <w:rPr>
          <w:rFonts w:eastAsia="Times New Roman" w:cs="Times New Roman"/>
          <w:bCs/>
          <w:szCs w:val="24"/>
          <w:lang w:val="ru-RU"/>
        </w:rPr>
        <w:t>ове с</w:t>
      </w:r>
      <w:r w:rsidRPr="00741390">
        <w:rPr>
          <w:rFonts w:eastAsia="Times New Roman" w:cs="Times New Roman"/>
          <w:bCs/>
          <w:szCs w:val="24"/>
          <w:lang w:val="ru-RU"/>
        </w:rPr>
        <w:t>тратегије у првом трогодишњем периоду, су обезбеђена и планирана у буџету Републике Србије у износу од 484.701  ЕУР или 56.980.000  РСД.</w:t>
      </w:r>
    </w:p>
    <w:p w14:paraId="4FB8994A" w14:textId="543B5B21" w:rsidR="009B67AC" w:rsidRPr="00430F0D" w:rsidRDefault="00430F0D" w:rsidP="00BB359F">
      <w:pPr>
        <w:spacing w:after="0" w:line="240" w:lineRule="auto"/>
        <w:contextualSpacing/>
        <w:rPr>
          <w:rFonts w:cs="Times New Roman"/>
          <w:bCs/>
          <w:szCs w:val="24"/>
          <w:lang w:val="sr-Cyrl-CS"/>
        </w:rPr>
      </w:pPr>
      <w:r w:rsidRPr="00430F0D">
        <w:rPr>
          <w:rFonts w:cs="Times New Roman"/>
          <w:bCs/>
          <w:szCs w:val="24"/>
          <w:lang w:val="sr-Cyrl-CS"/>
        </w:rPr>
        <w:t xml:space="preserve">У 2021. години средства су обезбеђена на разделима носилаца активности Законом о буџету </w:t>
      </w:r>
      <w:r w:rsidR="008919B1">
        <w:rPr>
          <w:rFonts w:cs="Times New Roman"/>
          <w:bCs/>
          <w:szCs w:val="24"/>
          <w:lang w:val="sr-Cyrl-CS"/>
        </w:rPr>
        <w:t>Републике Србије</w:t>
      </w:r>
      <w:r w:rsidRPr="00430F0D">
        <w:rPr>
          <w:rFonts w:cs="Times New Roman"/>
          <w:bCs/>
          <w:szCs w:val="24"/>
          <w:lang w:val="sr-Cyrl-CS"/>
        </w:rPr>
        <w:t xml:space="preserve"> за 2021. годину, док ће у наредним годинама средства за спровођење активности из Акционог плана бити планирана у оквиру лимита које Министарство финансија утврђује за све буџетске кориснике у процесу припреме и доношења Закона о буџету </w:t>
      </w:r>
      <w:r w:rsidR="008919B1">
        <w:rPr>
          <w:rFonts w:cs="Times New Roman"/>
          <w:bCs/>
          <w:szCs w:val="24"/>
          <w:lang w:val="sr-Cyrl-CS"/>
        </w:rPr>
        <w:t>Републике Србије</w:t>
      </w:r>
      <w:r w:rsidRPr="00430F0D">
        <w:rPr>
          <w:rFonts w:cs="Times New Roman"/>
          <w:bCs/>
          <w:szCs w:val="24"/>
          <w:lang w:val="sr-Cyrl-CS"/>
        </w:rPr>
        <w:t>.</w:t>
      </w:r>
    </w:p>
    <w:p w14:paraId="77DD9574" w14:textId="77777777" w:rsidR="00652981" w:rsidRPr="00CD46D4" w:rsidRDefault="00652981" w:rsidP="00F10AC7">
      <w:pPr>
        <w:pStyle w:val="Heading1"/>
        <w:numPr>
          <w:ilvl w:val="0"/>
          <w:numId w:val="1"/>
        </w:numPr>
        <w:spacing w:after="240" w:line="240" w:lineRule="auto"/>
        <w:rPr>
          <w:rFonts w:cs="Times New Roman"/>
        </w:rPr>
      </w:pPr>
      <w:bookmarkStart w:id="83" w:name="_Toc72932087"/>
      <w:bookmarkStart w:id="84" w:name="_Toc84580794"/>
      <w:r w:rsidRPr="00CD46D4">
        <w:rPr>
          <w:rFonts w:cs="Times New Roman"/>
        </w:rPr>
        <w:t>АКЦИОНИ ПЛАН</w:t>
      </w:r>
      <w:bookmarkEnd w:id="83"/>
      <w:bookmarkEnd w:id="84"/>
    </w:p>
    <w:p w14:paraId="0ABB80B9" w14:textId="77777777" w:rsidR="00F46068" w:rsidRPr="00FD6B73" w:rsidRDefault="00F46068" w:rsidP="00F10AC7">
      <w:pPr>
        <w:spacing w:line="240" w:lineRule="auto"/>
        <w:rPr>
          <w:rFonts w:cs="Times New Roman"/>
          <w:szCs w:val="24"/>
          <w:lang w:val="ru-RU"/>
        </w:rPr>
      </w:pPr>
      <w:r w:rsidRPr="00FD6B73">
        <w:rPr>
          <w:rFonts w:cs="Times New Roman"/>
          <w:szCs w:val="24"/>
          <w:lang w:val="ru-RU"/>
        </w:rPr>
        <w:t xml:space="preserve">Влада доноси </w:t>
      </w:r>
      <w:r w:rsidR="00BF1F8B" w:rsidRPr="00FD6B73">
        <w:rPr>
          <w:rFonts w:cs="Times New Roman"/>
          <w:szCs w:val="24"/>
          <w:lang w:val="ru-RU"/>
        </w:rPr>
        <w:t>А</w:t>
      </w:r>
      <w:r w:rsidRPr="00FD6B73">
        <w:rPr>
          <w:rFonts w:cs="Times New Roman"/>
          <w:szCs w:val="24"/>
          <w:lang w:val="ru-RU"/>
        </w:rPr>
        <w:t>кциона план за спровођење ове стратегије.</w:t>
      </w:r>
    </w:p>
    <w:p w14:paraId="5645FD2A" w14:textId="3C1A08E3" w:rsidR="00F46068" w:rsidRPr="00FD6B73" w:rsidRDefault="00F46068" w:rsidP="00F10AC7">
      <w:pPr>
        <w:spacing w:line="240" w:lineRule="auto"/>
        <w:rPr>
          <w:rFonts w:cs="Times New Roman"/>
          <w:szCs w:val="24"/>
          <w:lang w:val="ru-RU"/>
        </w:rPr>
      </w:pPr>
      <w:r w:rsidRPr="00FD6B73">
        <w:rPr>
          <w:rFonts w:cs="Times New Roman"/>
          <w:szCs w:val="24"/>
          <w:lang w:val="ru-RU"/>
        </w:rPr>
        <w:t>Акционим планом се, у складу са циљевима</w:t>
      </w:r>
      <w:r w:rsidR="0007385E" w:rsidRPr="00FD6B73">
        <w:rPr>
          <w:rFonts w:cs="Times New Roman"/>
          <w:szCs w:val="24"/>
          <w:lang w:val="ru-RU"/>
        </w:rPr>
        <w:t xml:space="preserve"> и</w:t>
      </w:r>
      <w:r w:rsidRPr="00FD6B73">
        <w:rPr>
          <w:rFonts w:cs="Times New Roman"/>
          <w:szCs w:val="24"/>
          <w:lang w:val="ru-RU"/>
        </w:rPr>
        <w:t xml:space="preserve"> мерама из </w:t>
      </w:r>
      <w:r w:rsidR="008919B1">
        <w:rPr>
          <w:rFonts w:cs="Times New Roman"/>
          <w:szCs w:val="24"/>
          <w:lang w:val="ru-RU"/>
        </w:rPr>
        <w:t>ове с</w:t>
      </w:r>
      <w:r w:rsidRPr="00FD6B73">
        <w:rPr>
          <w:rFonts w:cs="Times New Roman"/>
          <w:szCs w:val="24"/>
          <w:lang w:val="ru-RU"/>
        </w:rPr>
        <w:t xml:space="preserve">тратегије, дефинишу </w:t>
      </w:r>
      <w:r w:rsidR="0007385E" w:rsidRPr="00FD6B73">
        <w:rPr>
          <w:rFonts w:cs="Times New Roman"/>
          <w:szCs w:val="24"/>
          <w:lang w:val="ru-RU"/>
        </w:rPr>
        <w:t xml:space="preserve">активности кроз које се спроводи свака од мера, </w:t>
      </w:r>
      <w:r w:rsidRPr="00FD6B73">
        <w:rPr>
          <w:rFonts w:cs="Times New Roman"/>
          <w:szCs w:val="24"/>
          <w:lang w:val="ru-RU"/>
        </w:rPr>
        <w:t>одговорне институције и партнери, показатељи резултата (индикатори), рокови</w:t>
      </w:r>
      <w:r w:rsidR="0007385E" w:rsidRPr="00FD6B73">
        <w:rPr>
          <w:rFonts w:cs="Times New Roman"/>
          <w:szCs w:val="24"/>
          <w:lang w:val="ru-RU"/>
        </w:rPr>
        <w:t>,</w:t>
      </w:r>
      <w:r w:rsidRPr="00FD6B73">
        <w:rPr>
          <w:rFonts w:cs="Times New Roman"/>
          <w:szCs w:val="24"/>
          <w:lang w:val="ru-RU"/>
        </w:rPr>
        <w:t xml:space="preserve"> ресурси и њихови извори.</w:t>
      </w:r>
    </w:p>
    <w:p w14:paraId="560E2ACB" w14:textId="6CFDAA55" w:rsidR="00F46068" w:rsidRPr="00FD6B73" w:rsidRDefault="00F46068" w:rsidP="00B249F1">
      <w:pPr>
        <w:spacing w:line="240" w:lineRule="auto"/>
        <w:rPr>
          <w:rFonts w:cs="Times New Roman"/>
          <w:szCs w:val="24"/>
          <w:lang w:val="ru-RU"/>
        </w:rPr>
      </w:pPr>
      <w:r w:rsidRPr="00FD6B73">
        <w:rPr>
          <w:rFonts w:cs="Times New Roman"/>
          <w:szCs w:val="24"/>
          <w:lang w:val="ru-RU"/>
        </w:rPr>
        <w:t xml:space="preserve">Акциони план за примену </w:t>
      </w:r>
      <w:r w:rsidR="008919B1">
        <w:rPr>
          <w:rFonts w:cs="Times New Roman"/>
          <w:szCs w:val="24"/>
          <w:lang w:val="ru-RU"/>
        </w:rPr>
        <w:t>ове с</w:t>
      </w:r>
      <w:r w:rsidRPr="00FD6B73">
        <w:rPr>
          <w:rFonts w:cs="Times New Roman"/>
          <w:szCs w:val="24"/>
          <w:lang w:val="ru-RU"/>
        </w:rPr>
        <w:t>тратегије</w:t>
      </w:r>
      <w:r w:rsidR="008919B1">
        <w:rPr>
          <w:rFonts w:cs="Times New Roman"/>
          <w:szCs w:val="24"/>
          <w:lang w:val="ru-RU"/>
        </w:rPr>
        <w:t xml:space="preserve"> је њен саставни</w:t>
      </w:r>
      <w:r w:rsidRPr="00FD6B73">
        <w:rPr>
          <w:rFonts w:cs="Times New Roman"/>
          <w:szCs w:val="24"/>
          <w:lang w:val="ru-RU"/>
        </w:rPr>
        <w:t xml:space="preserve"> део.</w:t>
      </w:r>
    </w:p>
    <w:p w14:paraId="788C9538" w14:textId="44FD1C27" w:rsidR="006F4F57" w:rsidRPr="00FD6B73" w:rsidRDefault="006F4F57" w:rsidP="00F10AC7">
      <w:pPr>
        <w:spacing w:after="0" w:line="240" w:lineRule="auto"/>
        <w:rPr>
          <w:rFonts w:cs="Times New Roman"/>
          <w:szCs w:val="24"/>
          <w:lang w:val="ru-RU"/>
        </w:rPr>
      </w:pPr>
      <w:r w:rsidRPr="00FD6B73">
        <w:rPr>
          <w:rFonts w:cs="Times New Roman"/>
          <w:szCs w:val="24"/>
          <w:lang w:val="ru-RU"/>
        </w:rPr>
        <w:t xml:space="preserve">Имајући у виду потребу израде детаљне буџетске пројекције за период од </w:t>
      </w:r>
      <w:r w:rsidR="008919B1">
        <w:rPr>
          <w:rFonts w:cs="Times New Roman"/>
          <w:noProof/>
          <w:szCs w:val="28"/>
          <w:lang w:val="ru-RU"/>
        </w:rPr>
        <w:t xml:space="preserve">2024. до </w:t>
      </w:r>
      <w:r w:rsidRPr="00FD6B73">
        <w:rPr>
          <w:rFonts w:cs="Times New Roman"/>
          <w:noProof/>
          <w:szCs w:val="28"/>
          <w:lang w:val="ru-RU"/>
        </w:rPr>
        <w:t>2026. године у другој половини 2023. године биће спроведен процес ажурирања Акционог плана, базиран на резулт</w:t>
      </w:r>
      <w:r w:rsidR="008919B1">
        <w:rPr>
          <w:rFonts w:cs="Times New Roman"/>
          <w:noProof/>
          <w:szCs w:val="28"/>
          <w:lang w:val="ru-RU"/>
        </w:rPr>
        <w:t xml:space="preserve">атима примене у периоду од 2021. до </w:t>
      </w:r>
      <w:r w:rsidRPr="00FD6B73">
        <w:rPr>
          <w:rFonts w:cs="Times New Roman"/>
          <w:noProof/>
          <w:szCs w:val="28"/>
          <w:lang w:val="ru-RU"/>
        </w:rPr>
        <w:t xml:space="preserve">2023. године. </w:t>
      </w:r>
    </w:p>
    <w:p w14:paraId="44457FA0" w14:textId="77777777" w:rsidR="00D368EA" w:rsidRPr="00FD6B73" w:rsidRDefault="00D368EA" w:rsidP="00F10AC7">
      <w:pPr>
        <w:spacing w:line="240" w:lineRule="auto"/>
        <w:rPr>
          <w:rFonts w:cs="Times New Roman"/>
          <w:lang w:val="ru-RU"/>
        </w:rPr>
      </w:pPr>
    </w:p>
    <w:p w14:paraId="393E07C0" w14:textId="77777777" w:rsidR="00D368EA" w:rsidRPr="00CD46D4" w:rsidRDefault="00D368EA" w:rsidP="00F10AC7">
      <w:pPr>
        <w:pStyle w:val="Title"/>
        <w:numPr>
          <w:ilvl w:val="0"/>
          <w:numId w:val="1"/>
        </w:numPr>
        <w:spacing w:line="240" w:lineRule="auto"/>
        <w:rPr>
          <w:rFonts w:cs="Times New Roman"/>
        </w:rPr>
      </w:pPr>
      <w:r w:rsidRPr="00CD46D4">
        <w:rPr>
          <w:rFonts w:cs="Times New Roman"/>
        </w:rPr>
        <w:t>ОБЈАВЉИВАЊЕ</w:t>
      </w:r>
    </w:p>
    <w:p w14:paraId="1BBC1670" w14:textId="77777777" w:rsidR="00D368EA" w:rsidRPr="00CD46D4" w:rsidRDefault="00D368EA" w:rsidP="00F10AC7">
      <w:pPr>
        <w:spacing w:line="240" w:lineRule="auto"/>
        <w:rPr>
          <w:rFonts w:cs="Times New Roman"/>
        </w:rPr>
      </w:pPr>
    </w:p>
    <w:p w14:paraId="19B57752" w14:textId="76CE6DE6" w:rsidR="007F714A" w:rsidRPr="00FD6B73" w:rsidRDefault="007F714A" w:rsidP="00F10AC7">
      <w:pPr>
        <w:spacing w:line="240" w:lineRule="auto"/>
        <w:rPr>
          <w:rFonts w:cs="Times New Roman"/>
          <w:lang w:val="ru-RU"/>
        </w:rPr>
      </w:pPr>
      <w:r w:rsidRPr="00FD6B73">
        <w:rPr>
          <w:rFonts w:cs="Times New Roman"/>
          <w:lang w:val="ru-RU"/>
        </w:rPr>
        <w:t xml:space="preserve">Ову стратегију и </w:t>
      </w:r>
      <w:r w:rsidRPr="00CD46D4">
        <w:rPr>
          <w:rFonts w:cs="Times New Roman"/>
        </w:rPr>
        <w:t>A</w:t>
      </w:r>
      <w:r w:rsidRPr="00FD6B73">
        <w:rPr>
          <w:rFonts w:cs="Times New Roman"/>
          <w:lang w:val="ru-RU"/>
        </w:rPr>
        <w:t>кциони план објавити на интернет страници Владе, на порталу е-Управа и на интернет страници Министарств</w:t>
      </w:r>
      <w:r w:rsidRPr="00CD46D4">
        <w:rPr>
          <w:rFonts w:cs="Times New Roman"/>
        </w:rPr>
        <w:t>a</w:t>
      </w:r>
      <w:r w:rsidRPr="00FD6B73">
        <w:rPr>
          <w:rFonts w:cs="Times New Roman"/>
          <w:lang w:val="ru-RU"/>
        </w:rPr>
        <w:t xml:space="preserve"> правде у року од </w:t>
      </w:r>
      <w:r w:rsidR="006C0827">
        <w:rPr>
          <w:rFonts w:cs="Times New Roman"/>
          <w:lang w:val="sr-Cyrl-RS"/>
        </w:rPr>
        <w:t>седам</w:t>
      </w:r>
      <w:r w:rsidRPr="00FD6B73">
        <w:rPr>
          <w:rFonts w:cs="Times New Roman"/>
          <w:lang w:val="ru-RU"/>
        </w:rPr>
        <w:t xml:space="preserve"> радних дана од дана усвајања Стратегије и </w:t>
      </w:r>
      <w:r w:rsidRPr="00CD46D4">
        <w:rPr>
          <w:rFonts w:cs="Times New Roman"/>
        </w:rPr>
        <w:t>A</w:t>
      </w:r>
      <w:r w:rsidRPr="00FD6B73">
        <w:rPr>
          <w:rFonts w:cs="Times New Roman"/>
          <w:lang w:val="ru-RU"/>
        </w:rPr>
        <w:t>кционог плана.</w:t>
      </w:r>
    </w:p>
    <w:p w14:paraId="61AF33D8" w14:textId="44A3A455" w:rsidR="007F714A" w:rsidRDefault="007F714A" w:rsidP="00F10AC7">
      <w:pPr>
        <w:spacing w:line="240" w:lineRule="auto"/>
        <w:rPr>
          <w:rFonts w:cs="Times New Roman"/>
        </w:rPr>
      </w:pPr>
      <w:r w:rsidRPr="00FD6B73">
        <w:rPr>
          <w:rFonts w:cs="Times New Roman"/>
          <w:lang w:val="ru-RU"/>
        </w:rPr>
        <w:t>Ову стратегију и Акциони план објавити у „Службеном гласнику Републике Србије”.</w:t>
      </w:r>
    </w:p>
    <w:p w14:paraId="54E42B3E" w14:textId="77777777" w:rsidR="0058206D" w:rsidRPr="0058206D" w:rsidRDefault="0058206D" w:rsidP="00F10AC7">
      <w:pPr>
        <w:spacing w:line="240" w:lineRule="auto"/>
        <w:rPr>
          <w:rFonts w:cs="Times New Roman"/>
        </w:rPr>
      </w:pPr>
    </w:p>
    <w:p w14:paraId="49D1B610" w14:textId="77777777" w:rsidR="0058206D" w:rsidRPr="00A00B14" w:rsidRDefault="0058206D" w:rsidP="0058206D">
      <w:pPr>
        <w:spacing w:after="0"/>
        <w:rPr>
          <w:color w:val="000000"/>
          <w:lang w:val="sr-Cyrl-CS"/>
        </w:rPr>
      </w:pPr>
      <w:r w:rsidRPr="00681101">
        <w:rPr>
          <w:color w:val="000000"/>
          <w:lang w:val="sr-Cyrl-CS"/>
        </w:rPr>
        <w:t xml:space="preserve">05 Број: </w:t>
      </w:r>
      <w:r>
        <w:rPr>
          <w:rFonts w:cs="Times New Roman"/>
        </w:rPr>
        <w:t>021-9504/2021</w:t>
      </w:r>
    </w:p>
    <w:p w14:paraId="0D4265BF" w14:textId="138EE9F1" w:rsidR="0058206D" w:rsidRDefault="0058206D" w:rsidP="0058206D">
      <w:pPr>
        <w:spacing w:after="0"/>
        <w:rPr>
          <w:lang w:val="sr-Cyrl-CS"/>
        </w:rPr>
      </w:pPr>
      <w:r w:rsidRPr="00681101">
        <w:rPr>
          <w:lang w:val="sr-Cyrl-CS"/>
        </w:rPr>
        <w:t>У</w:t>
      </w:r>
      <w:r w:rsidRPr="00681101">
        <w:rPr>
          <w:lang w:val="sr-Latn-CS"/>
        </w:rPr>
        <w:t xml:space="preserve"> </w:t>
      </w:r>
      <w:r w:rsidRPr="00681101">
        <w:rPr>
          <w:lang w:val="sr-Cyrl-CS"/>
        </w:rPr>
        <w:t>Београду</w:t>
      </w:r>
      <w:r w:rsidRPr="00681101">
        <w:rPr>
          <w:lang w:val="sr-Latn-CS"/>
        </w:rPr>
        <w:t>,</w:t>
      </w:r>
      <w:r>
        <w:rPr>
          <w:lang w:val="sr-Cyrl-CS"/>
        </w:rPr>
        <w:t xml:space="preserve"> </w:t>
      </w:r>
      <w:r>
        <w:rPr>
          <w:lang w:val="sr-Cyrl-RS"/>
        </w:rPr>
        <w:t>14</w:t>
      </w:r>
      <w:r>
        <w:rPr>
          <w:lang w:val="sr-Latn-RS"/>
        </w:rPr>
        <w:t xml:space="preserve">. </w:t>
      </w:r>
      <w:r>
        <w:rPr>
          <w:lang w:val="sr-Cyrl-RS"/>
        </w:rPr>
        <w:t xml:space="preserve">октобра </w:t>
      </w:r>
      <w:r w:rsidR="002B56D8">
        <w:rPr>
          <w:lang w:val="sr-Latn-CS"/>
        </w:rPr>
        <w:t>2021</w:t>
      </w:r>
      <w:r w:rsidRPr="00681101">
        <w:rPr>
          <w:lang w:val="sr-Latn-CS"/>
        </w:rPr>
        <w:t xml:space="preserve">. </w:t>
      </w:r>
      <w:r w:rsidRPr="00681101">
        <w:rPr>
          <w:lang w:val="sr-Cyrl-CS"/>
        </w:rPr>
        <w:t>године</w:t>
      </w:r>
    </w:p>
    <w:p w14:paraId="1378844A" w14:textId="77777777" w:rsidR="00B9553D" w:rsidRPr="00681101" w:rsidRDefault="00B9553D" w:rsidP="0058206D">
      <w:pPr>
        <w:spacing w:after="0"/>
        <w:rPr>
          <w:lang w:val="sr-Latn-CS"/>
        </w:rPr>
      </w:pPr>
    </w:p>
    <w:p w14:paraId="4746135F" w14:textId="77777777" w:rsidR="0058206D" w:rsidRPr="00681101" w:rsidRDefault="0058206D" w:rsidP="0058206D">
      <w:pPr>
        <w:pStyle w:val="1tekst"/>
        <w:spacing w:before="0" w:after="0"/>
        <w:ind w:hanging="26"/>
        <w:jc w:val="center"/>
        <w:rPr>
          <w:spacing w:val="40"/>
          <w:szCs w:val="24"/>
          <w:lang w:val="sr-Cyrl-CS"/>
        </w:rPr>
      </w:pPr>
      <w:r w:rsidRPr="00681101">
        <w:rPr>
          <w:spacing w:val="40"/>
          <w:szCs w:val="24"/>
          <w:lang w:val="sr-Cyrl-CS"/>
        </w:rPr>
        <w:t>В</w:t>
      </w:r>
      <w:r w:rsidRPr="00681101">
        <w:rPr>
          <w:spacing w:val="40"/>
          <w:szCs w:val="24"/>
          <w:lang w:val="sr-Latn-CS"/>
        </w:rPr>
        <w:t xml:space="preserve"> </w:t>
      </w:r>
      <w:r w:rsidRPr="00681101">
        <w:rPr>
          <w:spacing w:val="40"/>
          <w:szCs w:val="24"/>
          <w:lang w:val="sr-Cyrl-CS"/>
        </w:rPr>
        <w:t>Л</w:t>
      </w:r>
      <w:r w:rsidRPr="00681101">
        <w:rPr>
          <w:spacing w:val="40"/>
          <w:szCs w:val="24"/>
          <w:lang w:val="sr-Latn-CS"/>
        </w:rPr>
        <w:t xml:space="preserve"> </w:t>
      </w:r>
      <w:r w:rsidRPr="00681101">
        <w:rPr>
          <w:spacing w:val="40"/>
          <w:szCs w:val="24"/>
          <w:lang w:val="sr-Cyrl-CS"/>
        </w:rPr>
        <w:t>А</w:t>
      </w:r>
      <w:r w:rsidRPr="00681101">
        <w:rPr>
          <w:spacing w:val="40"/>
          <w:szCs w:val="24"/>
          <w:lang w:val="sr-Latn-CS"/>
        </w:rPr>
        <w:t xml:space="preserve"> </w:t>
      </w:r>
      <w:r w:rsidRPr="00681101">
        <w:rPr>
          <w:spacing w:val="40"/>
          <w:szCs w:val="24"/>
          <w:lang w:val="sr-Cyrl-CS"/>
        </w:rPr>
        <w:t>Д</w:t>
      </w:r>
      <w:r w:rsidRPr="00681101">
        <w:rPr>
          <w:spacing w:val="40"/>
          <w:szCs w:val="24"/>
          <w:lang w:val="sr-Latn-CS"/>
        </w:rPr>
        <w:t xml:space="preserve"> </w:t>
      </w:r>
      <w:r w:rsidRPr="00681101">
        <w:rPr>
          <w:spacing w:val="40"/>
          <w:szCs w:val="24"/>
          <w:lang w:val="sr-Cyrl-CS"/>
        </w:rPr>
        <w:t>А</w:t>
      </w:r>
    </w:p>
    <w:p w14:paraId="530F647D" w14:textId="202E229A" w:rsidR="0058206D" w:rsidRPr="00F947C9" w:rsidRDefault="0058206D" w:rsidP="0058206D">
      <w:pPr>
        <w:spacing w:line="240" w:lineRule="auto"/>
        <w:rPr>
          <w:rFonts w:cs="Times New Roman"/>
          <w:lang w:val="sr-Cyrl-RS"/>
        </w:rPr>
      </w:pPr>
    </w:p>
    <w:tbl>
      <w:tblPr>
        <w:tblW w:w="0" w:type="auto"/>
        <w:tblLook w:val="01E0" w:firstRow="1" w:lastRow="1" w:firstColumn="1" w:lastColumn="1" w:noHBand="0" w:noVBand="0"/>
      </w:tblPr>
      <w:tblGrid>
        <w:gridCol w:w="4265"/>
        <w:gridCol w:w="4266"/>
      </w:tblGrid>
      <w:tr w:rsidR="00F947C9" w:rsidRPr="00343A4A" w14:paraId="621D4B7E" w14:textId="77777777" w:rsidTr="005B170E">
        <w:tc>
          <w:tcPr>
            <w:tcW w:w="4265" w:type="dxa"/>
            <w:shd w:val="clear" w:color="auto" w:fill="auto"/>
          </w:tcPr>
          <w:p w14:paraId="56D4DE77" w14:textId="4C95C2E0" w:rsidR="00F947C9" w:rsidRPr="00343A4A" w:rsidRDefault="00F947C9" w:rsidP="005B170E">
            <w:pPr>
              <w:spacing w:line="360" w:lineRule="auto"/>
              <w:jc w:val="center"/>
              <w:rPr>
                <w:lang w:val="sr-Cyrl-CS"/>
              </w:rPr>
            </w:pPr>
          </w:p>
        </w:tc>
        <w:tc>
          <w:tcPr>
            <w:tcW w:w="4266" w:type="dxa"/>
            <w:shd w:val="clear" w:color="auto" w:fill="auto"/>
          </w:tcPr>
          <w:p w14:paraId="79824D5B" w14:textId="6902BAFB" w:rsidR="00F947C9" w:rsidRPr="00343A4A" w:rsidRDefault="00F947C9" w:rsidP="00BD7E48">
            <w:pPr>
              <w:spacing w:after="0"/>
              <w:jc w:val="center"/>
              <w:rPr>
                <w:lang w:val="ru-RU"/>
              </w:rPr>
            </w:pPr>
          </w:p>
          <w:p w14:paraId="73B63853" w14:textId="28CC287F" w:rsidR="00F947C9" w:rsidRPr="00343A4A" w:rsidRDefault="00BD7E48" w:rsidP="00BD7E48">
            <w:pPr>
              <w:spacing w:after="0"/>
              <w:jc w:val="center"/>
              <w:rPr>
                <w:lang w:val="sr-Cyrl-RS"/>
              </w:rPr>
            </w:pPr>
            <w:r w:rsidRPr="00343A4A">
              <w:rPr>
                <w:lang w:val="ru-RU"/>
              </w:rPr>
              <w:t>ПРЕДСЕДНИК</w:t>
            </w:r>
          </w:p>
          <w:p w14:paraId="4C9DAA3F" w14:textId="3B3A4689" w:rsidR="00F947C9" w:rsidRDefault="00F947C9" w:rsidP="00BD7E48">
            <w:pPr>
              <w:spacing w:after="0"/>
              <w:jc w:val="center"/>
              <w:rPr>
                <w:lang w:val="ru-RU"/>
              </w:rPr>
            </w:pPr>
          </w:p>
          <w:p w14:paraId="45B0CAAA" w14:textId="77777777" w:rsidR="00BD7E48" w:rsidRDefault="00BD7E48" w:rsidP="00BD7E48">
            <w:pPr>
              <w:spacing w:after="0"/>
              <w:jc w:val="center"/>
              <w:rPr>
                <w:lang w:val="ru-RU"/>
              </w:rPr>
            </w:pPr>
          </w:p>
          <w:p w14:paraId="309BBFE4" w14:textId="2861E31E" w:rsidR="00F947C9" w:rsidRPr="00343A4A" w:rsidRDefault="00F947C9" w:rsidP="005B170E">
            <w:pPr>
              <w:jc w:val="center"/>
              <w:rPr>
                <w:lang w:val="sr-Cyrl-CS"/>
              </w:rPr>
            </w:pPr>
            <w:r w:rsidRPr="00343A4A">
              <w:rPr>
                <w:lang w:val="ru-RU"/>
              </w:rPr>
              <w:t>Ана Брнабић</w:t>
            </w:r>
          </w:p>
        </w:tc>
      </w:tr>
    </w:tbl>
    <w:p w14:paraId="1964C202" w14:textId="77777777" w:rsidR="00D368EA" w:rsidRPr="00FD6B73" w:rsidRDefault="00D368EA" w:rsidP="00F10AC7">
      <w:pPr>
        <w:spacing w:line="240" w:lineRule="auto"/>
        <w:rPr>
          <w:rFonts w:cs="Times New Roman"/>
          <w:lang w:val="ru-RU"/>
        </w:rPr>
      </w:pPr>
    </w:p>
    <w:sectPr w:rsidR="00D368EA" w:rsidRPr="00FD6B73" w:rsidSect="00393680">
      <w:footerReference w:type="default" r:id="rId2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9B820" w14:textId="77777777" w:rsidR="00B875F6" w:rsidRDefault="00B875F6" w:rsidP="00F15D6B">
      <w:pPr>
        <w:spacing w:after="0" w:line="240" w:lineRule="auto"/>
      </w:pPr>
      <w:r>
        <w:separator/>
      </w:r>
    </w:p>
  </w:endnote>
  <w:endnote w:type="continuationSeparator" w:id="0">
    <w:p w14:paraId="5065D8F4" w14:textId="77777777" w:rsidR="00B875F6" w:rsidRDefault="00B875F6" w:rsidP="00F15D6B">
      <w:pPr>
        <w:spacing w:after="0" w:line="240" w:lineRule="auto"/>
      </w:pPr>
      <w:r>
        <w:continuationSeparator/>
      </w:r>
    </w:p>
  </w:endnote>
  <w:endnote w:type="continuationNotice" w:id="1">
    <w:p w14:paraId="4D28B8BB" w14:textId="77777777" w:rsidR="00B875F6" w:rsidRDefault="00B875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387991"/>
      <w:docPartObj>
        <w:docPartGallery w:val="Page Numbers (Bottom of Page)"/>
        <w:docPartUnique/>
      </w:docPartObj>
    </w:sdtPr>
    <w:sdtEndPr>
      <w:rPr>
        <w:noProof/>
      </w:rPr>
    </w:sdtEndPr>
    <w:sdtContent>
      <w:p w14:paraId="70081985" w14:textId="4B3B2ECA" w:rsidR="000B0462" w:rsidRDefault="000B0462">
        <w:pPr>
          <w:pStyle w:val="Footer"/>
          <w:jc w:val="center"/>
        </w:pPr>
        <w:r>
          <w:fldChar w:fldCharType="begin"/>
        </w:r>
        <w:r>
          <w:instrText xml:space="preserve"> PAGE   \* MERGEFORMAT </w:instrText>
        </w:r>
        <w:r>
          <w:fldChar w:fldCharType="separate"/>
        </w:r>
        <w:r w:rsidR="002B56D8">
          <w:rPr>
            <w:noProof/>
          </w:rPr>
          <w:t>64</w:t>
        </w:r>
        <w:r>
          <w:rPr>
            <w:noProof/>
          </w:rPr>
          <w:fldChar w:fldCharType="end"/>
        </w:r>
      </w:p>
    </w:sdtContent>
  </w:sdt>
  <w:p w14:paraId="01C7EA0C" w14:textId="77777777" w:rsidR="000B0462" w:rsidRDefault="000B04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4E94F" w14:textId="77777777" w:rsidR="00B875F6" w:rsidRDefault="00B875F6" w:rsidP="00F15D6B">
      <w:pPr>
        <w:spacing w:after="0" w:line="240" w:lineRule="auto"/>
      </w:pPr>
      <w:r>
        <w:separator/>
      </w:r>
    </w:p>
  </w:footnote>
  <w:footnote w:type="continuationSeparator" w:id="0">
    <w:p w14:paraId="0845E99A" w14:textId="77777777" w:rsidR="00B875F6" w:rsidRDefault="00B875F6" w:rsidP="00F15D6B">
      <w:pPr>
        <w:spacing w:after="0" w:line="240" w:lineRule="auto"/>
      </w:pPr>
      <w:r>
        <w:continuationSeparator/>
      </w:r>
    </w:p>
  </w:footnote>
  <w:footnote w:type="continuationNotice" w:id="1">
    <w:p w14:paraId="3B3E6982" w14:textId="77777777" w:rsidR="00B875F6" w:rsidRDefault="00B875F6">
      <w:pPr>
        <w:spacing w:after="0" w:line="240" w:lineRule="auto"/>
      </w:pPr>
    </w:p>
  </w:footnote>
  <w:footnote w:id="2">
    <w:p w14:paraId="5160313A" w14:textId="196E057F" w:rsidR="000B0462" w:rsidRPr="008F3371" w:rsidRDefault="000B0462" w:rsidP="00A20FDD">
      <w:pPr>
        <w:pStyle w:val="FootnoteText"/>
        <w:rPr>
          <w:lang w:val="ru-RU"/>
        </w:rPr>
      </w:pPr>
      <w:r w:rsidRPr="00A20FDD">
        <w:rPr>
          <w:rStyle w:val="FootnoteReference"/>
          <w:rFonts w:cs="Times New Roman"/>
        </w:rPr>
        <w:footnoteRef/>
      </w:r>
      <w:r w:rsidRPr="008F3371">
        <w:rPr>
          <w:lang w:val="ru-RU"/>
        </w:rPr>
        <w:t xml:space="preserve"> Закон о пл</w:t>
      </w:r>
      <w:r>
        <w:rPr>
          <w:lang w:val="ru-RU"/>
        </w:rPr>
        <w:t>анском систему Републике Србије</w:t>
      </w:r>
      <w:r w:rsidRPr="008F3371">
        <w:rPr>
          <w:lang w:val="ru-RU"/>
        </w:rPr>
        <w:t xml:space="preserve"> </w:t>
      </w:r>
      <w:r>
        <w:rPr>
          <w:lang w:val="ru-RU"/>
        </w:rPr>
        <w:t>(</w:t>
      </w:r>
      <w:r w:rsidRPr="00FD6B73">
        <w:rPr>
          <w:rFonts w:cs="Times New Roman"/>
          <w:lang w:val="ru-RU"/>
        </w:rPr>
        <w:t>„</w:t>
      </w:r>
      <w:r>
        <w:rPr>
          <w:shd w:val="clear" w:color="auto" w:fill="FFFFFF"/>
          <w:lang w:val="ru-RU"/>
        </w:rPr>
        <w:t>Службени гласник РС</w:t>
      </w:r>
      <w:r>
        <w:rPr>
          <w:rFonts w:cs="Times New Roman"/>
          <w:shd w:val="clear" w:color="auto" w:fill="FFFFFF"/>
          <w:lang w:val="ru-RU"/>
        </w:rPr>
        <w:t>ˮ</w:t>
      </w:r>
      <w:r>
        <w:rPr>
          <w:shd w:val="clear" w:color="auto" w:fill="FFFFFF"/>
          <w:lang w:val="ru-RU"/>
        </w:rPr>
        <w:t>, број 30/</w:t>
      </w:r>
      <w:r w:rsidRPr="008F3371">
        <w:rPr>
          <w:shd w:val="clear" w:color="auto" w:fill="FFFFFF"/>
          <w:lang w:val="ru-RU"/>
        </w:rPr>
        <w:t>18</w:t>
      </w:r>
      <w:r>
        <w:rPr>
          <w:shd w:val="clear" w:color="auto" w:fill="FFFFFF"/>
          <w:lang w:val="ru-RU"/>
        </w:rPr>
        <w:t>)</w:t>
      </w:r>
    </w:p>
  </w:footnote>
  <w:footnote w:id="3">
    <w:p w14:paraId="724D5030" w14:textId="503133E3" w:rsidR="000B0462" w:rsidRPr="00FD6B73" w:rsidRDefault="000B0462" w:rsidP="00A20FDD">
      <w:pPr>
        <w:pStyle w:val="FootnoteText"/>
        <w:rPr>
          <w:rFonts w:cs="Times New Roman"/>
          <w:lang w:val="ru-RU"/>
        </w:rPr>
      </w:pPr>
      <w:r w:rsidRPr="00A20FDD">
        <w:rPr>
          <w:rStyle w:val="FootnoteReference"/>
          <w:rFonts w:cs="Times New Roman"/>
        </w:rPr>
        <w:footnoteRef/>
      </w:r>
      <w:r>
        <w:rPr>
          <w:rFonts w:cs="Times New Roman"/>
          <w:lang w:val="ru-RU"/>
        </w:rPr>
        <w:t xml:space="preserve"> </w:t>
      </w:r>
      <w:r w:rsidRPr="00FD6B73">
        <w:rPr>
          <w:rFonts w:cs="Times New Roman"/>
          <w:lang w:val="ru-RU"/>
        </w:rPr>
        <w:t>Према подацима Међународног комитета црвеног крста из децембра 2020. године, доступно на:</w:t>
      </w:r>
      <w:r>
        <w:rPr>
          <w:rFonts w:cs="Times New Roman"/>
          <w:lang w:val="ru-RU"/>
        </w:rPr>
        <w:t xml:space="preserve"> </w:t>
      </w:r>
      <w:hyperlink r:id="rId1" w:history="1">
        <w:r w:rsidRPr="00A20FDD">
          <w:rPr>
            <w:rStyle w:val="Hyperlink"/>
            <w:rFonts w:cs="Times New Roman"/>
          </w:rPr>
          <w:t>https</w:t>
        </w:r>
        <w:r w:rsidRPr="00FD6B73">
          <w:rPr>
            <w:rStyle w:val="Hyperlink"/>
            <w:rFonts w:cs="Times New Roman"/>
            <w:lang w:val="ru-RU"/>
          </w:rPr>
          <w:t>://</w:t>
        </w:r>
        <w:r w:rsidRPr="00A20FDD">
          <w:rPr>
            <w:rStyle w:val="Hyperlink"/>
            <w:rFonts w:cs="Times New Roman"/>
          </w:rPr>
          <w:t>www</w:t>
        </w:r>
        <w:r w:rsidRPr="00FD6B73">
          <w:rPr>
            <w:rStyle w:val="Hyperlink"/>
            <w:rFonts w:cs="Times New Roman"/>
            <w:lang w:val="ru-RU"/>
          </w:rPr>
          <w:t>.</w:t>
        </w:r>
        <w:r w:rsidRPr="00A20FDD">
          <w:rPr>
            <w:rStyle w:val="Hyperlink"/>
            <w:rFonts w:cs="Times New Roman"/>
          </w:rPr>
          <w:t>icrc</w:t>
        </w:r>
        <w:r w:rsidRPr="00FD6B73">
          <w:rPr>
            <w:rStyle w:val="Hyperlink"/>
            <w:rFonts w:cs="Times New Roman"/>
            <w:lang w:val="ru-RU"/>
          </w:rPr>
          <w:t>.</w:t>
        </w:r>
        <w:r w:rsidRPr="00A20FDD">
          <w:rPr>
            <w:rStyle w:val="Hyperlink"/>
            <w:rFonts w:cs="Times New Roman"/>
          </w:rPr>
          <w:t>org</w:t>
        </w:r>
        <w:r w:rsidRPr="00FD6B73">
          <w:rPr>
            <w:rStyle w:val="Hyperlink"/>
            <w:rFonts w:cs="Times New Roman"/>
            <w:lang w:val="ru-RU"/>
          </w:rPr>
          <w:t>/</w:t>
        </w:r>
        <w:r w:rsidRPr="00A20FDD">
          <w:rPr>
            <w:rStyle w:val="Hyperlink"/>
            <w:rFonts w:cs="Times New Roman"/>
          </w:rPr>
          <w:t>en</w:t>
        </w:r>
        <w:r w:rsidRPr="00FD6B73">
          <w:rPr>
            <w:rStyle w:val="Hyperlink"/>
            <w:rFonts w:cs="Times New Roman"/>
            <w:lang w:val="ru-RU"/>
          </w:rPr>
          <w:t>/</w:t>
        </w:r>
        <w:r w:rsidRPr="00A20FDD">
          <w:rPr>
            <w:rStyle w:val="Hyperlink"/>
            <w:rFonts w:cs="Times New Roman"/>
          </w:rPr>
          <w:t>document</w:t>
        </w:r>
        <w:r w:rsidRPr="00FD6B73">
          <w:rPr>
            <w:rStyle w:val="Hyperlink"/>
            <w:rFonts w:cs="Times New Roman"/>
            <w:lang w:val="ru-RU"/>
          </w:rPr>
          <w:t>/</w:t>
        </w:r>
        <w:r w:rsidRPr="00A20FDD">
          <w:rPr>
            <w:rStyle w:val="Hyperlink"/>
            <w:rFonts w:cs="Times New Roman"/>
          </w:rPr>
          <w:t>human</w:t>
        </w:r>
        <w:r w:rsidRPr="00FD6B73">
          <w:rPr>
            <w:rStyle w:val="Hyperlink"/>
            <w:rFonts w:cs="Times New Roman"/>
            <w:lang w:val="ru-RU"/>
          </w:rPr>
          <w:t>-</w:t>
        </w:r>
        <w:r w:rsidRPr="00A20FDD">
          <w:rPr>
            <w:rStyle w:val="Hyperlink"/>
            <w:rFonts w:cs="Times New Roman"/>
          </w:rPr>
          <w:t>rights</w:t>
        </w:r>
        <w:r w:rsidRPr="00FD6B73">
          <w:rPr>
            <w:rStyle w:val="Hyperlink"/>
            <w:rFonts w:cs="Times New Roman"/>
            <w:lang w:val="ru-RU"/>
          </w:rPr>
          <w:t>-</w:t>
        </w:r>
        <w:r w:rsidRPr="00A20FDD">
          <w:rPr>
            <w:rStyle w:val="Hyperlink"/>
            <w:rFonts w:cs="Times New Roman"/>
          </w:rPr>
          <w:t>day</w:t>
        </w:r>
        <w:r w:rsidRPr="00FD6B73">
          <w:rPr>
            <w:rStyle w:val="Hyperlink"/>
            <w:rFonts w:cs="Times New Roman"/>
            <w:lang w:val="ru-RU"/>
          </w:rPr>
          <w:t>-</w:t>
        </w:r>
        <w:r w:rsidRPr="00A20FDD">
          <w:rPr>
            <w:rStyle w:val="Hyperlink"/>
            <w:rFonts w:cs="Times New Roman"/>
          </w:rPr>
          <w:t>missing</w:t>
        </w:r>
        <w:r w:rsidRPr="00FD6B73">
          <w:rPr>
            <w:rStyle w:val="Hyperlink"/>
            <w:rFonts w:cs="Times New Roman"/>
            <w:lang w:val="ru-RU"/>
          </w:rPr>
          <w:t>-</w:t>
        </w:r>
        <w:r w:rsidRPr="00A20FDD">
          <w:rPr>
            <w:rStyle w:val="Hyperlink"/>
            <w:rFonts w:cs="Times New Roman"/>
          </w:rPr>
          <w:t>persons</w:t>
        </w:r>
        <w:r w:rsidRPr="00FD6B73">
          <w:rPr>
            <w:rStyle w:val="Hyperlink"/>
            <w:rFonts w:cs="Times New Roman"/>
            <w:lang w:val="ru-RU"/>
          </w:rPr>
          <w:t>-</w:t>
        </w:r>
        <w:r w:rsidRPr="00A20FDD">
          <w:rPr>
            <w:rStyle w:val="Hyperlink"/>
            <w:rFonts w:cs="Times New Roman"/>
          </w:rPr>
          <w:t>yugoslavia</w:t>
        </w:r>
      </w:hyperlink>
      <w:r w:rsidRPr="00FD6B73">
        <w:rPr>
          <w:rFonts w:cs="Times New Roman"/>
          <w:lang w:val="ru-RU"/>
        </w:rPr>
        <w:t>, приступљено 17. априла 2021. године</w:t>
      </w:r>
    </w:p>
  </w:footnote>
  <w:footnote w:id="4">
    <w:p w14:paraId="73F7FD26" w14:textId="3024269E"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Кривични зако</w:t>
      </w:r>
      <w:r>
        <w:rPr>
          <w:rFonts w:cs="Times New Roman"/>
          <w:lang w:val="ru-RU"/>
        </w:rPr>
        <w:t>н Савезне Републике Југославије</w:t>
      </w:r>
      <w:r w:rsidRPr="00FD6B73">
        <w:rPr>
          <w:rFonts w:cs="Times New Roman"/>
          <w:lang w:val="ru-RU"/>
        </w:rPr>
        <w:t xml:space="preserve"> </w:t>
      </w:r>
      <w:r>
        <w:rPr>
          <w:rFonts w:cs="Times New Roman"/>
          <w:lang w:val="ru-RU"/>
        </w:rPr>
        <w:t>(</w:t>
      </w:r>
      <w:r w:rsidRPr="00FD6B73">
        <w:rPr>
          <w:rFonts w:cs="Times New Roman"/>
          <w:lang w:val="ru-RU"/>
        </w:rPr>
        <w:t>„Службени лист СФРЈ”, бр. 44/76, 36/77, 34/84, 37/84, 74/87, 57/89, 3/90,</w:t>
      </w:r>
      <w:r w:rsidRPr="00FD6B73">
        <w:rPr>
          <w:color w:val="000000" w:themeColor="text1"/>
          <w:lang w:val="ru-RU"/>
        </w:rPr>
        <w:t>38/90,</w:t>
      </w:r>
      <w:r w:rsidRPr="00FD6B73">
        <w:rPr>
          <w:rFonts w:cs="Times New Roman"/>
          <w:color w:val="000000" w:themeColor="text1"/>
          <w:lang w:val="ru-RU"/>
        </w:rPr>
        <w:t xml:space="preserve"> 45/90,</w:t>
      </w:r>
      <w:r>
        <w:rPr>
          <w:rFonts w:cs="Times New Roman"/>
          <w:color w:val="000000" w:themeColor="text1"/>
          <w:lang w:val="ru-RU"/>
        </w:rPr>
        <w:t xml:space="preserve"> </w:t>
      </w:r>
      <w:r>
        <w:rPr>
          <w:color w:val="000000" w:themeColor="text1"/>
          <w:lang w:val="ru-RU"/>
        </w:rPr>
        <w:t xml:space="preserve">54/90 и </w:t>
      </w:r>
      <w:r w:rsidRPr="00FD6B73">
        <w:rPr>
          <w:rFonts w:cs="Times New Roman"/>
          <w:lang w:val="ru-RU"/>
        </w:rPr>
        <w:t xml:space="preserve">„Службени лист СРЈ”, бр. 35/92, </w:t>
      </w:r>
      <w:r w:rsidR="00D643FD">
        <w:rPr>
          <w:rFonts w:cs="Times New Roman"/>
          <w:lang w:val="ru-RU"/>
        </w:rPr>
        <w:t xml:space="preserve">16/93, 31/93, 37/93, </w:t>
      </w:r>
      <w:r w:rsidRPr="00FD6B73">
        <w:rPr>
          <w:rFonts w:cs="Times New Roman"/>
          <w:lang w:val="ru-RU"/>
        </w:rPr>
        <w:t>24/94</w:t>
      </w:r>
      <w:r w:rsidR="00D643FD">
        <w:rPr>
          <w:rFonts w:cs="Times New Roman"/>
          <w:lang w:val="ru-RU"/>
        </w:rPr>
        <w:t>,</w:t>
      </w:r>
      <w:r w:rsidRPr="00FD6B73">
        <w:rPr>
          <w:color w:val="000000" w:themeColor="text1"/>
          <w:lang w:val="ru-RU"/>
        </w:rPr>
        <w:t xml:space="preserve"> 61/01</w:t>
      </w:r>
      <w:r w:rsidR="00D643FD">
        <w:rPr>
          <w:color w:val="000000" w:themeColor="text1"/>
          <w:lang w:val="ru-RU"/>
        </w:rPr>
        <w:t xml:space="preserve"> и 39/03</w:t>
      </w:r>
      <w:r>
        <w:rPr>
          <w:color w:val="000000" w:themeColor="text1"/>
          <w:lang w:val="ru-RU"/>
        </w:rPr>
        <w:t>)</w:t>
      </w:r>
    </w:p>
  </w:footnote>
  <w:footnote w:id="5">
    <w:p w14:paraId="0BB79624" w14:textId="25A47DD4"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eastAsiaTheme="majorEastAsia" w:cs="Times New Roman"/>
          <w:lang w:val="ru-RU"/>
        </w:rPr>
        <w:t>Национална стратегија</w:t>
      </w:r>
      <w:r>
        <w:rPr>
          <w:rFonts w:eastAsiaTheme="majorEastAsia" w:cs="Times New Roman"/>
          <w:lang w:val="ru-RU"/>
        </w:rPr>
        <w:t xml:space="preserve"> за процесуирање ратних злочина</w:t>
      </w:r>
      <w:r w:rsidRPr="00FD6B73">
        <w:rPr>
          <w:rFonts w:eastAsiaTheme="majorEastAsia" w:cs="Times New Roman"/>
          <w:lang w:val="ru-RU"/>
        </w:rPr>
        <w:t xml:space="preserve"> </w:t>
      </w:r>
      <w:r>
        <w:rPr>
          <w:rFonts w:eastAsiaTheme="majorEastAsia" w:cs="Times New Roman"/>
          <w:lang w:val="ru-RU"/>
        </w:rPr>
        <w:t>(</w:t>
      </w:r>
      <w:r w:rsidRPr="00FD6B73">
        <w:rPr>
          <w:rFonts w:cs="Times New Roman"/>
          <w:lang w:val="ru-RU"/>
        </w:rPr>
        <w:t>„</w:t>
      </w:r>
      <w:r w:rsidRPr="00FD6B73">
        <w:rPr>
          <w:rFonts w:cs="Times New Roman"/>
          <w:shd w:val="clear" w:color="auto" w:fill="FFFFFF"/>
          <w:lang w:val="ru-RU"/>
        </w:rPr>
        <w:t>Слу</w:t>
      </w:r>
      <w:r>
        <w:rPr>
          <w:rFonts w:cs="Times New Roman"/>
          <w:shd w:val="clear" w:color="auto" w:fill="FFFFFF"/>
          <w:lang w:val="ru-RU"/>
        </w:rPr>
        <w:t>жбени гласник РС”, број 19/16)</w:t>
      </w:r>
    </w:p>
  </w:footnote>
  <w:footnote w:id="6">
    <w:p w14:paraId="1D0795F5" w14:textId="5A49D36C" w:rsidR="000B0462" w:rsidRPr="00FD6B73" w:rsidRDefault="000B0462" w:rsidP="00A20FDD">
      <w:pPr>
        <w:pStyle w:val="FootnoteText"/>
        <w:rPr>
          <w:rFonts w:cs="Times New Roman"/>
          <w:lang w:val="ru-RU"/>
        </w:rPr>
      </w:pPr>
      <w:r w:rsidRPr="00A20FDD">
        <w:rPr>
          <w:rStyle w:val="FootnoteReference"/>
          <w:rFonts w:cs="Times New Roman"/>
        </w:rPr>
        <w:footnoteRef/>
      </w:r>
      <w:r>
        <w:rPr>
          <w:rFonts w:cs="Times New Roman"/>
          <w:lang w:val="ru-RU"/>
        </w:rPr>
        <w:t xml:space="preserve"> Устав Републике Србије</w:t>
      </w:r>
      <w:r w:rsidRPr="00FD6B73">
        <w:rPr>
          <w:rFonts w:cs="Times New Roman"/>
          <w:lang w:val="ru-RU"/>
        </w:rPr>
        <w:t xml:space="preserve"> </w:t>
      </w:r>
      <w:r>
        <w:rPr>
          <w:rFonts w:cs="Times New Roman"/>
          <w:lang w:val="ru-RU"/>
        </w:rPr>
        <w:t>(</w:t>
      </w:r>
      <w:r w:rsidRPr="00FD6B73">
        <w:rPr>
          <w:rFonts w:cs="Times New Roman"/>
          <w:lang w:val="ru-RU"/>
        </w:rPr>
        <w:t>„</w:t>
      </w:r>
      <w:r>
        <w:rPr>
          <w:rFonts w:cs="Times New Roman"/>
          <w:lang w:val="ru-RU"/>
        </w:rPr>
        <w:t>Службени гласник РСˮ, број 98/06)</w:t>
      </w:r>
    </w:p>
  </w:footnote>
  <w:footnote w:id="7">
    <w:p w14:paraId="4710984B" w14:textId="77777777"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Ревидирани Акциони план за Поглавље 23 усвојен на седници Владе Републике Србије одржаној 10. јула 2020. године, доступно на: </w:t>
      </w:r>
      <w:hyperlink r:id="rId2" w:history="1">
        <w:r w:rsidRPr="00A20FDD">
          <w:rPr>
            <w:rStyle w:val="Hyperlink"/>
            <w:rFonts w:cs="Times New Roman"/>
          </w:rPr>
          <w:t>https</w:t>
        </w:r>
        <w:r w:rsidRPr="00FD6B73">
          <w:rPr>
            <w:rStyle w:val="Hyperlink"/>
            <w:rFonts w:cs="Times New Roman"/>
            <w:lang w:val="ru-RU"/>
          </w:rPr>
          <w:t>://</w:t>
        </w:r>
        <w:r w:rsidRPr="00A20FDD">
          <w:rPr>
            <w:rStyle w:val="Hyperlink"/>
            <w:rFonts w:cs="Times New Roman"/>
          </w:rPr>
          <w:t>www</w:t>
        </w:r>
        <w:r w:rsidRPr="00FD6B73">
          <w:rPr>
            <w:rStyle w:val="Hyperlink"/>
            <w:rFonts w:cs="Times New Roman"/>
            <w:lang w:val="ru-RU"/>
          </w:rPr>
          <w:t>.</w:t>
        </w:r>
        <w:r w:rsidRPr="00A20FDD">
          <w:rPr>
            <w:rStyle w:val="Hyperlink"/>
            <w:rFonts w:cs="Times New Roman"/>
          </w:rPr>
          <w:t>mpravde</w:t>
        </w:r>
        <w:r w:rsidRPr="00FD6B73">
          <w:rPr>
            <w:rStyle w:val="Hyperlink"/>
            <w:rFonts w:cs="Times New Roman"/>
            <w:lang w:val="ru-RU"/>
          </w:rPr>
          <w:t>.</w:t>
        </w:r>
        <w:r w:rsidRPr="00A20FDD">
          <w:rPr>
            <w:rStyle w:val="Hyperlink"/>
            <w:rFonts w:cs="Times New Roman"/>
          </w:rPr>
          <w:t>gov</w:t>
        </w:r>
        <w:r w:rsidRPr="00FD6B73">
          <w:rPr>
            <w:rStyle w:val="Hyperlink"/>
            <w:rFonts w:cs="Times New Roman"/>
            <w:lang w:val="ru-RU"/>
          </w:rPr>
          <w:t>.</w:t>
        </w:r>
        <w:r w:rsidRPr="00A20FDD">
          <w:rPr>
            <w:rStyle w:val="Hyperlink"/>
            <w:rFonts w:cs="Times New Roman"/>
          </w:rPr>
          <w:t>rs</w:t>
        </w:r>
        <w:r w:rsidRPr="00FD6B73">
          <w:rPr>
            <w:rStyle w:val="Hyperlink"/>
            <w:rFonts w:cs="Times New Roman"/>
            <w:lang w:val="ru-RU"/>
          </w:rPr>
          <w:t>/</w:t>
        </w:r>
        <w:r w:rsidRPr="00A20FDD">
          <w:rPr>
            <w:rStyle w:val="Hyperlink"/>
            <w:rFonts w:cs="Times New Roman"/>
          </w:rPr>
          <w:t>files</w:t>
        </w:r>
        <w:r w:rsidRPr="00FD6B73">
          <w:rPr>
            <w:rStyle w:val="Hyperlink"/>
            <w:rFonts w:cs="Times New Roman"/>
            <w:lang w:val="ru-RU"/>
          </w:rPr>
          <w:t>/</w:t>
        </w:r>
        <w:r w:rsidRPr="00A20FDD">
          <w:rPr>
            <w:rStyle w:val="Hyperlink"/>
            <w:rFonts w:cs="Times New Roman"/>
          </w:rPr>
          <w:t>Revidirani</w:t>
        </w:r>
        <w:r w:rsidRPr="00FD6B73">
          <w:rPr>
            <w:rStyle w:val="Hyperlink"/>
            <w:rFonts w:cs="Times New Roman"/>
            <w:lang w:val="ru-RU"/>
          </w:rPr>
          <w:t>%20</w:t>
        </w:r>
        <w:r w:rsidRPr="00A20FDD">
          <w:rPr>
            <w:rStyle w:val="Hyperlink"/>
            <w:rFonts w:cs="Times New Roman"/>
          </w:rPr>
          <w:t>AP</w:t>
        </w:r>
        <w:r w:rsidRPr="00FD6B73">
          <w:rPr>
            <w:rStyle w:val="Hyperlink"/>
            <w:rFonts w:cs="Times New Roman"/>
            <w:lang w:val="ru-RU"/>
          </w:rPr>
          <w:t>23%202207.</w:t>
        </w:r>
        <w:r w:rsidRPr="00A20FDD">
          <w:rPr>
            <w:rStyle w:val="Hyperlink"/>
            <w:rFonts w:cs="Times New Roman"/>
          </w:rPr>
          <w:t>pdf</w:t>
        </w:r>
      </w:hyperlink>
      <w:r w:rsidRPr="00FD6B73">
        <w:rPr>
          <w:rFonts w:cs="Times New Roman"/>
          <w:lang w:val="ru-RU"/>
        </w:rPr>
        <w:t>, приступљено 7. јануара 2021. године</w:t>
      </w:r>
    </w:p>
  </w:footnote>
  <w:footnote w:id="8">
    <w:p w14:paraId="62AF493D" w14:textId="4F2C7FDE"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Стратегија развоја правос</w:t>
      </w:r>
      <w:r>
        <w:rPr>
          <w:rFonts w:cs="Times New Roman"/>
          <w:lang w:val="ru-RU"/>
        </w:rPr>
        <w:t>уђа за период 2020-2025. године</w:t>
      </w:r>
      <w:r w:rsidRPr="0092146C">
        <w:rPr>
          <w:rFonts w:cs="Times New Roman"/>
          <w:lang w:val="ru-RU"/>
        </w:rPr>
        <w:t xml:space="preserve"> </w:t>
      </w:r>
      <w:r>
        <w:rPr>
          <w:rFonts w:cs="Times New Roman"/>
          <w:lang w:val="ru-RU"/>
        </w:rPr>
        <w:t>(</w:t>
      </w:r>
      <w:r w:rsidRPr="00FD6B73">
        <w:rPr>
          <w:rFonts w:cs="Times New Roman"/>
          <w:lang w:val="ru-RU"/>
        </w:rPr>
        <w:t>„Службени гласник РС</w:t>
      </w:r>
      <w:r>
        <w:rPr>
          <w:rFonts w:cs="Times New Roman"/>
          <w:lang w:val="ru-RU"/>
        </w:rPr>
        <w:t>ˮ, број 101/20)</w:t>
      </w:r>
    </w:p>
  </w:footnote>
  <w:footnote w:id="9">
    <w:p w14:paraId="79999AC0" w14:textId="4DA1DA77"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Национална стратегија за остваривање права жртава и сведока кривичних дела у Републици Србији за период од 2020-2025. године са пратећим Акционим планом за период 2020-2022. године, доступно на: </w:t>
      </w:r>
      <w:hyperlink r:id="rId3" w:history="1">
        <w:r w:rsidRPr="00A20FDD">
          <w:rPr>
            <w:rStyle w:val="Hyperlink"/>
            <w:rFonts w:cs="Times New Roman"/>
          </w:rPr>
          <w:t>https</w:t>
        </w:r>
        <w:r w:rsidRPr="00FD6B73">
          <w:rPr>
            <w:rStyle w:val="Hyperlink"/>
            <w:rFonts w:cs="Times New Roman"/>
            <w:lang w:val="ru-RU"/>
          </w:rPr>
          <w:t>://</w:t>
        </w:r>
        <w:r w:rsidRPr="00A20FDD">
          <w:rPr>
            <w:rStyle w:val="Hyperlink"/>
            <w:rFonts w:cs="Times New Roman"/>
          </w:rPr>
          <w:t>www</w:t>
        </w:r>
        <w:r w:rsidRPr="00FD6B73">
          <w:rPr>
            <w:rStyle w:val="Hyperlink"/>
            <w:rFonts w:cs="Times New Roman"/>
            <w:lang w:val="ru-RU"/>
          </w:rPr>
          <w:t>.</w:t>
        </w:r>
        <w:r w:rsidRPr="00A20FDD">
          <w:rPr>
            <w:rStyle w:val="Hyperlink"/>
            <w:rFonts w:cs="Times New Roman"/>
          </w:rPr>
          <w:t>srbija</w:t>
        </w:r>
        <w:r w:rsidRPr="00FD6B73">
          <w:rPr>
            <w:rStyle w:val="Hyperlink"/>
            <w:rFonts w:cs="Times New Roman"/>
            <w:lang w:val="ru-RU"/>
          </w:rPr>
          <w:t>.</w:t>
        </w:r>
        <w:r w:rsidRPr="00A20FDD">
          <w:rPr>
            <w:rStyle w:val="Hyperlink"/>
            <w:rFonts w:cs="Times New Roman"/>
          </w:rPr>
          <w:t>gov</w:t>
        </w:r>
        <w:r w:rsidRPr="00FD6B73">
          <w:rPr>
            <w:rStyle w:val="Hyperlink"/>
            <w:rFonts w:cs="Times New Roman"/>
            <w:lang w:val="ru-RU"/>
          </w:rPr>
          <w:t>.</w:t>
        </w:r>
        <w:r w:rsidRPr="00A20FDD">
          <w:rPr>
            <w:rStyle w:val="Hyperlink"/>
            <w:rFonts w:cs="Times New Roman"/>
          </w:rPr>
          <w:t>rs</w:t>
        </w:r>
        <w:r w:rsidRPr="00FD6B73">
          <w:rPr>
            <w:rStyle w:val="Hyperlink"/>
            <w:rFonts w:cs="Times New Roman"/>
            <w:lang w:val="ru-RU"/>
          </w:rPr>
          <w:t>/</w:t>
        </w:r>
        <w:r w:rsidRPr="00A20FDD">
          <w:rPr>
            <w:rStyle w:val="Hyperlink"/>
            <w:rFonts w:cs="Times New Roman"/>
          </w:rPr>
          <w:t>dokument</w:t>
        </w:r>
        <w:r w:rsidRPr="00FD6B73">
          <w:rPr>
            <w:rStyle w:val="Hyperlink"/>
            <w:rFonts w:cs="Times New Roman"/>
            <w:lang w:val="ru-RU"/>
          </w:rPr>
          <w:t>/45678/</w:t>
        </w:r>
        <w:r w:rsidRPr="00A20FDD">
          <w:rPr>
            <w:rStyle w:val="Hyperlink"/>
            <w:rFonts w:cs="Times New Roman"/>
          </w:rPr>
          <w:t>strategije</w:t>
        </w:r>
        <w:r w:rsidRPr="00FD6B73">
          <w:rPr>
            <w:rStyle w:val="Hyperlink"/>
            <w:rFonts w:cs="Times New Roman"/>
            <w:lang w:val="ru-RU"/>
          </w:rPr>
          <w:t>-</w:t>
        </w:r>
        <w:r w:rsidRPr="00A20FDD">
          <w:rPr>
            <w:rStyle w:val="Hyperlink"/>
            <w:rFonts w:cs="Times New Roman"/>
          </w:rPr>
          <w:t>programi</w:t>
        </w:r>
        <w:r w:rsidRPr="00FD6B73">
          <w:rPr>
            <w:rStyle w:val="Hyperlink"/>
            <w:rFonts w:cs="Times New Roman"/>
            <w:lang w:val="ru-RU"/>
          </w:rPr>
          <w:t>-</w:t>
        </w:r>
        <w:r w:rsidRPr="00A20FDD">
          <w:rPr>
            <w:rStyle w:val="Hyperlink"/>
            <w:rFonts w:cs="Times New Roman"/>
          </w:rPr>
          <w:t>planovi</w:t>
        </w:r>
        <w:r w:rsidRPr="00FD6B73">
          <w:rPr>
            <w:rStyle w:val="Hyperlink"/>
            <w:rFonts w:cs="Times New Roman"/>
            <w:lang w:val="ru-RU"/>
          </w:rPr>
          <w:t>-.</w:t>
        </w:r>
        <w:r w:rsidRPr="00A20FDD">
          <w:rPr>
            <w:rStyle w:val="Hyperlink"/>
            <w:rFonts w:cs="Times New Roman"/>
          </w:rPr>
          <w:t>php</w:t>
        </w:r>
      </w:hyperlink>
      <w:r>
        <w:rPr>
          <w:rFonts w:cs="Times New Roman"/>
          <w:lang w:val="ru-RU"/>
        </w:rPr>
        <w:t xml:space="preserve">, приступљено 14. Априла </w:t>
      </w:r>
      <w:r w:rsidRPr="00FD6B73">
        <w:rPr>
          <w:rFonts w:cs="Times New Roman"/>
          <w:lang w:val="ru-RU"/>
        </w:rPr>
        <w:t>2021. године</w:t>
      </w:r>
    </w:p>
  </w:footnote>
  <w:footnote w:id="10">
    <w:p w14:paraId="14D29FAE" w14:textId="33851949" w:rsidR="000B0462" w:rsidRPr="00FD6B73" w:rsidRDefault="000B0462" w:rsidP="00A20FDD">
      <w:pPr>
        <w:pStyle w:val="FootnoteText"/>
        <w:rPr>
          <w:rFonts w:cs="Times New Roman"/>
          <w:lang w:val="ru-RU"/>
        </w:rPr>
      </w:pPr>
      <w:r w:rsidRPr="00A20FDD">
        <w:rPr>
          <w:rStyle w:val="FootnoteReference"/>
          <w:rFonts w:cs="Times New Roman"/>
        </w:rPr>
        <w:footnoteRef/>
      </w:r>
      <w:r>
        <w:rPr>
          <w:lang w:val="ru-RU"/>
        </w:rPr>
        <w:t xml:space="preserve"> </w:t>
      </w:r>
      <w:r w:rsidRPr="00FD6B73">
        <w:rPr>
          <w:lang w:val="ru-RU"/>
        </w:rPr>
        <w:t xml:space="preserve">Закон о </w:t>
      </w:r>
      <w:r w:rsidRPr="00FD6B73">
        <w:rPr>
          <w:rFonts w:cs="Times New Roman"/>
          <w:lang w:val="ru-RU"/>
        </w:rPr>
        <w:t>потврђивању европске конвенције о екстр</w:t>
      </w:r>
      <w:r>
        <w:rPr>
          <w:rFonts w:cs="Times New Roman"/>
          <w:lang w:val="ru-RU"/>
        </w:rPr>
        <w:t>адицији са додатним протоколима</w:t>
      </w:r>
      <w:r w:rsidRPr="00FD6B73">
        <w:rPr>
          <w:rFonts w:cs="Times New Roman"/>
          <w:lang w:val="ru-RU"/>
        </w:rPr>
        <w:t xml:space="preserve"> </w:t>
      </w:r>
      <w:r>
        <w:rPr>
          <w:rFonts w:cs="Times New Roman"/>
          <w:lang w:val="ru-RU"/>
        </w:rPr>
        <w:t>(„Службени</w:t>
      </w:r>
      <w:r w:rsidRPr="00FD6B73">
        <w:rPr>
          <w:rFonts w:cs="Times New Roman"/>
          <w:lang w:val="ru-RU"/>
        </w:rPr>
        <w:t xml:space="preserve"> лист СРЈ - Ме</w:t>
      </w:r>
      <w:r>
        <w:rPr>
          <w:rFonts w:cs="Times New Roman"/>
          <w:lang w:val="ru-RU"/>
        </w:rPr>
        <w:t>ђународни уговориˮ, бр. 10/01)</w:t>
      </w:r>
    </w:p>
  </w:footnote>
  <w:footnote w:id="11">
    <w:p w14:paraId="6F448749" w14:textId="09E04603" w:rsidR="000B0462" w:rsidRPr="00243371" w:rsidRDefault="000B0462" w:rsidP="00A20FDD">
      <w:pPr>
        <w:spacing w:after="0" w:line="240" w:lineRule="auto"/>
        <w:rPr>
          <w:rFonts w:cs="Times New Roman"/>
          <w:sz w:val="20"/>
          <w:szCs w:val="20"/>
          <w:lang w:val="ru-RU"/>
        </w:rPr>
      </w:pPr>
      <w:r w:rsidRPr="00A20FDD">
        <w:rPr>
          <w:rStyle w:val="FootnoteReference"/>
          <w:rFonts w:cs="Times New Roman"/>
          <w:sz w:val="20"/>
          <w:szCs w:val="20"/>
        </w:rPr>
        <w:footnoteRef/>
      </w:r>
      <w:r w:rsidRPr="00FD6B73">
        <w:rPr>
          <w:rFonts w:cs="Times New Roman"/>
          <w:sz w:val="20"/>
          <w:szCs w:val="20"/>
          <w:lang w:val="ru-RU"/>
        </w:rPr>
        <w:t xml:space="preserve"> Закон о ратификацији Европске конвенције за заштиту људских права и основних слобода, измењене у складу са Протоколом број 11, Протокола уз Конвенцију за заштиту људских права и основних слобода, Протокола број 4 уз Конвенцију за заштиту људских права и основних слобода којим се обезбеђују извесна права и слободе који нису укључени у Конвенцију и Први Протокол уз њу, Протокола број 6 уз Конвенцију за заштиту људских права и основних слобода о укидању смртне казне, Протокола број 7 уз Конвенцију за заштиту људских права и основних слобода, Протокола број 12 уз Конвенцију за заштиту људских права и основних слобода и Протокола број 13 уз Конвенцију за заштиту људских права и основних слобода о укидању смртне казне у свим околностима: </w:t>
      </w:r>
      <w:r w:rsidRPr="00243371">
        <w:rPr>
          <w:rFonts w:cs="Times New Roman"/>
          <w:sz w:val="20"/>
          <w:szCs w:val="20"/>
          <w:lang w:val="ru-RU"/>
        </w:rPr>
        <w:t>(</w:t>
      </w:r>
      <w:r w:rsidRPr="00243371">
        <w:rPr>
          <w:rFonts w:cs="Times New Roman"/>
          <w:sz w:val="20"/>
          <w:szCs w:val="20"/>
          <w:lang w:val="sr-Latn-RS"/>
        </w:rPr>
        <w:t>„</w:t>
      </w:r>
      <w:r w:rsidRPr="00243371">
        <w:rPr>
          <w:rFonts w:cs="Times New Roman"/>
          <w:sz w:val="20"/>
          <w:szCs w:val="20"/>
          <w:lang w:val="sr-Cyrl-RS"/>
        </w:rPr>
        <w:t>Службени лист СЦГ</w:t>
      </w:r>
      <w:r w:rsidRPr="00243371">
        <w:rPr>
          <w:rFonts w:cs="Times New Roman"/>
          <w:sz w:val="20"/>
          <w:szCs w:val="20"/>
          <w:lang w:val="ru-RU"/>
        </w:rPr>
        <w:t xml:space="preserve"> – Међународни уговориˮ</w:t>
      </w:r>
      <w:r>
        <w:rPr>
          <w:rFonts w:cs="Times New Roman"/>
          <w:sz w:val="20"/>
          <w:szCs w:val="20"/>
          <w:lang w:val="ru-RU"/>
        </w:rPr>
        <w:t>, бр.  9/03, 5/05 и 7/</w:t>
      </w:r>
      <w:r w:rsidRPr="00243371">
        <w:rPr>
          <w:rFonts w:cs="Times New Roman"/>
          <w:sz w:val="20"/>
          <w:szCs w:val="20"/>
          <w:lang w:val="ru-RU"/>
        </w:rPr>
        <w:t xml:space="preserve">05 </w:t>
      </w:r>
      <w:r>
        <w:rPr>
          <w:rFonts w:cs="Times New Roman"/>
          <w:sz w:val="20"/>
          <w:szCs w:val="20"/>
          <w:lang w:val="ru-RU"/>
        </w:rPr>
        <w:t>–</w:t>
      </w:r>
      <w:r w:rsidRPr="00243371">
        <w:rPr>
          <w:rFonts w:cs="Times New Roman"/>
          <w:sz w:val="20"/>
          <w:szCs w:val="20"/>
          <w:lang w:val="ru-RU"/>
        </w:rPr>
        <w:t xml:space="preserve"> </w:t>
      </w:r>
      <w:r>
        <w:rPr>
          <w:rFonts w:cs="Times New Roman"/>
          <w:sz w:val="20"/>
          <w:szCs w:val="20"/>
          <w:lang w:val="ru-RU"/>
        </w:rPr>
        <w:t xml:space="preserve">исправка </w:t>
      </w:r>
      <w:r>
        <w:rPr>
          <w:rFonts w:cs="Times New Roman"/>
          <w:sz w:val="20"/>
          <w:szCs w:val="20"/>
          <w:lang w:val="sr-Latn-RS"/>
        </w:rPr>
        <w:t xml:space="preserve"> </w:t>
      </w:r>
      <w:r>
        <w:rPr>
          <w:rFonts w:cs="Times New Roman"/>
          <w:sz w:val="20"/>
          <w:szCs w:val="20"/>
          <w:lang w:val="sr-Cyrl-RS"/>
        </w:rPr>
        <w:t xml:space="preserve">и </w:t>
      </w:r>
      <w:r>
        <w:rPr>
          <w:rFonts w:cs="Times New Roman"/>
          <w:sz w:val="20"/>
          <w:szCs w:val="20"/>
          <w:lang w:val="sr-Latn-RS"/>
        </w:rPr>
        <w:t>„</w:t>
      </w:r>
      <w:r>
        <w:rPr>
          <w:rFonts w:cs="Times New Roman"/>
          <w:sz w:val="20"/>
          <w:szCs w:val="20"/>
          <w:lang w:val="ru-RU"/>
        </w:rPr>
        <w:t>Службени гласник РС – Међународни уговориˮ</w:t>
      </w:r>
      <w:r w:rsidRPr="00243371">
        <w:rPr>
          <w:rFonts w:cs="Times New Roman"/>
          <w:sz w:val="20"/>
          <w:szCs w:val="20"/>
          <w:lang w:val="ru-RU"/>
        </w:rPr>
        <w:t xml:space="preserve">, </w:t>
      </w:r>
      <w:r>
        <w:rPr>
          <w:rFonts w:cs="Times New Roman"/>
          <w:sz w:val="20"/>
          <w:szCs w:val="20"/>
          <w:lang w:val="ru-RU"/>
        </w:rPr>
        <w:t>бр. 12/10 и 10/</w:t>
      </w:r>
      <w:r w:rsidRPr="00243371">
        <w:rPr>
          <w:rFonts w:cs="Times New Roman"/>
          <w:sz w:val="20"/>
          <w:szCs w:val="20"/>
          <w:lang w:val="ru-RU"/>
        </w:rPr>
        <w:t>15)</w:t>
      </w:r>
    </w:p>
  </w:footnote>
  <w:footnote w:id="12">
    <w:p w14:paraId="3306FAC0" w14:textId="120D6EA7" w:rsidR="000B0462" w:rsidRPr="00FD6B73" w:rsidRDefault="000B0462" w:rsidP="00A75929">
      <w:pPr>
        <w:pBdr>
          <w:bottom w:val="single" w:sz="6" w:space="1" w:color="E7E6E6"/>
        </w:pBdr>
        <w:spacing w:after="0" w:line="240" w:lineRule="auto"/>
        <w:textAlignment w:val="top"/>
        <w:rPr>
          <w:rFonts w:cs="Times New Roman"/>
          <w:sz w:val="20"/>
          <w:szCs w:val="20"/>
          <w:lang w:val="ru-RU"/>
        </w:rPr>
      </w:pPr>
      <w:r w:rsidRPr="00A20FDD">
        <w:rPr>
          <w:rStyle w:val="FootnoteReference"/>
          <w:rFonts w:cs="Times New Roman"/>
          <w:sz w:val="20"/>
          <w:szCs w:val="20"/>
        </w:rPr>
        <w:footnoteRef/>
      </w:r>
      <w:r>
        <w:rPr>
          <w:rStyle w:val="Hyperlink"/>
          <w:rFonts w:cs="Times New Roman"/>
          <w:color w:val="auto"/>
          <w:sz w:val="20"/>
          <w:szCs w:val="20"/>
          <w:u w:val="none"/>
          <w:lang w:val="ru-RU"/>
        </w:rPr>
        <w:t xml:space="preserve"> </w:t>
      </w:r>
      <w:hyperlink r:id="rId4" w:tgtFrame="_blank" w:tooltip="Documenttitle" w:history="1">
        <w:r w:rsidRPr="00FD6B73">
          <w:rPr>
            <w:rStyle w:val="Hyperlink"/>
            <w:rFonts w:cs="Times New Roman"/>
            <w:color w:val="auto"/>
            <w:sz w:val="20"/>
            <w:szCs w:val="20"/>
            <w:u w:val="none"/>
            <w:lang w:val="ru-RU"/>
          </w:rPr>
          <w:t>Закон о потврђивању Европске конвенције о међусобном пружању правне помоћи у кривичним стварима, са Додатним протоколом</w:t>
        </w:r>
      </w:hyperlink>
      <w:r w:rsidRPr="00FD6B73">
        <w:rPr>
          <w:rStyle w:val="Hyperlink"/>
          <w:rFonts w:cs="Times New Roman"/>
          <w:color w:val="auto"/>
          <w:sz w:val="20"/>
          <w:szCs w:val="20"/>
          <w:u w:val="none"/>
          <w:lang w:val="ru-RU"/>
        </w:rPr>
        <w:t xml:space="preserve"> </w:t>
      </w:r>
      <w:r>
        <w:rPr>
          <w:rStyle w:val="Hyperlink"/>
          <w:rFonts w:cs="Times New Roman"/>
          <w:color w:val="auto"/>
          <w:sz w:val="20"/>
          <w:szCs w:val="20"/>
          <w:u w:val="none"/>
          <w:lang w:val="ru-RU"/>
        </w:rPr>
        <w:t>(</w:t>
      </w:r>
      <w:r w:rsidRPr="00FD6B73">
        <w:rPr>
          <w:rStyle w:val="Hyperlink"/>
          <w:rFonts w:cs="Times New Roman"/>
          <w:color w:val="auto"/>
          <w:sz w:val="20"/>
          <w:szCs w:val="20"/>
          <w:u w:val="none"/>
          <w:lang w:val="ru-RU"/>
        </w:rPr>
        <w:t>„</w:t>
      </w:r>
      <w:hyperlink r:id="rId5" w:history="1">
        <w:r w:rsidRPr="00FD6B73">
          <w:rPr>
            <w:rStyle w:val="Hyperlink"/>
            <w:rFonts w:cs="Times New Roman"/>
            <w:color w:val="auto"/>
            <w:sz w:val="20"/>
            <w:szCs w:val="20"/>
            <w:u w:val="none"/>
            <w:lang w:val="ru-RU"/>
          </w:rPr>
          <w:t>Службени лист СРЈ - Међународни уговори</w:t>
        </w:r>
        <w:r>
          <w:rPr>
            <w:rStyle w:val="Hyperlink"/>
            <w:rFonts w:cs="Times New Roman"/>
            <w:color w:val="auto"/>
            <w:sz w:val="20"/>
            <w:szCs w:val="20"/>
            <w:u w:val="none"/>
            <w:lang w:val="ru-RU"/>
          </w:rPr>
          <w:t>ˮ, број 10/</w:t>
        </w:r>
        <w:r w:rsidRPr="00FD6B73">
          <w:rPr>
            <w:rStyle w:val="Hyperlink"/>
            <w:rFonts w:cs="Times New Roman"/>
            <w:color w:val="auto"/>
            <w:sz w:val="20"/>
            <w:szCs w:val="20"/>
            <w:u w:val="none"/>
            <w:lang w:val="ru-RU"/>
          </w:rPr>
          <w:t>01</w:t>
        </w:r>
        <w:r>
          <w:rPr>
            <w:rStyle w:val="Hyperlink"/>
            <w:rFonts w:cs="Times New Roman"/>
            <w:color w:val="auto"/>
            <w:sz w:val="20"/>
            <w:szCs w:val="20"/>
            <w:u w:val="none"/>
            <w:lang w:val="ru-RU"/>
          </w:rPr>
          <w:t>)</w:t>
        </w:r>
      </w:hyperlink>
    </w:p>
  </w:footnote>
  <w:footnote w:id="13">
    <w:p w14:paraId="2DCE5BB6" w14:textId="6BFF8EB5" w:rsidR="000B0462" w:rsidRPr="00FD6B73" w:rsidRDefault="000B0462" w:rsidP="00A20FDD">
      <w:pPr>
        <w:spacing w:after="0" w:line="240" w:lineRule="auto"/>
        <w:rPr>
          <w:rFonts w:cs="Times New Roman"/>
          <w:sz w:val="20"/>
          <w:szCs w:val="20"/>
          <w:lang w:val="ru-RU"/>
        </w:rPr>
      </w:pPr>
      <w:r w:rsidRPr="00A20FDD">
        <w:rPr>
          <w:rStyle w:val="FootnoteReference"/>
          <w:rFonts w:cs="Times New Roman"/>
          <w:sz w:val="20"/>
          <w:szCs w:val="20"/>
        </w:rPr>
        <w:footnoteRef/>
      </w:r>
      <w:r>
        <w:rPr>
          <w:rStyle w:val="Hyperlink"/>
          <w:rFonts w:cs="Times New Roman"/>
          <w:color w:val="auto"/>
          <w:sz w:val="20"/>
          <w:szCs w:val="20"/>
          <w:u w:val="none"/>
          <w:lang w:val="ru-RU"/>
        </w:rPr>
        <w:t xml:space="preserve"> </w:t>
      </w:r>
      <w:hyperlink r:id="rId6" w:tgtFrame="_blank" w:tooltip="Documenttitle" w:history="1">
        <w:r w:rsidRPr="00FD6B73">
          <w:rPr>
            <w:rStyle w:val="Hyperlink"/>
            <w:rFonts w:cs="Times New Roman"/>
            <w:color w:val="auto"/>
            <w:sz w:val="20"/>
            <w:szCs w:val="20"/>
            <w:u w:val="none"/>
            <w:lang w:val="ru-RU"/>
          </w:rPr>
          <w:t>Закон о потврђивању Европске конвенције о међународном важењу кривичних пресуда, са додацима</w:t>
        </w:r>
      </w:hyperlink>
      <w:r w:rsidRPr="00FD6B73">
        <w:rPr>
          <w:rStyle w:val="Hyperlink"/>
          <w:rFonts w:cs="Times New Roman"/>
          <w:color w:val="auto"/>
          <w:sz w:val="20"/>
          <w:szCs w:val="20"/>
          <w:u w:val="none"/>
          <w:lang w:val="ru-RU"/>
        </w:rPr>
        <w:t xml:space="preserve">, </w:t>
      </w:r>
      <w:r>
        <w:rPr>
          <w:rStyle w:val="Hyperlink"/>
          <w:rFonts w:cs="Times New Roman"/>
          <w:color w:val="auto"/>
          <w:sz w:val="20"/>
          <w:szCs w:val="20"/>
          <w:u w:val="none"/>
          <w:lang w:val="ru-RU"/>
        </w:rPr>
        <w:t>(</w:t>
      </w:r>
      <w:r w:rsidRPr="00FD6B73">
        <w:rPr>
          <w:rFonts w:cs="Times New Roman"/>
          <w:sz w:val="20"/>
          <w:szCs w:val="20"/>
          <w:lang w:val="ru-RU"/>
        </w:rPr>
        <w:t>„</w:t>
      </w:r>
      <w:hyperlink r:id="rId7" w:history="1">
        <w:r w:rsidRPr="00FD6B73">
          <w:rPr>
            <w:rStyle w:val="Hyperlink"/>
            <w:rFonts w:cs="Times New Roman"/>
            <w:color w:val="auto"/>
            <w:sz w:val="20"/>
            <w:szCs w:val="20"/>
            <w:u w:val="none"/>
            <w:lang w:val="ru-RU"/>
          </w:rPr>
          <w:t>Службени лист СЦГ - Међународни уговори</w:t>
        </w:r>
        <w:r>
          <w:rPr>
            <w:rStyle w:val="Hyperlink"/>
            <w:rFonts w:cs="Times New Roman"/>
            <w:color w:val="auto"/>
            <w:sz w:val="20"/>
            <w:szCs w:val="20"/>
            <w:u w:val="none"/>
            <w:lang w:val="ru-RU"/>
          </w:rPr>
          <w:t>ˮ, број 18/</w:t>
        </w:r>
        <w:r w:rsidRPr="00FD6B73">
          <w:rPr>
            <w:rStyle w:val="Hyperlink"/>
            <w:rFonts w:cs="Times New Roman"/>
            <w:color w:val="auto"/>
            <w:sz w:val="20"/>
            <w:szCs w:val="20"/>
            <w:u w:val="none"/>
            <w:lang w:val="ru-RU"/>
          </w:rPr>
          <w:t>05</w:t>
        </w:r>
      </w:hyperlink>
      <w:r>
        <w:rPr>
          <w:rFonts w:cs="Times New Roman"/>
          <w:sz w:val="20"/>
          <w:szCs w:val="20"/>
          <w:lang w:val="ru-RU"/>
        </w:rPr>
        <w:t>)</w:t>
      </w:r>
    </w:p>
  </w:footnote>
  <w:footnote w:id="14">
    <w:p w14:paraId="60A1254A" w14:textId="462B4980" w:rsidR="000B0462" w:rsidRPr="00FD6B73" w:rsidRDefault="000B0462" w:rsidP="00A20FDD">
      <w:pPr>
        <w:pStyle w:val="FootnoteText"/>
        <w:rPr>
          <w:rFonts w:cs="Times New Roman"/>
          <w:lang w:val="ru-RU"/>
        </w:rPr>
      </w:pPr>
      <w:r w:rsidRPr="00A20FDD">
        <w:rPr>
          <w:rStyle w:val="FootnoteReference"/>
          <w:rFonts w:cs="Times New Roman"/>
        </w:rPr>
        <w:footnoteRef/>
      </w:r>
      <w:r>
        <w:rPr>
          <w:rStyle w:val="Hyperlink"/>
          <w:rFonts w:cs="Times New Roman"/>
          <w:color w:val="auto"/>
          <w:u w:val="none"/>
          <w:lang w:val="ru-RU"/>
        </w:rPr>
        <w:t xml:space="preserve"> </w:t>
      </w:r>
      <w:hyperlink r:id="rId8" w:tgtFrame="_blank" w:history="1">
        <w:r w:rsidRPr="00FD6B73">
          <w:rPr>
            <w:rStyle w:val="Hyperlink"/>
            <w:rFonts w:cs="Times New Roman"/>
            <w:color w:val="auto"/>
            <w:u w:val="none"/>
            <w:lang w:val="ru-RU"/>
          </w:rPr>
          <w:t>Закон о потврђивању Европске конвенције о незастаревању кривичних дела прот</w:t>
        </w:r>
        <w:r>
          <w:rPr>
            <w:rStyle w:val="Hyperlink"/>
            <w:rFonts w:cs="Times New Roman"/>
            <w:color w:val="auto"/>
            <w:u w:val="none"/>
            <w:lang w:val="ru-RU"/>
          </w:rPr>
          <w:t>ив човечности и ратних злочина (</w:t>
        </w:r>
        <w:r w:rsidRPr="00FD6B73">
          <w:rPr>
            <w:rStyle w:val="Hyperlink"/>
            <w:rFonts w:cs="Times New Roman"/>
            <w:color w:val="auto"/>
            <w:u w:val="none"/>
            <w:lang w:val="ru-RU"/>
          </w:rPr>
          <w:t>„Службени гласник РС - Међународни уговори</w:t>
        </w:r>
        <w:r>
          <w:rPr>
            <w:rStyle w:val="Hyperlink"/>
            <w:rFonts w:cs="Times New Roman"/>
            <w:color w:val="auto"/>
            <w:u w:val="none"/>
            <w:lang w:val="ru-RU"/>
          </w:rPr>
          <w:t>ˮ, број 13/</w:t>
        </w:r>
        <w:r w:rsidRPr="00FD6B73">
          <w:rPr>
            <w:rStyle w:val="Hyperlink"/>
            <w:rFonts w:cs="Times New Roman"/>
            <w:color w:val="auto"/>
            <w:u w:val="none"/>
            <w:lang w:val="ru-RU"/>
          </w:rPr>
          <w:t>10</w:t>
        </w:r>
      </w:hyperlink>
      <w:r>
        <w:rPr>
          <w:rFonts w:cs="Times New Roman"/>
          <w:lang w:val="ru-RU"/>
        </w:rPr>
        <w:t>)</w:t>
      </w:r>
    </w:p>
  </w:footnote>
  <w:footnote w:id="15">
    <w:p w14:paraId="21206F5C" w14:textId="028E0F4F" w:rsidR="000B0462" w:rsidRPr="00FD6B73" w:rsidRDefault="000B0462" w:rsidP="00A20FDD">
      <w:pPr>
        <w:spacing w:after="0" w:line="240" w:lineRule="auto"/>
        <w:rPr>
          <w:rFonts w:cs="Times New Roman"/>
          <w:sz w:val="20"/>
          <w:szCs w:val="20"/>
          <w:lang w:val="ru-RU"/>
        </w:rPr>
      </w:pPr>
      <w:r w:rsidRPr="00A20FDD">
        <w:rPr>
          <w:rStyle w:val="FootnoteReference"/>
          <w:rFonts w:cs="Times New Roman"/>
          <w:sz w:val="20"/>
          <w:szCs w:val="20"/>
        </w:rPr>
        <w:footnoteRef/>
      </w:r>
      <w:r>
        <w:rPr>
          <w:rStyle w:val="Hyperlink"/>
          <w:rFonts w:cs="Times New Roman"/>
          <w:color w:val="auto"/>
          <w:sz w:val="20"/>
          <w:szCs w:val="20"/>
          <w:u w:val="none"/>
          <w:lang w:val="ru-RU"/>
        </w:rPr>
        <w:t xml:space="preserve"> </w:t>
      </w:r>
      <w:hyperlink r:id="rId9" w:tgtFrame="_blank" w:tooltip="Documenttitle" w:history="1">
        <w:r w:rsidRPr="00FD6B73">
          <w:rPr>
            <w:rStyle w:val="Hyperlink"/>
            <w:rFonts w:cs="Times New Roman"/>
            <w:color w:val="auto"/>
            <w:sz w:val="20"/>
            <w:szCs w:val="20"/>
            <w:u w:val="none"/>
            <w:lang w:val="ru-RU"/>
          </w:rPr>
          <w:t>Закон о Ратификацији Европске Конвенције о надзору условно осуђених или условно ослобођених лица, са Прилогом</w:t>
        </w:r>
      </w:hyperlink>
      <w:r w:rsidRPr="00FD6B73">
        <w:rPr>
          <w:rStyle w:val="Hyperlink"/>
          <w:rFonts w:cs="Times New Roman"/>
          <w:color w:val="auto"/>
          <w:sz w:val="20"/>
          <w:szCs w:val="20"/>
          <w:u w:val="none"/>
          <w:lang w:val="ru-RU"/>
        </w:rPr>
        <w:t xml:space="preserve"> </w:t>
      </w:r>
      <w:r>
        <w:rPr>
          <w:rStyle w:val="Hyperlink"/>
          <w:rFonts w:cs="Times New Roman"/>
          <w:color w:val="auto"/>
          <w:sz w:val="20"/>
          <w:szCs w:val="20"/>
          <w:u w:val="none"/>
          <w:lang w:val="ru-RU"/>
        </w:rPr>
        <w:t>(</w:t>
      </w:r>
      <w:r w:rsidRPr="00FD6B73">
        <w:rPr>
          <w:rStyle w:val="Hyperlink"/>
          <w:rFonts w:cs="Times New Roman"/>
          <w:color w:val="auto"/>
          <w:sz w:val="20"/>
          <w:szCs w:val="20"/>
          <w:u w:val="none"/>
          <w:lang w:val="ru-RU"/>
        </w:rPr>
        <w:t>„С</w:t>
      </w:r>
      <w:hyperlink r:id="rId10" w:history="1">
        <w:r w:rsidRPr="00FD6B73">
          <w:rPr>
            <w:rStyle w:val="Hyperlink"/>
            <w:rFonts w:cs="Times New Roman"/>
            <w:color w:val="auto"/>
            <w:sz w:val="20"/>
            <w:szCs w:val="20"/>
            <w:u w:val="none"/>
            <w:lang w:val="ru-RU"/>
          </w:rPr>
          <w:t>лужбени лист СФРЈ - Међународни уговори</w:t>
        </w:r>
        <w:r>
          <w:rPr>
            <w:rStyle w:val="Hyperlink"/>
            <w:rFonts w:cs="Times New Roman"/>
            <w:color w:val="auto"/>
            <w:sz w:val="20"/>
            <w:szCs w:val="20"/>
            <w:u w:val="none"/>
            <w:lang w:val="ru-RU"/>
          </w:rPr>
          <w:t>ˮ, број 4/</w:t>
        </w:r>
        <w:r w:rsidRPr="00FD6B73">
          <w:rPr>
            <w:rStyle w:val="Hyperlink"/>
            <w:rFonts w:cs="Times New Roman"/>
            <w:color w:val="auto"/>
            <w:sz w:val="20"/>
            <w:szCs w:val="20"/>
            <w:u w:val="none"/>
            <w:lang w:val="ru-RU"/>
          </w:rPr>
          <w:t>91</w:t>
        </w:r>
      </w:hyperlink>
      <w:r>
        <w:rPr>
          <w:rStyle w:val="Hyperlink"/>
          <w:rFonts w:cs="Times New Roman"/>
          <w:color w:val="auto"/>
          <w:sz w:val="20"/>
          <w:szCs w:val="20"/>
          <w:u w:val="none"/>
          <w:lang w:val="ru-RU"/>
        </w:rPr>
        <w:t>)</w:t>
      </w:r>
    </w:p>
  </w:footnote>
  <w:footnote w:id="16">
    <w:p w14:paraId="745CF057" w14:textId="5F8B5822" w:rsidR="000B0462" w:rsidRPr="00FD6B73" w:rsidRDefault="000B0462" w:rsidP="00A20FDD">
      <w:pPr>
        <w:spacing w:after="0" w:line="240" w:lineRule="auto"/>
        <w:rPr>
          <w:rFonts w:cs="Times New Roman"/>
          <w:sz w:val="20"/>
          <w:szCs w:val="20"/>
          <w:lang w:val="ru-RU"/>
        </w:rPr>
      </w:pPr>
      <w:r w:rsidRPr="00A20FDD">
        <w:rPr>
          <w:rStyle w:val="FootnoteReference"/>
          <w:rFonts w:cs="Times New Roman"/>
          <w:sz w:val="20"/>
          <w:szCs w:val="20"/>
        </w:rPr>
        <w:footnoteRef/>
      </w:r>
      <w:r>
        <w:rPr>
          <w:rStyle w:val="Hyperlink"/>
          <w:rFonts w:cs="Times New Roman"/>
          <w:color w:val="auto"/>
          <w:sz w:val="20"/>
          <w:szCs w:val="20"/>
          <w:u w:val="none"/>
          <w:lang w:val="ru-RU"/>
        </w:rPr>
        <w:t xml:space="preserve"> </w:t>
      </w:r>
      <w:hyperlink r:id="rId11" w:tgtFrame="_blank" w:tooltip="Documenttitle" w:history="1">
        <w:r w:rsidRPr="00FD6B73">
          <w:rPr>
            <w:rStyle w:val="Hyperlink"/>
            <w:rFonts w:cs="Times New Roman"/>
            <w:color w:val="auto"/>
            <w:sz w:val="20"/>
            <w:szCs w:val="20"/>
            <w:u w:val="none"/>
            <w:lang w:val="ru-RU"/>
          </w:rPr>
          <w:t>Закон о потврђивању Европске конвенције о преносу поступка у кривичним стварима</w:t>
        </w:r>
      </w:hyperlink>
      <w:r w:rsidRPr="00FD6B73">
        <w:rPr>
          <w:rStyle w:val="Hyperlink"/>
          <w:rFonts w:cs="Times New Roman"/>
          <w:color w:val="auto"/>
          <w:sz w:val="20"/>
          <w:szCs w:val="20"/>
          <w:u w:val="none"/>
          <w:lang w:val="ru-RU"/>
        </w:rPr>
        <w:t xml:space="preserve">, </w:t>
      </w:r>
      <w:r>
        <w:rPr>
          <w:rStyle w:val="Hyperlink"/>
          <w:rFonts w:cs="Times New Roman"/>
          <w:color w:val="auto"/>
          <w:sz w:val="20"/>
          <w:szCs w:val="20"/>
          <w:u w:val="none"/>
          <w:lang w:val="ru-RU"/>
        </w:rPr>
        <w:t>(</w:t>
      </w:r>
      <w:r w:rsidRPr="00FD6B73">
        <w:rPr>
          <w:rStyle w:val="Hyperlink"/>
          <w:rFonts w:cs="Times New Roman"/>
          <w:color w:val="auto"/>
          <w:sz w:val="20"/>
          <w:szCs w:val="20"/>
          <w:u w:val="none"/>
          <w:lang w:val="ru-RU"/>
        </w:rPr>
        <w:t>„</w:t>
      </w:r>
      <w:hyperlink r:id="rId12" w:history="1">
        <w:r w:rsidRPr="00FD6B73">
          <w:rPr>
            <w:rStyle w:val="Hyperlink"/>
            <w:rFonts w:cs="Times New Roman"/>
            <w:color w:val="auto"/>
            <w:sz w:val="20"/>
            <w:szCs w:val="20"/>
            <w:u w:val="none"/>
            <w:lang w:val="ru-RU"/>
          </w:rPr>
          <w:t>Службени лист СРЈ - Међународни уговор</w:t>
        </w:r>
        <w:r>
          <w:rPr>
            <w:rStyle w:val="Hyperlink"/>
            <w:rFonts w:cs="Times New Roman"/>
            <w:color w:val="auto"/>
            <w:sz w:val="20"/>
            <w:szCs w:val="20"/>
            <w:u w:val="none"/>
            <w:lang w:val="ru-RU"/>
          </w:rPr>
          <w:t>иˮ, број 10/</w:t>
        </w:r>
        <w:r w:rsidRPr="00FD6B73">
          <w:rPr>
            <w:rStyle w:val="Hyperlink"/>
            <w:rFonts w:cs="Times New Roman"/>
            <w:color w:val="auto"/>
            <w:sz w:val="20"/>
            <w:szCs w:val="20"/>
            <w:u w:val="none"/>
            <w:lang w:val="ru-RU"/>
          </w:rPr>
          <w:t>01</w:t>
        </w:r>
      </w:hyperlink>
      <w:r>
        <w:rPr>
          <w:rStyle w:val="Hyperlink"/>
          <w:rFonts w:cs="Times New Roman"/>
          <w:color w:val="auto"/>
          <w:sz w:val="20"/>
          <w:szCs w:val="20"/>
          <w:u w:val="none"/>
          <w:lang w:val="ru-RU"/>
        </w:rPr>
        <w:t>)</w:t>
      </w:r>
    </w:p>
  </w:footnote>
  <w:footnote w:id="17">
    <w:p w14:paraId="2C7D243B" w14:textId="1456AAFF" w:rsidR="000B0462" w:rsidRPr="00FD6B73" w:rsidRDefault="000B0462" w:rsidP="00A20FDD">
      <w:pPr>
        <w:spacing w:after="0" w:line="240" w:lineRule="auto"/>
        <w:rPr>
          <w:rFonts w:cs="Times New Roman"/>
          <w:sz w:val="20"/>
          <w:szCs w:val="20"/>
          <w:lang w:val="ru-RU"/>
        </w:rPr>
      </w:pPr>
      <w:r w:rsidRPr="00A20FDD">
        <w:rPr>
          <w:rStyle w:val="FootnoteReference"/>
          <w:rFonts w:cs="Times New Roman"/>
          <w:sz w:val="20"/>
          <w:szCs w:val="20"/>
        </w:rPr>
        <w:footnoteRef/>
      </w:r>
      <w:r w:rsidRPr="00FD6B73">
        <w:rPr>
          <w:rFonts w:cs="Times New Roman"/>
          <w:sz w:val="20"/>
          <w:szCs w:val="20"/>
          <w:lang w:val="ru-RU"/>
        </w:rPr>
        <w:t xml:space="preserve"> Конвенција о незастаревању ратних злочина и злочина против човечности („Службени лист СФРЈ - Међународни уговори и други споразуми</w:t>
      </w:r>
      <w:r>
        <w:rPr>
          <w:rFonts w:cs="Times New Roman"/>
          <w:sz w:val="20"/>
          <w:szCs w:val="20"/>
          <w:lang w:val="ru-RU"/>
        </w:rPr>
        <w:t>ˮ, бр. 50/70</w:t>
      </w:r>
      <w:r w:rsidRPr="00FD6B73">
        <w:rPr>
          <w:rFonts w:cs="Times New Roman"/>
          <w:sz w:val="20"/>
          <w:szCs w:val="20"/>
          <w:lang w:val="ru-RU"/>
        </w:rPr>
        <w:t>)</w:t>
      </w:r>
    </w:p>
  </w:footnote>
  <w:footnote w:id="18">
    <w:p w14:paraId="57E3B131" w14:textId="0743337D" w:rsidR="000B0462" w:rsidRPr="00FD6B73" w:rsidRDefault="000B0462" w:rsidP="00A20FDD">
      <w:pPr>
        <w:pStyle w:val="FootnoteText"/>
        <w:rPr>
          <w:rFonts w:cs="Times New Roman"/>
          <w:lang w:val="ru-RU"/>
        </w:rPr>
      </w:pPr>
      <w:r w:rsidRPr="00A20FDD">
        <w:rPr>
          <w:rStyle w:val="FootnoteReference"/>
          <w:rFonts w:cs="Times New Roman"/>
        </w:rPr>
        <w:footnoteRef/>
      </w:r>
      <w:r>
        <w:rPr>
          <w:rStyle w:val="Hyperlink"/>
          <w:rFonts w:cs="Times New Roman"/>
          <w:color w:val="auto"/>
          <w:u w:val="none"/>
          <w:lang w:val="ru-RU"/>
        </w:rPr>
        <w:t xml:space="preserve"> </w:t>
      </w:r>
      <w:hyperlink r:id="rId13" w:tgtFrame="_blank" w:tooltip="Documenttitle" w:history="1">
        <w:r w:rsidRPr="00FD6B73">
          <w:rPr>
            <w:rStyle w:val="Hyperlink"/>
            <w:rFonts w:cs="Times New Roman"/>
            <w:color w:val="auto"/>
            <w:u w:val="none"/>
            <w:lang w:val="ru-RU"/>
          </w:rPr>
          <w:t>Конвенција о спречавању и кажњавању злочина геноцида</w:t>
        </w:r>
      </w:hyperlink>
      <w:r>
        <w:rPr>
          <w:rStyle w:val="Hyperlink"/>
          <w:rFonts w:cs="Times New Roman"/>
          <w:color w:val="auto"/>
          <w:u w:val="none"/>
          <w:lang w:val="ru-RU"/>
        </w:rPr>
        <w:t xml:space="preserve"> (</w:t>
      </w:r>
      <w:hyperlink r:id="rId14" w:history="1">
        <w:r w:rsidRPr="00FD6B73">
          <w:rPr>
            <w:rStyle w:val="Hyperlink"/>
            <w:rFonts w:cs="Times New Roman"/>
            <w:color w:val="auto"/>
            <w:u w:val="none"/>
            <w:lang w:val="ru-RU"/>
          </w:rPr>
          <w:t>„Службени лист ФНРЈ</w:t>
        </w:r>
        <w:r>
          <w:rPr>
            <w:rStyle w:val="Hyperlink"/>
            <w:rFonts w:cs="Times New Roman"/>
            <w:color w:val="auto"/>
            <w:u w:val="none"/>
            <w:lang w:val="ru-RU"/>
          </w:rPr>
          <w:t>ˮ, број 69/</w:t>
        </w:r>
        <w:r w:rsidRPr="00FD6B73">
          <w:rPr>
            <w:rStyle w:val="Hyperlink"/>
            <w:rFonts w:cs="Times New Roman"/>
            <w:color w:val="auto"/>
            <w:u w:val="none"/>
            <w:lang w:val="ru-RU"/>
          </w:rPr>
          <w:t>50</w:t>
        </w:r>
      </w:hyperlink>
      <w:r>
        <w:rPr>
          <w:rStyle w:val="Hyperlink"/>
          <w:rFonts w:cs="Times New Roman"/>
          <w:color w:val="auto"/>
          <w:u w:val="none"/>
          <w:lang w:val="ru-RU"/>
        </w:rPr>
        <w:t>)</w:t>
      </w:r>
    </w:p>
  </w:footnote>
  <w:footnote w:id="19">
    <w:p w14:paraId="551182C3" w14:textId="1E5248D6" w:rsidR="000B0462" w:rsidRPr="00FD6B73" w:rsidRDefault="000B0462" w:rsidP="00A20FDD">
      <w:pPr>
        <w:spacing w:after="0" w:line="240" w:lineRule="auto"/>
        <w:rPr>
          <w:rFonts w:cs="Times New Roman"/>
          <w:sz w:val="20"/>
          <w:szCs w:val="20"/>
          <w:lang w:val="ru-RU"/>
        </w:rPr>
      </w:pPr>
      <w:r w:rsidRPr="00A20FDD">
        <w:rPr>
          <w:rStyle w:val="FootnoteReference"/>
          <w:rFonts w:cs="Times New Roman"/>
          <w:sz w:val="20"/>
          <w:szCs w:val="20"/>
        </w:rPr>
        <w:footnoteRef/>
      </w:r>
      <w:r w:rsidRPr="00FD6B73">
        <w:rPr>
          <w:rFonts w:cs="Times New Roman"/>
          <w:sz w:val="20"/>
          <w:szCs w:val="20"/>
          <w:lang w:val="ru-RU"/>
        </w:rPr>
        <w:t xml:space="preserve">  Закон о ратификацији </w:t>
      </w:r>
      <w:r w:rsidRPr="00A20FDD">
        <w:rPr>
          <w:rFonts w:cs="Times New Roman"/>
          <w:sz w:val="20"/>
          <w:szCs w:val="20"/>
        </w:rPr>
        <w:t>K</w:t>
      </w:r>
      <w:r w:rsidRPr="00FD6B73">
        <w:rPr>
          <w:rFonts w:cs="Times New Roman"/>
          <w:sz w:val="20"/>
          <w:szCs w:val="20"/>
          <w:lang w:val="ru-RU"/>
        </w:rPr>
        <w:t xml:space="preserve">онвенције о спречавању мучења и нечовечних или понижавајућих поступака и кажњавања, измењене и допуњене протоколом 1 и протоколом 2 уз Конвенцију, </w:t>
      </w:r>
      <w:r>
        <w:rPr>
          <w:rFonts w:cs="Times New Roman"/>
          <w:sz w:val="20"/>
          <w:szCs w:val="20"/>
          <w:lang w:val="ru-RU"/>
        </w:rPr>
        <w:t>(</w:t>
      </w:r>
      <w:r w:rsidRPr="00FD6B73">
        <w:rPr>
          <w:rFonts w:cs="Times New Roman"/>
          <w:lang w:val="ru-RU"/>
        </w:rPr>
        <w:t>„</w:t>
      </w:r>
      <w:r>
        <w:rPr>
          <w:rFonts w:cs="Times New Roman"/>
          <w:sz w:val="20"/>
          <w:szCs w:val="20"/>
          <w:lang w:val="ru-RU"/>
        </w:rPr>
        <w:t>Службени</w:t>
      </w:r>
      <w:r w:rsidRPr="00FD6B73">
        <w:rPr>
          <w:rFonts w:cs="Times New Roman"/>
          <w:sz w:val="20"/>
          <w:szCs w:val="20"/>
          <w:lang w:val="ru-RU"/>
        </w:rPr>
        <w:t xml:space="preserve"> лист СЦГ - Међународни уговори</w:t>
      </w:r>
      <w:r>
        <w:rPr>
          <w:rFonts w:cs="Times New Roman"/>
          <w:sz w:val="20"/>
          <w:szCs w:val="20"/>
          <w:lang w:val="ru-RU"/>
        </w:rPr>
        <w:t>ˮ, број 9/</w:t>
      </w:r>
      <w:r w:rsidRPr="00FD6B73">
        <w:rPr>
          <w:rFonts w:cs="Times New Roman"/>
          <w:sz w:val="20"/>
          <w:szCs w:val="20"/>
          <w:lang w:val="ru-RU"/>
        </w:rPr>
        <w:t>03</w:t>
      </w:r>
      <w:r>
        <w:rPr>
          <w:rFonts w:cs="Times New Roman"/>
          <w:sz w:val="20"/>
          <w:szCs w:val="20"/>
          <w:lang w:val="ru-RU"/>
        </w:rPr>
        <w:t>)</w:t>
      </w:r>
    </w:p>
  </w:footnote>
  <w:footnote w:id="20">
    <w:p w14:paraId="1BD24424" w14:textId="334DF3BB" w:rsidR="000B0462" w:rsidRPr="00FD6B73" w:rsidRDefault="000B0462" w:rsidP="00A20FDD">
      <w:pPr>
        <w:pStyle w:val="FootnoteText"/>
        <w:rPr>
          <w:rFonts w:cs="Times New Roman"/>
          <w:lang w:val="ru-RU"/>
        </w:rPr>
      </w:pPr>
      <w:r w:rsidRPr="00A20FDD">
        <w:rPr>
          <w:rStyle w:val="FootnoteReference"/>
          <w:rFonts w:cs="Times New Roman"/>
        </w:rPr>
        <w:footnoteRef/>
      </w:r>
      <w:r>
        <w:rPr>
          <w:rStyle w:val="Hyperlink"/>
          <w:rFonts w:cs="Times New Roman"/>
          <w:color w:val="auto"/>
          <w:u w:val="none"/>
          <w:lang w:val="ru-RU"/>
        </w:rPr>
        <w:t xml:space="preserve"> </w:t>
      </w:r>
      <w:hyperlink r:id="rId15" w:history="1">
        <w:r w:rsidRPr="00FD6B73">
          <w:rPr>
            <w:rStyle w:val="Hyperlink"/>
            <w:rFonts w:cs="Times New Roman"/>
            <w:color w:val="auto"/>
            <w:u w:val="none"/>
            <w:lang w:val="ru-RU"/>
          </w:rPr>
          <w:t>Закон о потврђивању Конвенције о трансферу осуђе</w:t>
        </w:r>
        <w:r>
          <w:rPr>
            <w:rStyle w:val="Hyperlink"/>
            <w:rFonts w:cs="Times New Roman"/>
            <w:color w:val="auto"/>
            <w:u w:val="none"/>
            <w:lang w:val="ru-RU"/>
          </w:rPr>
          <w:t>них лица са Додатним протоколом</w:t>
        </w:r>
        <w:r w:rsidRPr="00FD6B73">
          <w:rPr>
            <w:rStyle w:val="Hyperlink"/>
            <w:rFonts w:cs="Times New Roman"/>
            <w:color w:val="auto"/>
            <w:u w:val="none"/>
            <w:lang w:val="ru-RU"/>
          </w:rPr>
          <w:t xml:space="preserve"> </w:t>
        </w:r>
        <w:r>
          <w:rPr>
            <w:rStyle w:val="Hyperlink"/>
            <w:rFonts w:cs="Times New Roman"/>
            <w:color w:val="auto"/>
            <w:u w:val="none"/>
            <w:lang w:val="ru-RU"/>
          </w:rPr>
          <w:t>(</w:t>
        </w:r>
        <w:r w:rsidRPr="00FD6B73">
          <w:rPr>
            <w:rStyle w:val="Hyperlink"/>
            <w:rFonts w:cs="Times New Roman"/>
            <w:color w:val="auto"/>
            <w:u w:val="none"/>
            <w:lang w:val="ru-RU"/>
          </w:rPr>
          <w:t>„Службени лист СРЈ - Међународни уговори</w:t>
        </w:r>
        <w:r>
          <w:rPr>
            <w:rStyle w:val="Hyperlink"/>
            <w:rFonts w:cs="Times New Roman"/>
            <w:color w:val="auto"/>
            <w:u w:val="none"/>
            <w:lang w:val="ru-RU"/>
          </w:rPr>
          <w:t>ˮ, број 4/</w:t>
        </w:r>
        <w:r w:rsidRPr="00FD6B73">
          <w:rPr>
            <w:rStyle w:val="Hyperlink"/>
            <w:rFonts w:cs="Times New Roman"/>
            <w:color w:val="auto"/>
            <w:u w:val="none"/>
            <w:lang w:val="ru-RU"/>
          </w:rPr>
          <w:t>01</w:t>
        </w:r>
      </w:hyperlink>
      <w:r>
        <w:rPr>
          <w:rStyle w:val="Hyperlink"/>
          <w:rFonts w:cs="Times New Roman"/>
          <w:color w:val="auto"/>
          <w:u w:val="none"/>
          <w:lang w:val="ru-RU"/>
        </w:rPr>
        <w:t>)</w:t>
      </w:r>
    </w:p>
  </w:footnote>
  <w:footnote w:id="21">
    <w:p w14:paraId="6C8CCFA0" w14:textId="5FCA3E08"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Закон о ратификацији Конвенциј</w:t>
      </w:r>
      <w:r w:rsidRPr="00A20FDD">
        <w:rPr>
          <w:rFonts w:cs="Times New Roman"/>
        </w:rPr>
        <w:t>e</w:t>
      </w:r>
      <w:r w:rsidRPr="00FD6B73">
        <w:rPr>
          <w:rFonts w:cs="Times New Roman"/>
          <w:lang w:val="ru-RU"/>
        </w:rPr>
        <w:t xml:space="preserve"> против тортуре и других сурових, нељудских или понижавајућих казни и поступака,</w:t>
      </w:r>
      <w:r>
        <w:rPr>
          <w:rFonts w:cs="Times New Roman"/>
          <w:lang w:val="ru-RU"/>
        </w:rPr>
        <w:t xml:space="preserve"> (</w:t>
      </w:r>
      <w:r w:rsidRPr="00FD6B73">
        <w:rPr>
          <w:rFonts w:cs="Times New Roman"/>
          <w:lang w:val="ru-RU"/>
        </w:rPr>
        <w:t>„Службени лист СФРЈ</w:t>
      </w:r>
      <w:r>
        <w:rPr>
          <w:rFonts w:cs="Times New Roman"/>
          <w:lang w:val="ru-RU"/>
        </w:rPr>
        <w:t xml:space="preserve"> </w:t>
      </w:r>
      <w:r w:rsidRPr="00FD6B73">
        <w:rPr>
          <w:rFonts w:cs="Times New Roman"/>
          <w:lang w:val="ru-RU"/>
        </w:rPr>
        <w:t>- Међународни уговори</w:t>
      </w:r>
      <w:r>
        <w:rPr>
          <w:rFonts w:cs="Times New Roman"/>
          <w:lang w:val="ru-RU"/>
        </w:rPr>
        <w:t>ˮ, број 9/</w:t>
      </w:r>
      <w:r w:rsidRPr="00FD6B73">
        <w:rPr>
          <w:rFonts w:cs="Times New Roman"/>
          <w:lang w:val="ru-RU"/>
        </w:rPr>
        <w:t>91</w:t>
      </w:r>
      <w:r>
        <w:rPr>
          <w:rFonts w:cs="Times New Roman"/>
          <w:lang w:val="ru-RU"/>
        </w:rPr>
        <w:t>)</w:t>
      </w:r>
    </w:p>
  </w:footnote>
  <w:footnote w:id="22">
    <w:p w14:paraId="71060FF4" w14:textId="35EDF829" w:rsidR="000B0462" w:rsidRPr="00FD6B73" w:rsidRDefault="000B0462" w:rsidP="00A20FDD">
      <w:pPr>
        <w:pStyle w:val="FootnoteText"/>
        <w:rPr>
          <w:rFonts w:cs="Times New Roman"/>
          <w:lang w:val="ru-RU"/>
        </w:rPr>
      </w:pPr>
      <w:r w:rsidRPr="00A20FDD">
        <w:rPr>
          <w:rStyle w:val="FootnoteReference"/>
          <w:rFonts w:cs="Times New Roman"/>
        </w:rPr>
        <w:footnoteRef/>
      </w:r>
      <w:r>
        <w:rPr>
          <w:rStyle w:val="Hyperlink"/>
          <w:rFonts w:cs="Times New Roman"/>
          <w:color w:val="auto"/>
          <w:u w:val="none"/>
          <w:lang w:val="ru-RU"/>
        </w:rPr>
        <w:t xml:space="preserve"> </w:t>
      </w:r>
      <w:hyperlink r:id="rId16" w:history="1">
        <w:r w:rsidRPr="00FD6B73">
          <w:rPr>
            <w:rStyle w:val="Hyperlink"/>
            <w:rFonts w:cs="Times New Roman"/>
            <w:color w:val="auto"/>
            <w:u w:val="none"/>
            <w:lang w:val="ru-RU"/>
          </w:rPr>
          <w:t xml:space="preserve">Закон о потврђивању Конвенције Уједињених нација против транснационалног организованог криминала и допунских Протокола, </w:t>
        </w:r>
        <w:r>
          <w:rPr>
            <w:rStyle w:val="Hyperlink"/>
            <w:rFonts w:cs="Times New Roman"/>
            <w:color w:val="auto"/>
            <w:u w:val="none"/>
            <w:lang w:val="ru-RU"/>
          </w:rPr>
          <w:t>(</w:t>
        </w:r>
        <w:r w:rsidRPr="00FD6B73">
          <w:rPr>
            <w:rStyle w:val="Hyperlink"/>
            <w:rFonts w:cs="Times New Roman"/>
            <w:color w:val="auto"/>
            <w:u w:val="none"/>
            <w:lang w:val="ru-RU"/>
          </w:rPr>
          <w:t>„Службени лист СРЈ -</w:t>
        </w:r>
      </w:hyperlink>
      <w:r>
        <w:rPr>
          <w:rStyle w:val="Hyperlink"/>
          <w:rFonts w:cs="Times New Roman"/>
          <w:color w:val="auto"/>
          <w:u w:val="none"/>
          <w:lang w:val="ru-RU"/>
        </w:rPr>
        <w:t xml:space="preserve"> </w:t>
      </w:r>
      <w:hyperlink r:id="rId17" w:history="1">
        <w:r w:rsidRPr="00FD6B73">
          <w:rPr>
            <w:rStyle w:val="Hyperlink"/>
            <w:rFonts w:cs="Times New Roman"/>
            <w:color w:val="auto"/>
            <w:u w:val="none"/>
            <w:lang w:val="ru-RU"/>
          </w:rPr>
          <w:t>Међународни уговори</w:t>
        </w:r>
        <w:r>
          <w:rPr>
            <w:rStyle w:val="Hyperlink"/>
            <w:rFonts w:cs="Times New Roman"/>
            <w:color w:val="auto"/>
            <w:u w:val="none"/>
            <w:lang w:val="ru-RU"/>
          </w:rPr>
          <w:t>ˮ, број 6/</w:t>
        </w:r>
        <w:r w:rsidRPr="00FD6B73">
          <w:rPr>
            <w:rStyle w:val="Hyperlink"/>
            <w:rFonts w:cs="Times New Roman"/>
            <w:color w:val="auto"/>
            <w:u w:val="none"/>
            <w:lang w:val="ru-RU"/>
          </w:rPr>
          <w:t>01</w:t>
        </w:r>
      </w:hyperlink>
      <w:r>
        <w:rPr>
          <w:rStyle w:val="Hyperlink"/>
          <w:rFonts w:cs="Times New Roman"/>
          <w:color w:val="auto"/>
          <w:u w:val="none"/>
          <w:lang w:val="ru-RU"/>
        </w:rPr>
        <w:t>)</w:t>
      </w:r>
    </w:p>
  </w:footnote>
  <w:footnote w:id="23">
    <w:p w14:paraId="109EF3F6" w14:textId="591533CB" w:rsidR="000B0462" w:rsidRPr="00FD6B73" w:rsidRDefault="000B0462" w:rsidP="00A20FDD">
      <w:pPr>
        <w:pStyle w:val="FootnoteText"/>
        <w:rPr>
          <w:lang w:val="ru-RU"/>
        </w:rPr>
      </w:pPr>
      <w:r w:rsidRPr="00A20FDD">
        <w:rPr>
          <w:rStyle w:val="FootnoteReference"/>
          <w:rFonts w:cs="Times New Roman"/>
        </w:rPr>
        <w:footnoteRef/>
      </w:r>
      <w:r w:rsidRPr="00FD6B73">
        <w:rPr>
          <w:rFonts w:cs="Times New Roman"/>
          <w:lang w:val="ru-RU"/>
        </w:rPr>
        <w:t xml:space="preserve"> Закон о потврђивању Међународне конвенције о заштити свих лица од присилних нестанака:</w:t>
      </w:r>
      <w:r>
        <w:rPr>
          <w:rFonts w:cs="Times New Roman"/>
          <w:lang w:val="ru-RU"/>
        </w:rPr>
        <w:t xml:space="preserve"> (</w:t>
      </w:r>
      <w:r w:rsidRPr="00FD6B73">
        <w:rPr>
          <w:rFonts w:cs="Times New Roman"/>
          <w:lang w:val="ru-RU"/>
        </w:rPr>
        <w:t>„Службени гласник РС -</w:t>
      </w:r>
      <w:r>
        <w:rPr>
          <w:rFonts w:cs="Times New Roman"/>
          <w:lang w:val="ru-RU"/>
        </w:rPr>
        <w:t xml:space="preserve"> Међународни уговориˮ, број 1/</w:t>
      </w:r>
      <w:r w:rsidRPr="00FD6B73">
        <w:rPr>
          <w:rFonts w:cs="Times New Roman"/>
          <w:lang w:val="ru-RU"/>
        </w:rPr>
        <w:t>11</w:t>
      </w:r>
      <w:r>
        <w:rPr>
          <w:rFonts w:cs="Times New Roman"/>
          <w:lang w:val="ru-RU"/>
        </w:rPr>
        <w:t>)</w:t>
      </w:r>
      <w:r w:rsidRPr="00FD6B73">
        <w:rPr>
          <w:rFonts w:cs="Times New Roman"/>
          <w:lang w:val="ru-RU"/>
        </w:rPr>
        <w:t xml:space="preserve"> </w:t>
      </w:r>
    </w:p>
  </w:footnote>
  <w:footnote w:id="24">
    <w:p w14:paraId="3D01E2A2" w14:textId="28FC3D62"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Закон о ратификацији Међународног пакта о грађанским и политичким правима („Службени лист СФРЈ</w:t>
      </w:r>
      <w:r>
        <w:rPr>
          <w:rFonts w:cs="Times New Roman"/>
          <w:lang w:val="ru-RU"/>
        </w:rPr>
        <w:t>ˮ, број 7/71)</w:t>
      </w:r>
    </w:p>
  </w:footnote>
  <w:footnote w:id="25">
    <w:p w14:paraId="0C603885" w14:textId="3BA44FB9"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Закон о ратификацији Опционог протокола уз Конвенцију против тортуре и других сурових, нељудских или понижавајућих казни и поступака, </w:t>
      </w:r>
      <w:r>
        <w:rPr>
          <w:rFonts w:cs="Times New Roman"/>
          <w:lang w:val="ru-RU"/>
        </w:rPr>
        <w:t>(</w:t>
      </w:r>
      <w:r w:rsidRPr="00FD6B73">
        <w:rPr>
          <w:rFonts w:cs="Times New Roman"/>
          <w:lang w:val="ru-RU"/>
        </w:rPr>
        <w:t>„Службени лист СЦГ -Међународни уговори</w:t>
      </w:r>
      <w:r>
        <w:rPr>
          <w:rFonts w:cs="Times New Roman"/>
          <w:lang w:val="ru-RU"/>
        </w:rPr>
        <w:t>ˮ, бр. 16/05, 2/</w:t>
      </w:r>
      <w:r w:rsidRPr="00FD6B73">
        <w:rPr>
          <w:rFonts w:cs="Times New Roman"/>
          <w:lang w:val="ru-RU"/>
        </w:rPr>
        <w:t>06 и „Службени гласник РС - Међународни уговори</w:t>
      </w:r>
      <w:r>
        <w:rPr>
          <w:rFonts w:cs="Times New Roman"/>
          <w:lang w:val="ru-RU"/>
        </w:rPr>
        <w:t>ˮ, број 7/</w:t>
      </w:r>
      <w:r w:rsidRPr="00FD6B73">
        <w:rPr>
          <w:rFonts w:cs="Times New Roman"/>
          <w:lang w:val="ru-RU"/>
        </w:rPr>
        <w:t>11</w:t>
      </w:r>
      <w:r>
        <w:rPr>
          <w:rFonts w:cs="Times New Roman"/>
          <w:lang w:val="ru-RU"/>
        </w:rPr>
        <w:t>)</w:t>
      </w:r>
    </w:p>
  </w:footnote>
  <w:footnote w:id="26">
    <w:p w14:paraId="62650DB9" w14:textId="663D5AE2" w:rsidR="000B0462" w:rsidRPr="00FD6B73" w:rsidRDefault="000B0462" w:rsidP="00A20FDD">
      <w:pPr>
        <w:pStyle w:val="FootnoteText"/>
        <w:rPr>
          <w:rFonts w:cs="Times New Roman"/>
          <w:lang w:val="ru-RU"/>
        </w:rPr>
      </w:pPr>
      <w:r w:rsidRPr="00A20FDD">
        <w:rPr>
          <w:rStyle w:val="FootnoteReference"/>
          <w:rFonts w:cs="Times New Roman"/>
        </w:rPr>
        <w:footnoteRef/>
      </w:r>
      <w:r>
        <w:rPr>
          <w:rStyle w:val="Hyperlink"/>
          <w:rFonts w:cs="Times New Roman"/>
          <w:color w:val="auto"/>
          <w:u w:val="none"/>
          <w:lang w:val="ru-RU"/>
        </w:rPr>
        <w:t xml:space="preserve"> </w:t>
      </w:r>
      <w:hyperlink r:id="rId18" w:tgtFrame="_blank" w:tooltip="Documenttitle" w:history="1">
        <w:r w:rsidRPr="00FD6B73">
          <w:rPr>
            <w:rStyle w:val="Hyperlink"/>
            <w:rFonts w:cs="Times New Roman"/>
            <w:color w:val="auto"/>
            <w:u w:val="none"/>
            <w:lang w:val="ru-RU"/>
          </w:rPr>
          <w:t>Повеља Уједињених нација</w:t>
        </w:r>
      </w:hyperlink>
      <w:r w:rsidRPr="00FD6B73">
        <w:rPr>
          <w:rFonts w:cs="Times New Roman"/>
          <w:lang w:val="ru-RU"/>
        </w:rPr>
        <w:t xml:space="preserve"> </w:t>
      </w:r>
      <w:r>
        <w:rPr>
          <w:rFonts w:cs="Times New Roman"/>
          <w:lang w:val="ru-RU"/>
        </w:rPr>
        <w:t>(</w:t>
      </w:r>
      <w:r w:rsidRPr="00FD6B73">
        <w:rPr>
          <w:rFonts w:cs="Times New Roman"/>
          <w:lang w:val="ru-RU"/>
        </w:rPr>
        <w:t>„Службени лист ДФЈ</w:t>
      </w:r>
      <w:r>
        <w:rPr>
          <w:rFonts w:cs="Times New Roman"/>
          <w:lang w:val="ru-RU"/>
        </w:rPr>
        <w:t>ˮ, број 69/45)</w:t>
      </w:r>
    </w:p>
  </w:footnote>
  <w:footnote w:id="27">
    <w:p w14:paraId="59CC5004" w14:textId="7AD5AF0A" w:rsidR="000B0462" w:rsidRPr="00FD6B73" w:rsidRDefault="000B0462" w:rsidP="00A20FDD">
      <w:pPr>
        <w:pStyle w:val="FootnoteText"/>
        <w:rPr>
          <w:rFonts w:cs="Times New Roman"/>
          <w:lang w:val="ru-RU"/>
        </w:rPr>
      </w:pPr>
      <w:r w:rsidRPr="00A20FDD">
        <w:rPr>
          <w:rStyle w:val="FootnoteReference"/>
          <w:rFonts w:cs="Times New Roman"/>
        </w:rPr>
        <w:footnoteRef/>
      </w:r>
      <w:r>
        <w:rPr>
          <w:rFonts w:cs="Times New Roman"/>
          <w:lang w:val="ru-RU"/>
        </w:rPr>
        <w:t xml:space="preserve"> Резолуција 1503 (2003</w:t>
      </w:r>
      <w:r w:rsidRPr="00FD6B73">
        <w:rPr>
          <w:rFonts w:cs="Times New Roman"/>
          <w:lang w:val="ru-RU"/>
        </w:rPr>
        <w:t xml:space="preserve">) коју је прихватио Савет безбедности УН на својој 4817. седници, 28. </w:t>
      </w:r>
      <w:r>
        <w:rPr>
          <w:rFonts w:cs="Times New Roman"/>
          <w:lang w:val="ru-RU"/>
        </w:rPr>
        <w:t>августа</w:t>
      </w:r>
      <w:r w:rsidRPr="00FD6B73">
        <w:rPr>
          <w:rFonts w:cs="Times New Roman"/>
          <w:lang w:val="ru-RU"/>
        </w:rPr>
        <w:t xml:space="preserve"> 2003.</w:t>
      </w:r>
      <w:r>
        <w:rPr>
          <w:rFonts w:cs="Times New Roman"/>
          <w:lang w:val="ru-RU"/>
        </w:rPr>
        <w:t xml:space="preserve"> године</w:t>
      </w:r>
    </w:p>
  </w:footnote>
  <w:footnote w:id="28">
    <w:p w14:paraId="0E26932E" w14:textId="4F55B668" w:rsidR="000B0462" w:rsidRPr="00FD6B73" w:rsidRDefault="000B0462" w:rsidP="00A20FDD">
      <w:pPr>
        <w:pStyle w:val="FootnoteText"/>
        <w:rPr>
          <w:rFonts w:cs="Times New Roman"/>
          <w:lang w:val="ru-RU"/>
        </w:rPr>
      </w:pPr>
      <w:r w:rsidRPr="00A20FDD">
        <w:rPr>
          <w:rStyle w:val="FootnoteReference"/>
          <w:rFonts w:cs="Times New Roman"/>
        </w:rPr>
        <w:footnoteRef/>
      </w:r>
      <w:r>
        <w:rPr>
          <w:rFonts w:cs="Times New Roman"/>
          <w:lang w:val="ru-RU"/>
        </w:rPr>
        <w:t xml:space="preserve"> Резолуција бр. 1534 (2004</w:t>
      </w:r>
      <w:r w:rsidRPr="00FD6B73">
        <w:rPr>
          <w:rFonts w:cs="Times New Roman"/>
          <w:lang w:val="ru-RU"/>
        </w:rPr>
        <w:t>) коју је Савет безбедности усвојио на својој 4935. седници, 26. марта 2004.</w:t>
      </w:r>
      <w:r>
        <w:rPr>
          <w:rFonts w:cs="Times New Roman"/>
          <w:lang w:val="ru-RU"/>
        </w:rPr>
        <w:t xml:space="preserve"> године</w:t>
      </w:r>
    </w:p>
  </w:footnote>
  <w:footnote w:id="29">
    <w:p w14:paraId="78E90A7F" w14:textId="77777777" w:rsidR="000B0462" w:rsidRPr="00FD6B73" w:rsidRDefault="000B0462" w:rsidP="00F734B5">
      <w:pPr>
        <w:pStyle w:val="FootnoteText"/>
        <w:rPr>
          <w:lang w:val="ru-RU"/>
        </w:rPr>
      </w:pPr>
      <w:r>
        <w:rPr>
          <w:rStyle w:val="FootnoteReference"/>
        </w:rPr>
        <w:footnoteRef/>
      </w:r>
      <w:r w:rsidRPr="00FD6B73">
        <w:rPr>
          <w:lang w:val="ru-RU"/>
        </w:rPr>
        <w:t xml:space="preserve"> Резолуција Савета безбедности 1244 (1999) о ситуацији у вези са Косовом, Уједињене Нације, С/РЕС/1244 (1999), 10. јун 1999. године.</w:t>
      </w:r>
    </w:p>
  </w:footnote>
  <w:footnote w:id="30">
    <w:p w14:paraId="1F44B295" w14:textId="21739540" w:rsidR="000B0462" w:rsidRPr="00FD6B73" w:rsidRDefault="000B0462" w:rsidP="001D168A">
      <w:pPr>
        <w:pStyle w:val="FootnoteText"/>
        <w:rPr>
          <w:rFonts w:cs="Times New Roman"/>
          <w:lang w:val="ru-RU"/>
        </w:rPr>
      </w:pPr>
      <w:r w:rsidRPr="007029BB">
        <w:rPr>
          <w:rStyle w:val="FootnoteReference"/>
          <w:rFonts w:cs="Times New Roman"/>
        </w:rPr>
        <w:footnoteRef/>
      </w:r>
      <w:r w:rsidRPr="00FD6B73">
        <w:rPr>
          <w:rFonts w:cs="Times New Roman"/>
          <w:lang w:val="ru-RU"/>
        </w:rPr>
        <w:t xml:space="preserve"> Доступно на: </w:t>
      </w:r>
      <w:hyperlink r:id="rId19" w:history="1">
        <w:r w:rsidRPr="00AC0C13">
          <w:rPr>
            <w:rStyle w:val="Hyperlink"/>
            <w:rFonts w:cs="Times New Roman"/>
          </w:rPr>
          <w:t>https</w:t>
        </w:r>
        <w:r w:rsidRPr="00FD6B73">
          <w:rPr>
            <w:rStyle w:val="Hyperlink"/>
            <w:rFonts w:cs="Times New Roman"/>
            <w:lang w:val="ru-RU"/>
          </w:rPr>
          <w:t>://</w:t>
        </w:r>
        <w:r w:rsidRPr="00AC0C13">
          <w:rPr>
            <w:rStyle w:val="Hyperlink"/>
            <w:rFonts w:cs="Times New Roman"/>
          </w:rPr>
          <w:t>www</w:t>
        </w:r>
        <w:r w:rsidRPr="00FD6B73">
          <w:rPr>
            <w:rStyle w:val="Hyperlink"/>
            <w:rFonts w:cs="Times New Roman"/>
            <w:lang w:val="ru-RU"/>
          </w:rPr>
          <w:t>.</w:t>
        </w:r>
        <w:r w:rsidRPr="00AC0C13">
          <w:rPr>
            <w:rStyle w:val="Hyperlink"/>
            <w:rFonts w:cs="Times New Roman"/>
          </w:rPr>
          <w:t>icty</w:t>
        </w:r>
        <w:r w:rsidRPr="00FD6B73">
          <w:rPr>
            <w:rStyle w:val="Hyperlink"/>
            <w:rFonts w:cs="Times New Roman"/>
            <w:lang w:val="ru-RU"/>
          </w:rPr>
          <w:t>.</w:t>
        </w:r>
        <w:r w:rsidRPr="00AC0C13">
          <w:rPr>
            <w:rStyle w:val="Hyperlink"/>
            <w:rFonts w:cs="Times New Roman"/>
          </w:rPr>
          <w:t>org</w:t>
        </w:r>
        <w:r w:rsidRPr="00FD6B73">
          <w:rPr>
            <w:rStyle w:val="Hyperlink"/>
            <w:rFonts w:cs="Times New Roman"/>
            <w:lang w:val="ru-RU"/>
          </w:rPr>
          <w:t>/</w:t>
        </w:r>
        <w:r w:rsidRPr="00AC0C13">
          <w:rPr>
            <w:rStyle w:val="Hyperlink"/>
            <w:rFonts w:cs="Times New Roman"/>
          </w:rPr>
          <w:t>bcs</w:t>
        </w:r>
        <w:r w:rsidRPr="00FD6B73">
          <w:rPr>
            <w:rStyle w:val="Hyperlink"/>
            <w:rFonts w:cs="Times New Roman"/>
            <w:lang w:val="ru-RU"/>
          </w:rPr>
          <w:t>/</w:t>
        </w:r>
        <w:r w:rsidRPr="00AC0C13">
          <w:rPr>
            <w:rStyle w:val="Hyperlink"/>
            <w:rFonts w:cs="Times New Roman"/>
          </w:rPr>
          <w:t>documents</w:t>
        </w:r>
        <w:r w:rsidRPr="00FD6B73">
          <w:rPr>
            <w:rStyle w:val="Hyperlink"/>
            <w:rFonts w:cs="Times New Roman"/>
            <w:lang w:val="ru-RU"/>
          </w:rPr>
          <w:t>/</w:t>
        </w:r>
        <w:r w:rsidRPr="00AC0C13">
          <w:rPr>
            <w:rStyle w:val="Hyperlink"/>
            <w:rFonts w:cs="Times New Roman"/>
          </w:rPr>
          <w:t>statut</w:t>
        </w:r>
        <w:r w:rsidRPr="00FD6B73">
          <w:rPr>
            <w:rStyle w:val="Hyperlink"/>
            <w:rFonts w:cs="Times New Roman"/>
            <w:lang w:val="ru-RU"/>
          </w:rPr>
          <w:t>-</w:t>
        </w:r>
        <w:r w:rsidRPr="00AC0C13">
          <w:rPr>
            <w:rStyle w:val="Hyperlink"/>
            <w:rFonts w:cs="Times New Roman"/>
          </w:rPr>
          <w:t>medunarodnog</w:t>
        </w:r>
        <w:r w:rsidRPr="00FD6B73">
          <w:rPr>
            <w:rStyle w:val="Hyperlink"/>
            <w:rFonts w:cs="Times New Roman"/>
            <w:lang w:val="ru-RU"/>
          </w:rPr>
          <w:t>-</w:t>
        </w:r>
        <w:r w:rsidRPr="00AC0C13">
          <w:rPr>
            <w:rStyle w:val="Hyperlink"/>
            <w:rFonts w:cs="Times New Roman"/>
          </w:rPr>
          <w:t>suda</w:t>
        </w:r>
      </w:hyperlink>
      <w:r>
        <w:rPr>
          <w:rFonts w:cs="Times New Roman"/>
          <w:lang w:val="ru-RU"/>
        </w:rPr>
        <w:t xml:space="preserve">, приступљено 5. априла </w:t>
      </w:r>
      <w:r w:rsidRPr="00FD6B73">
        <w:rPr>
          <w:rFonts w:cs="Times New Roman"/>
          <w:lang w:val="ru-RU"/>
        </w:rPr>
        <w:t>2021. године</w:t>
      </w:r>
    </w:p>
  </w:footnote>
  <w:footnote w:id="31">
    <w:p w14:paraId="2983CF21" w14:textId="0628124A" w:rsidR="000B0462" w:rsidRPr="00FD6B73" w:rsidRDefault="000B0462">
      <w:pPr>
        <w:pStyle w:val="FootnoteText"/>
        <w:rPr>
          <w:lang w:val="ru-RU"/>
        </w:rPr>
      </w:pPr>
      <w:r>
        <w:rPr>
          <w:rStyle w:val="FootnoteReference"/>
        </w:rPr>
        <w:footnoteRef/>
      </w:r>
      <w:r>
        <w:rPr>
          <w:lang w:val="ru-RU"/>
        </w:rPr>
        <w:t xml:space="preserve"> </w:t>
      </w:r>
      <w:r w:rsidRPr="00FD6B73">
        <w:rPr>
          <w:lang w:val="ru-RU"/>
        </w:rPr>
        <w:t xml:space="preserve">Резолуција Савета безбедности 1966 (2010), </w:t>
      </w:r>
      <w:r>
        <w:t>S</w:t>
      </w:r>
      <w:r w:rsidRPr="00FD6B73">
        <w:rPr>
          <w:lang w:val="ru-RU"/>
        </w:rPr>
        <w:t>/</w:t>
      </w:r>
      <w:r>
        <w:t>RES</w:t>
      </w:r>
      <w:r>
        <w:rPr>
          <w:lang w:val="ru-RU"/>
        </w:rPr>
        <w:t>/1966 (2010</w:t>
      </w:r>
      <w:r w:rsidRPr="00FD6B73">
        <w:rPr>
          <w:lang w:val="ru-RU"/>
        </w:rPr>
        <w:t xml:space="preserve">) усвојена 22. децембра 2010. </w:t>
      </w:r>
      <w:r>
        <w:rPr>
          <w:lang w:val="ru-RU"/>
        </w:rPr>
        <w:t>године на 6463. седници</w:t>
      </w:r>
    </w:p>
  </w:footnote>
  <w:footnote w:id="32">
    <w:p w14:paraId="40ADE607" w14:textId="36A73548"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Закон о потврђивању Римског статута М</w:t>
      </w:r>
      <w:r>
        <w:rPr>
          <w:rFonts w:cs="Times New Roman"/>
          <w:lang w:val="ru-RU"/>
        </w:rPr>
        <w:t>еђународног кривичног суда („Службени</w:t>
      </w:r>
      <w:r w:rsidRPr="00FD6B73">
        <w:rPr>
          <w:rFonts w:cs="Times New Roman"/>
          <w:lang w:val="ru-RU"/>
        </w:rPr>
        <w:t xml:space="preserve"> лист СРЈ - Међународни уговори</w:t>
      </w:r>
      <w:r>
        <w:rPr>
          <w:rFonts w:cs="Times New Roman"/>
          <w:lang w:val="ru-RU"/>
        </w:rPr>
        <w:t>ˮ, број 5/01)</w:t>
      </w:r>
    </w:p>
  </w:footnote>
  <w:footnote w:id="33">
    <w:p w14:paraId="6A5E677E" w14:textId="2E98570D" w:rsidR="000B0462" w:rsidRPr="00A20FDD" w:rsidRDefault="000B0462" w:rsidP="00A20FDD">
      <w:pPr>
        <w:pStyle w:val="FootnoteText"/>
        <w:rPr>
          <w:rFonts w:cs="Times New Roman"/>
        </w:rPr>
      </w:pPr>
      <w:r w:rsidRPr="00A20FDD">
        <w:rPr>
          <w:rStyle w:val="FootnoteReference"/>
          <w:rFonts w:cs="Times New Roman"/>
        </w:rPr>
        <w:footnoteRef/>
      </w:r>
      <w:r w:rsidRPr="00A20FDD">
        <w:rPr>
          <w:rFonts w:cs="Times New Roman"/>
        </w:rPr>
        <w:t xml:space="preserve"> Universal Declaration of Human Rights, General Assembly resolution</w:t>
      </w:r>
      <w:r>
        <w:rPr>
          <w:rFonts w:cs="Times New Roman"/>
        </w:rPr>
        <w:t xml:space="preserve"> 217 A, Paris, 10 December 1948</w:t>
      </w:r>
    </w:p>
  </w:footnote>
  <w:footnote w:id="34">
    <w:p w14:paraId="42B53B85" w14:textId="77777777"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Извештај о скринингу за Поглавље 23, доступно на: </w:t>
      </w:r>
      <w:hyperlink r:id="rId20" w:history="1">
        <w:r w:rsidRPr="00A20FDD">
          <w:rPr>
            <w:rStyle w:val="Hyperlink"/>
            <w:rFonts w:cs="Times New Roman"/>
          </w:rPr>
          <w:t>https</w:t>
        </w:r>
        <w:r w:rsidRPr="00FD6B73">
          <w:rPr>
            <w:rStyle w:val="Hyperlink"/>
            <w:rFonts w:cs="Times New Roman"/>
            <w:lang w:val="ru-RU"/>
          </w:rPr>
          <w:t>://</w:t>
        </w:r>
        <w:r w:rsidRPr="00A20FDD">
          <w:rPr>
            <w:rStyle w:val="Hyperlink"/>
            <w:rFonts w:cs="Times New Roman"/>
          </w:rPr>
          <w:t>www</w:t>
        </w:r>
        <w:r w:rsidRPr="00FD6B73">
          <w:rPr>
            <w:rStyle w:val="Hyperlink"/>
            <w:rFonts w:cs="Times New Roman"/>
            <w:lang w:val="ru-RU"/>
          </w:rPr>
          <w:t>.</w:t>
        </w:r>
        <w:r w:rsidRPr="00A20FDD">
          <w:rPr>
            <w:rStyle w:val="Hyperlink"/>
            <w:rFonts w:cs="Times New Roman"/>
          </w:rPr>
          <w:t>mpravde</w:t>
        </w:r>
        <w:r w:rsidRPr="00FD6B73">
          <w:rPr>
            <w:rStyle w:val="Hyperlink"/>
            <w:rFonts w:cs="Times New Roman"/>
            <w:lang w:val="ru-RU"/>
          </w:rPr>
          <w:t>.</w:t>
        </w:r>
        <w:r w:rsidRPr="00A20FDD">
          <w:rPr>
            <w:rStyle w:val="Hyperlink"/>
            <w:rFonts w:cs="Times New Roman"/>
          </w:rPr>
          <w:t>gov</w:t>
        </w:r>
        <w:r w:rsidRPr="00FD6B73">
          <w:rPr>
            <w:rStyle w:val="Hyperlink"/>
            <w:rFonts w:cs="Times New Roman"/>
            <w:lang w:val="ru-RU"/>
          </w:rPr>
          <w:t>.</w:t>
        </w:r>
        <w:r w:rsidRPr="00A20FDD">
          <w:rPr>
            <w:rStyle w:val="Hyperlink"/>
            <w:rFonts w:cs="Times New Roman"/>
          </w:rPr>
          <w:t>rs</w:t>
        </w:r>
        <w:r w:rsidRPr="00FD6B73">
          <w:rPr>
            <w:rStyle w:val="Hyperlink"/>
            <w:rFonts w:cs="Times New Roman"/>
            <w:lang w:val="ru-RU"/>
          </w:rPr>
          <w:t>/</w:t>
        </w:r>
        <w:r w:rsidRPr="00A20FDD">
          <w:rPr>
            <w:rStyle w:val="Hyperlink"/>
            <w:rFonts w:cs="Times New Roman"/>
          </w:rPr>
          <w:t>tekst</w:t>
        </w:r>
        <w:r w:rsidRPr="00FD6B73">
          <w:rPr>
            <w:rStyle w:val="Hyperlink"/>
            <w:rFonts w:cs="Times New Roman"/>
            <w:lang w:val="ru-RU"/>
          </w:rPr>
          <w:t>/7073/</w:t>
        </w:r>
        <w:r w:rsidRPr="00A20FDD">
          <w:rPr>
            <w:rStyle w:val="Hyperlink"/>
            <w:rFonts w:cs="Times New Roman"/>
          </w:rPr>
          <w:t>izvestaj</w:t>
        </w:r>
        <w:r w:rsidRPr="00FD6B73">
          <w:rPr>
            <w:rStyle w:val="Hyperlink"/>
            <w:rFonts w:cs="Times New Roman"/>
            <w:lang w:val="ru-RU"/>
          </w:rPr>
          <w:t>-</w:t>
        </w:r>
        <w:r w:rsidRPr="00A20FDD">
          <w:rPr>
            <w:rStyle w:val="Hyperlink"/>
            <w:rFonts w:cs="Times New Roman"/>
          </w:rPr>
          <w:t>o</w:t>
        </w:r>
        <w:r w:rsidRPr="00FD6B73">
          <w:rPr>
            <w:rStyle w:val="Hyperlink"/>
            <w:rFonts w:cs="Times New Roman"/>
            <w:lang w:val="ru-RU"/>
          </w:rPr>
          <w:t>-</w:t>
        </w:r>
        <w:r w:rsidRPr="00A20FDD">
          <w:rPr>
            <w:rStyle w:val="Hyperlink"/>
            <w:rFonts w:cs="Times New Roman"/>
          </w:rPr>
          <w:t>skriningu</w:t>
        </w:r>
        <w:r w:rsidRPr="00FD6B73">
          <w:rPr>
            <w:rStyle w:val="Hyperlink"/>
            <w:rFonts w:cs="Times New Roman"/>
            <w:lang w:val="ru-RU"/>
          </w:rPr>
          <w:t>.</w:t>
        </w:r>
        <w:r w:rsidRPr="00A20FDD">
          <w:rPr>
            <w:rStyle w:val="Hyperlink"/>
            <w:rFonts w:cs="Times New Roman"/>
          </w:rPr>
          <w:t>php</w:t>
        </w:r>
      </w:hyperlink>
      <w:r w:rsidRPr="00FD6B73">
        <w:rPr>
          <w:rFonts w:cs="Times New Roman"/>
          <w:lang w:val="ru-RU"/>
        </w:rPr>
        <w:t>, приступљено 25. марта 2020. године</w:t>
      </w:r>
    </w:p>
  </w:footnote>
  <w:footnote w:id="35">
    <w:p w14:paraId="3DB922A0" w14:textId="2D57DCAA" w:rsidR="000B0462" w:rsidRPr="00FD6B73" w:rsidRDefault="000B0462" w:rsidP="00A20FDD">
      <w:pPr>
        <w:pStyle w:val="Default"/>
        <w:jc w:val="both"/>
        <w:rPr>
          <w:rFonts w:ascii="Times New Roman" w:hAnsi="Times New Roman" w:cs="Times New Roman"/>
          <w:sz w:val="20"/>
          <w:szCs w:val="20"/>
          <w:lang w:val="ru-RU"/>
        </w:rPr>
      </w:pPr>
      <w:r w:rsidRPr="00A20FDD">
        <w:rPr>
          <w:rStyle w:val="FootnoteReference"/>
          <w:rFonts w:ascii="Times New Roman" w:hAnsi="Times New Roman" w:cs="Times New Roman"/>
          <w:sz w:val="20"/>
          <w:szCs w:val="20"/>
        </w:rPr>
        <w:footnoteRef/>
      </w:r>
      <w:r>
        <w:rPr>
          <w:rFonts w:ascii="Times New Roman" w:hAnsi="Times New Roman" w:cs="Times New Roman"/>
          <w:sz w:val="20"/>
          <w:szCs w:val="20"/>
          <w:lang w:val="ru-RU"/>
        </w:rPr>
        <w:t xml:space="preserve"> </w:t>
      </w:r>
      <w:r w:rsidRPr="00FD6B73">
        <w:rPr>
          <w:rFonts w:ascii="Times New Roman" w:hAnsi="Times New Roman" w:cs="Times New Roman"/>
          <w:sz w:val="20"/>
          <w:szCs w:val="20"/>
          <w:lang w:val="ru-RU"/>
        </w:rPr>
        <w:t xml:space="preserve">Акциони план за Поглавље 23, доступно на: </w:t>
      </w:r>
      <w:hyperlink r:id="rId21" w:history="1">
        <w:r w:rsidRPr="00A20FDD">
          <w:rPr>
            <w:rStyle w:val="Hyperlink"/>
            <w:rFonts w:ascii="Times New Roman" w:hAnsi="Times New Roman" w:cs="Times New Roman"/>
            <w:sz w:val="20"/>
            <w:szCs w:val="20"/>
          </w:rPr>
          <w:t>https</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www</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mpravde</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gov</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rs</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tekst</w:t>
        </w:r>
        <w:r w:rsidRPr="00FD6B73">
          <w:rPr>
            <w:rStyle w:val="Hyperlink"/>
            <w:rFonts w:ascii="Times New Roman" w:hAnsi="Times New Roman" w:cs="Times New Roman"/>
            <w:sz w:val="20"/>
            <w:szCs w:val="20"/>
            <w:lang w:val="ru-RU"/>
          </w:rPr>
          <w:t>/12647/</w:t>
        </w:r>
        <w:r w:rsidRPr="00A20FDD">
          <w:rPr>
            <w:rStyle w:val="Hyperlink"/>
            <w:rFonts w:ascii="Times New Roman" w:hAnsi="Times New Roman" w:cs="Times New Roman"/>
            <w:sz w:val="20"/>
            <w:szCs w:val="20"/>
          </w:rPr>
          <w:t>akcioni</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plan</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za</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pregovaranje</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poglavlja</w:t>
        </w:r>
        <w:r w:rsidRPr="00FD6B73">
          <w:rPr>
            <w:rStyle w:val="Hyperlink"/>
            <w:rFonts w:ascii="Times New Roman" w:hAnsi="Times New Roman" w:cs="Times New Roman"/>
            <w:sz w:val="20"/>
            <w:szCs w:val="20"/>
            <w:lang w:val="ru-RU"/>
          </w:rPr>
          <w:t>-23-</w:t>
        </w:r>
        <w:r w:rsidRPr="00A20FDD">
          <w:rPr>
            <w:rStyle w:val="Hyperlink"/>
            <w:rFonts w:ascii="Times New Roman" w:hAnsi="Times New Roman" w:cs="Times New Roman"/>
            <w:sz w:val="20"/>
            <w:szCs w:val="20"/>
          </w:rPr>
          <w:t>usvojen</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na</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sednici</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vlade</w:t>
        </w:r>
        <w:r w:rsidRPr="00FD6B73">
          <w:rPr>
            <w:rStyle w:val="Hyperlink"/>
            <w:rFonts w:ascii="Times New Roman" w:hAnsi="Times New Roman" w:cs="Times New Roman"/>
            <w:sz w:val="20"/>
            <w:szCs w:val="20"/>
            <w:lang w:val="ru-RU"/>
          </w:rPr>
          <w:t>-</w:t>
        </w:r>
        <w:r w:rsidRPr="00A20FDD">
          <w:rPr>
            <w:rStyle w:val="Hyperlink"/>
            <w:rFonts w:ascii="Times New Roman" w:hAnsi="Times New Roman" w:cs="Times New Roman"/>
            <w:sz w:val="20"/>
            <w:szCs w:val="20"/>
          </w:rPr>
          <w:t>srbije</w:t>
        </w:r>
        <w:r w:rsidRPr="00FD6B73">
          <w:rPr>
            <w:rStyle w:val="Hyperlink"/>
            <w:rFonts w:ascii="Times New Roman" w:hAnsi="Times New Roman" w:cs="Times New Roman"/>
            <w:sz w:val="20"/>
            <w:szCs w:val="20"/>
            <w:lang w:val="ru-RU"/>
          </w:rPr>
          <w:t>-27-</w:t>
        </w:r>
        <w:r w:rsidRPr="00A20FDD">
          <w:rPr>
            <w:rStyle w:val="Hyperlink"/>
            <w:rFonts w:ascii="Times New Roman" w:hAnsi="Times New Roman" w:cs="Times New Roman"/>
            <w:sz w:val="20"/>
            <w:szCs w:val="20"/>
          </w:rPr>
          <w:t>aprila</w:t>
        </w:r>
        <w:r w:rsidRPr="00FD6B73">
          <w:rPr>
            <w:rStyle w:val="Hyperlink"/>
            <w:rFonts w:ascii="Times New Roman" w:hAnsi="Times New Roman" w:cs="Times New Roman"/>
            <w:sz w:val="20"/>
            <w:szCs w:val="20"/>
            <w:lang w:val="ru-RU"/>
          </w:rPr>
          <w:t>-2016.</w:t>
        </w:r>
        <w:r w:rsidRPr="00A20FDD">
          <w:rPr>
            <w:rStyle w:val="Hyperlink"/>
            <w:rFonts w:ascii="Times New Roman" w:hAnsi="Times New Roman" w:cs="Times New Roman"/>
            <w:sz w:val="20"/>
            <w:szCs w:val="20"/>
          </w:rPr>
          <w:t>php</w:t>
        </w:r>
      </w:hyperlink>
      <w:r w:rsidRPr="00FD6B73">
        <w:rPr>
          <w:rFonts w:ascii="Times New Roman" w:hAnsi="Times New Roman" w:cs="Times New Roman"/>
          <w:sz w:val="20"/>
          <w:szCs w:val="20"/>
          <w:lang w:val="ru-RU"/>
        </w:rPr>
        <w:t>, при</w:t>
      </w:r>
      <w:r>
        <w:rPr>
          <w:rFonts w:ascii="Times New Roman" w:hAnsi="Times New Roman" w:cs="Times New Roman"/>
          <w:sz w:val="20"/>
          <w:szCs w:val="20"/>
          <w:lang w:val="ru-RU"/>
        </w:rPr>
        <w:t>ступљено 24. марта 2020. године</w:t>
      </w:r>
    </w:p>
  </w:footnote>
  <w:footnote w:id="36">
    <w:p w14:paraId="02722EA4" w14:textId="52360F1D" w:rsidR="000B0462" w:rsidRPr="00FD6B73" w:rsidRDefault="000B0462" w:rsidP="00F422D6">
      <w:pPr>
        <w:spacing w:line="240" w:lineRule="auto"/>
        <w:rPr>
          <w:rFonts w:cs="Times New Roman"/>
          <w:sz w:val="20"/>
          <w:szCs w:val="20"/>
          <w:lang w:val="ru-RU"/>
        </w:rPr>
      </w:pPr>
      <w:r w:rsidRPr="00A20FDD">
        <w:rPr>
          <w:rStyle w:val="FootnoteReference"/>
          <w:rFonts w:cs="Times New Roman"/>
          <w:sz w:val="20"/>
          <w:szCs w:val="20"/>
        </w:rPr>
        <w:footnoteRef/>
      </w:r>
      <w:r w:rsidRPr="00FD6B73">
        <w:rPr>
          <w:rFonts w:cs="Times New Roman"/>
          <w:sz w:val="20"/>
          <w:szCs w:val="20"/>
          <w:lang w:val="ru-RU"/>
        </w:rPr>
        <w:t xml:space="preserve"> Заједничка преговарачка позиција за Поглавље 23, доступно на: </w:t>
      </w:r>
      <w:hyperlink r:id="rId22" w:history="1">
        <w:r w:rsidRPr="00A20FDD">
          <w:rPr>
            <w:rStyle w:val="Hyperlink"/>
            <w:rFonts w:cs="Times New Roman"/>
            <w:sz w:val="20"/>
            <w:szCs w:val="20"/>
          </w:rPr>
          <w:t>https</w:t>
        </w:r>
        <w:r w:rsidRPr="00FD6B73">
          <w:rPr>
            <w:rStyle w:val="Hyperlink"/>
            <w:rFonts w:cs="Times New Roman"/>
            <w:sz w:val="20"/>
            <w:szCs w:val="20"/>
            <w:lang w:val="ru-RU"/>
          </w:rPr>
          <w:t>://</w:t>
        </w:r>
        <w:r w:rsidRPr="00A20FDD">
          <w:rPr>
            <w:rStyle w:val="Hyperlink"/>
            <w:rFonts w:cs="Times New Roman"/>
            <w:sz w:val="20"/>
            <w:szCs w:val="20"/>
          </w:rPr>
          <w:t>www</w:t>
        </w:r>
        <w:r w:rsidRPr="00FD6B73">
          <w:rPr>
            <w:rStyle w:val="Hyperlink"/>
            <w:rFonts w:cs="Times New Roman"/>
            <w:sz w:val="20"/>
            <w:szCs w:val="20"/>
            <w:lang w:val="ru-RU"/>
          </w:rPr>
          <w:t>.</w:t>
        </w:r>
        <w:r w:rsidRPr="00A20FDD">
          <w:rPr>
            <w:rStyle w:val="Hyperlink"/>
            <w:rFonts w:cs="Times New Roman"/>
            <w:sz w:val="20"/>
            <w:szCs w:val="20"/>
          </w:rPr>
          <w:t>mpravde</w:t>
        </w:r>
        <w:r w:rsidRPr="00FD6B73">
          <w:rPr>
            <w:rStyle w:val="Hyperlink"/>
            <w:rFonts w:cs="Times New Roman"/>
            <w:sz w:val="20"/>
            <w:szCs w:val="20"/>
            <w:lang w:val="ru-RU"/>
          </w:rPr>
          <w:t>.</w:t>
        </w:r>
        <w:r w:rsidRPr="00A20FDD">
          <w:rPr>
            <w:rStyle w:val="Hyperlink"/>
            <w:rFonts w:cs="Times New Roman"/>
            <w:sz w:val="20"/>
            <w:szCs w:val="20"/>
          </w:rPr>
          <w:t>gov</w:t>
        </w:r>
        <w:r w:rsidRPr="00FD6B73">
          <w:rPr>
            <w:rStyle w:val="Hyperlink"/>
            <w:rFonts w:cs="Times New Roman"/>
            <w:sz w:val="20"/>
            <w:szCs w:val="20"/>
            <w:lang w:val="ru-RU"/>
          </w:rPr>
          <w:t>.</w:t>
        </w:r>
        <w:r w:rsidRPr="00A20FDD">
          <w:rPr>
            <w:rStyle w:val="Hyperlink"/>
            <w:rFonts w:cs="Times New Roman"/>
            <w:sz w:val="20"/>
            <w:szCs w:val="20"/>
          </w:rPr>
          <w:t>rs</w:t>
        </w:r>
        <w:r w:rsidRPr="00FD6B73">
          <w:rPr>
            <w:rStyle w:val="Hyperlink"/>
            <w:rFonts w:cs="Times New Roman"/>
            <w:sz w:val="20"/>
            <w:szCs w:val="20"/>
            <w:lang w:val="ru-RU"/>
          </w:rPr>
          <w:t>/</w:t>
        </w:r>
        <w:r w:rsidRPr="00A20FDD">
          <w:rPr>
            <w:rStyle w:val="Hyperlink"/>
            <w:rFonts w:cs="Times New Roman"/>
            <w:sz w:val="20"/>
            <w:szCs w:val="20"/>
          </w:rPr>
          <w:t>tekst</w:t>
        </w:r>
        <w:r w:rsidRPr="00FD6B73">
          <w:rPr>
            <w:rStyle w:val="Hyperlink"/>
            <w:rFonts w:cs="Times New Roman"/>
            <w:sz w:val="20"/>
            <w:szCs w:val="20"/>
            <w:lang w:val="ru-RU"/>
          </w:rPr>
          <w:t>/13244/</w:t>
        </w:r>
        <w:r w:rsidRPr="00A20FDD">
          <w:rPr>
            <w:rStyle w:val="Hyperlink"/>
            <w:rFonts w:cs="Times New Roman"/>
            <w:sz w:val="20"/>
            <w:szCs w:val="20"/>
          </w:rPr>
          <w:t>pregovaracka</w:t>
        </w:r>
        <w:r w:rsidRPr="00FD6B73">
          <w:rPr>
            <w:rStyle w:val="Hyperlink"/>
            <w:rFonts w:cs="Times New Roman"/>
            <w:sz w:val="20"/>
            <w:szCs w:val="20"/>
            <w:lang w:val="ru-RU"/>
          </w:rPr>
          <w:t>-</w:t>
        </w:r>
        <w:r w:rsidRPr="00A20FDD">
          <w:rPr>
            <w:rStyle w:val="Hyperlink"/>
            <w:rFonts w:cs="Times New Roman"/>
            <w:sz w:val="20"/>
            <w:szCs w:val="20"/>
          </w:rPr>
          <w:t>pozicija</w:t>
        </w:r>
        <w:r w:rsidRPr="00FD6B73">
          <w:rPr>
            <w:rStyle w:val="Hyperlink"/>
            <w:rFonts w:cs="Times New Roman"/>
            <w:sz w:val="20"/>
            <w:szCs w:val="20"/>
            <w:lang w:val="ru-RU"/>
          </w:rPr>
          <w:t>-.</w:t>
        </w:r>
        <w:r w:rsidRPr="00A20FDD">
          <w:rPr>
            <w:rStyle w:val="Hyperlink"/>
            <w:rFonts w:cs="Times New Roman"/>
            <w:sz w:val="20"/>
            <w:szCs w:val="20"/>
          </w:rPr>
          <w:t>php</w:t>
        </w:r>
      </w:hyperlink>
      <w:r w:rsidRPr="00FD6B73">
        <w:rPr>
          <w:rFonts w:cs="Times New Roman"/>
          <w:sz w:val="20"/>
          <w:szCs w:val="20"/>
          <w:lang w:val="ru-RU"/>
        </w:rPr>
        <w:t>, при</w:t>
      </w:r>
      <w:r>
        <w:rPr>
          <w:rFonts w:cs="Times New Roman"/>
          <w:sz w:val="20"/>
          <w:szCs w:val="20"/>
          <w:lang w:val="ru-RU"/>
        </w:rPr>
        <w:t>ступљено 25. марта 2020. године</w:t>
      </w:r>
    </w:p>
  </w:footnote>
  <w:footnote w:id="37">
    <w:p w14:paraId="71740D3C" w14:textId="7F7D6A32" w:rsidR="000B0462" w:rsidRPr="00FD6B73" w:rsidRDefault="000B0462" w:rsidP="00A75929">
      <w:pPr>
        <w:spacing w:after="0" w:line="240" w:lineRule="auto"/>
        <w:rPr>
          <w:rFonts w:cs="Times New Roman"/>
          <w:sz w:val="20"/>
          <w:szCs w:val="20"/>
          <w:lang w:val="ru-RU"/>
        </w:rPr>
      </w:pPr>
      <w:r w:rsidRPr="00A20FDD">
        <w:rPr>
          <w:rStyle w:val="FootnoteReference"/>
          <w:rFonts w:cs="Times New Roman"/>
          <w:sz w:val="20"/>
          <w:szCs w:val="20"/>
        </w:rPr>
        <w:footnoteRef/>
      </w:r>
      <w:r w:rsidRPr="00FD6B73">
        <w:rPr>
          <w:rFonts w:cs="Times New Roman"/>
          <w:sz w:val="20"/>
          <w:szCs w:val="20"/>
          <w:lang w:val="ru-RU"/>
        </w:rPr>
        <w:t xml:space="preserve"> </w:t>
      </w:r>
      <w:r w:rsidRPr="00FD6B73">
        <w:rPr>
          <w:rFonts w:eastAsiaTheme="majorEastAsia" w:cs="Times New Roman"/>
          <w:lang w:val="ru-RU"/>
        </w:rPr>
        <w:t>НСПРЗ</w:t>
      </w:r>
      <w:r w:rsidRPr="00FD6B73">
        <w:rPr>
          <w:rFonts w:cs="Times New Roman"/>
          <w:sz w:val="20"/>
          <w:szCs w:val="20"/>
          <w:lang w:val="ru-RU"/>
        </w:rPr>
        <w:t xml:space="preserve"> је сугерисано да би неки од критеријума за одређивање приоритета могли бити: Последице ратних злочина: кривична дела са в</w:t>
      </w:r>
      <w:r w:rsidRPr="00A20FDD">
        <w:rPr>
          <w:rFonts w:cs="Times New Roman"/>
          <w:sz w:val="20"/>
          <w:szCs w:val="20"/>
          <w:lang w:val="sr-Cyrl-CS"/>
        </w:rPr>
        <w:t xml:space="preserve">еликим </w:t>
      </w:r>
      <w:r w:rsidRPr="00FD6B73">
        <w:rPr>
          <w:rFonts w:cs="Times New Roman"/>
          <w:sz w:val="20"/>
          <w:szCs w:val="20"/>
          <w:lang w:val="ru-RU"/>
        </w:rPr>
        <w:t xml:space="preserve">бројем жртава, односно дела у којима је извршилац поступао на нарочито окрутан начин, требало би да имају приоритет у истрази; Предмети против осумњичених високог ранга, </w:t>
      </w:r>
      <w:r w:rsidRPr="00A20FDD">
        <w:rPr>
          <w:rFonts w:cs="Times New Roman"/>
          <w:i/>
          <w:sz w:val="20"/>
          <w:szCs w:val="20"/>
        </w:rPr>
        <w:t>de</w:t>
      </w:r>
      <w:r w:rsidRPr="00FD6B73">
        <w:rPr>
          <w:rFonts w:cs="Times New Roman"/>
          <w:i/>
          <w:sz w:val="20"/>
          <w:szCs w:val="20"/>
          <w:lang w:val="ru-RU"/>
        </w:rPr>
        <w:t xml:space="preserve"> </w:t>
      </w:r>
      <w:r w:rsidRPr="00A20FDD">
        <w:rPr>
          <w:rFonts w:cs="Times New Roman"/>
          <w:i/>
          <w:sz w:val="20"/>
          <w:szCs w:val="20"/>
        </w:rPr>
        <w:t>jure</w:t>
      </w:r>
      <w:r w:rsidRPr="00FD6B73">
        <w:rPr>
          <w:rFonts w:cs="Times New Roman"/>
          <w:sz w:val="20"/>
          <w:szCs w:val="20"/>
          <w:lang w:val="ru-RU"/>
        </w:rPr>
        <w:t xml:space="preserve"> или </w:t>
      </w:r>
      <w:r w:rsidRPr="00A20FDD">
        <w:rPr>
          <w:rFonts w:cs="Times New Roman"/>
          <w:i/>
          <w:sz w:val="20"/>
          <w:szCs w:val="20"/>
        </w:rPr>
        <w:t>de</w:t>
      </w:r>
      <w:r w:rsidRPr="00FD6B73">
        <w:rPr>
          <w:rFonts w:cs="Times New Roman"/>
          <w:i/>
          <w:sz w:val="20"/>
          <w:szCs w:val="20"/>
          <w:lang w:val="ru-RU"/>
        </w:rPr>
        <w:t xml:space="preserve"> </w:t>
      </w:r>
      <w:r w:rsidRPr="00A20FDD">
        <w:rPr>
          <w:rFonts w:cs="Times New Roman"/>
          <w:i/>
          <w:sz w:val="20"/>
          <w:szCs w:val="20"/>
        </w:rPr>
        <w:t>facto</w:t>
      </w:r>
      <w:r w:rsidRPr="00FD6B73">
        <w:rPr>
          <w:rFonts w:cs="Times New Roman"/>
          <w:sz w:val="20"/>
          <w:szCs w:val="20"/>
          <w:lang w:val="ru-RU"/>
        </w:rPr>
        <w:t>, требало би да имају приоритет у раду тужиоца; Доступност доказа, осумњиченог, односно осумњичених</w:t>
      </w:r>
      <w:r w:rsidRPr="00A20FDD">
        <w:rPr>
          <w:rFonts w:cs="Times New Roman"/>
          <w:sz w:val="20"/>
          <w:szCs w:val="20"/>
          <w:lang w:val="sr-Cyrl-CS"/>
        </w:rPr>
        <w:t>, сведока</w:t>
      </w:r>
      <w:r w:rsidRPr="00FD6B73">
        <w:rPr>
          <w:rFonts w:cs="Times New Roman"/>
          <w:sz w:val="20"/>
          <w:szCs w:val="20"/>
          <w:lang w:val="ru-RU"/>
        </w:rPr>
        <w:t xml:space="preserve"> и жртава требало би да буде узета у обзир при доношењу одлуке тужиоца да ли ће подићи оптужницу против одређеног лица или више њих или ће тај предмет уступити другом тужиоцу за ратне злочине у региону. У доношењу такве одлуке, тужилац би такође требало да има у виду потребу очувања добросуседских односа са другим државама и регионалну стабилност у целини</w:t>
      </w:r>
      <w:r w:rsidRPr="00A20FDD">
        <w:rPr>
          <w:rFonts w:cs="Times New Roman"/>
          <w:sz w:val="20"/>
          <w:szCs w:val="20"/>
          <w:lang w:val="sr-Cyrl-CS"/>
        </w:rPr>
        <w:t xml:space="preserve">, </w:t>
      </w:r>
      <w:r w:rsidRPr="00A20FDD">
        <w:rPr>
          <w:rFonts w:cs="Times New Roman"/>
          <w:sz w:val="20"/>
          <w:szCs w:val="20"/>
          <w:lang w:val="ru-RU"/>
        </w:rPr>
        <w:t>а на основу сазнања о томе да ли се против истог лица за исте или сличне радње већ води кривични поступак у региону или је исто лице већ осуђено</w:t>
      </w:r>
      <w:r w:rsidRPr="00A20FDD">
        <w:rPr>
          <w:rFonts w:cs="Times New Roman"/>
          <w:color w:val="0000FF"/>
          <w:sz w:val="20"/>
          <w:szCs w:val="20"/>
          <w:lang w:val="ru-RU"/>
        </w:rPr>
        <w:t>.</w:t>
      </w:r>
      <w:r w:rsidRPr="00FD6B73">
        <w:rPr>
          <w:rFonts w:cs="Times New Roman"/>
          <w:sz w:val="20"/>
          <w:szCs w:val="20"/>
          <w:lang w:val="ru-RU"/>
        </w:rPr>
        <w:t xml:space="preserve"> Влада пружа пуну подршку пракси </w:t>
      </w:r>
      <w:r w:rsidRPr="00A20FDD">
        <w:rPr>
          <w:rFonts w:cs="Times New Roman"/>
          <w:sz w:val="20"/>
          <w:szCs w:val="20"/>
          <w:lang w:val="sr-Cyrl-CS"/>
        </w:rPr>
        <w:t xml:space="preserve">избегавања </w:t>
      </w:r>
      <w:r w:rsidRPr="00FD6B73">
        <w:rPr>
          <w:rFonts w:cs="Times New Roman"/>
          <w:sz w:val="20"/>
          <w:szCs w:val="20"/>
          <w:lang w:val="ru-RU"/>
        </w:rPr>
        <w:t xml:space="preserve">суђења у одсуству; Ефекат одређеног дела које је предмет поступка на локалну заједницу, такође би требало да буде узет у обзир. </w:t>
      </w:r>
      <w:r>
        <w:rPr>
          <w:rFonts w:cs="Times New Roman"/>
          <w:sz w:val="20"/>
          <w:szCs w:val="20"/>
          <w:lang w:val="ru-RU"/>
        </w:rPr>
        <w:t xml:space="preserve"> </w:t>
      </w:r>
    </w:p>
  </w:footnote>
  <w:footnote w:id="38">
    <w:p w14:paraId="0C2CB7D4" w14:textId="3481AD91" w:rsidR="000B0462" w:rsidRPr="00FD6B73" w:rsidRDefault="000B0462" w:rsidP="00A75929">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Тужилачка стратегија за истрагу и процесуирање ратних злочина, доступно на: </w:t>
      </w:r>
      <w:hyperlink r:id="rId23" w:history="1">
        <w:r w:rsidRPr="00A20FDD">
          <w:rPr>
            <w:rStyle w:val="Hyperlink"/>
            <w:rFonts w:cs="Times New Roman"/>
          </w:rPr>
          <w:t>https</w:t>
        </w:r>
        <w:r w:rsidRPr="00FD6B73">
          <w:rPr>
            <w:rStyle w:val="Hyperlink"/>
            <w:rFonts w:cs="Times New Roman"/>
            <w:lang w:val="ru-RU"/>
          </w:rPr>
          <w:t>://</w:t>
        </w:r>
        <w:r w:rsidRPr="00A20FDD">
          <w:rPr>
            <w:rStyle w:val="Hyperlink"/>
            <w:rFonts w:cs="Times New Roman"/>
          </w:rPr>
          <w:t>www</w:t>
        </w:r>
        <w:r w:rsidRPr="00FD6B73">
          <w:rPr>
            <w:rStyle w:val="Hyperlink"/>
            <w:rFonts w:cs="Times New Roman"/>
            <w:lang w:val="ru-RU"/>
          </w:rPr>
          <w:t>.</w:t>
        </w:r>
        <w:r w:rsidRPr="00A20FDD">
          <w:rPr>
            <w:rStyle w:val="Hyperlink"/>
            <w:rFonts w:cs="Times New Roman"/>
          </w:rPr>
          <w:t>tuzilastvorz</w:t>
        </w:r>
        <w:r w:rsidRPr="00FD6B73">
          <w:rPr>
            <w:rStyle w:val="Hyperlink"/>
            <w:rFonts w:cs="Times New Roman"/>
            <w:lang w:val="ru-RU"/>
          </w:rPr>
          <w:t>.</w:t>
        </w:r>
        <w:r w:rsidRPr="00A20FDD">
          <w:rPr>
            <w:rStyle w:val="Hyperlink"/>
            <w:rFonts w:cs="Times New Roman"/>
          </w:rPr>
          <w:t>org</w:t>
        </w:r>
        <w:r w:rsidRPr="00FD6B73">
          <w:rPr>
            <w:rStyle w:val="Hyperlink"/>
            <w:rFonts w:cs="Times New Roman"/>
            <w:lang w:val="ru-RU"/>
          </w:rPr>
          <w:t>.</w:t>
        </w:r>
        <w:r w:rsidRPr="00A20FDD">
          <w:rPr>
            <w:rStyle w:val="Hyperlink"/>
            <w:rFonts w:cs="Times New Roman"/>
          </w:rPr>
          <w:t>rs</w:t>
        </w:r>
        <w:r w:rsidRPr="00FD6B73">
          <w:rPr>
            <w:rStyle w:val="Hyperlink"/>
            <w:rFonts w:cs="Times New Roman"/>
            <w:lang w:val="ru-RU"/>
          </w:rPr>
          <w:t>/</w:t>
        </w:r>
        <w:r w:rsidRPr="00A20FDD">
          <w:rPr>
            <w:rStyle w:val="Hyperlink"/>
            <w:rFonts w:cs="Times New Roman"/>
          </w:rPr>
          <w:t>upload</w:t>
        </w:r>
        <w:r w:rsidRPr="00FD6B73">
          <w:rPr>
            <w:rStyle w:val="Hyperlink"/>
            <w:rFonts w:cs="Times New Roman"/>
            <w:lang w:val="ru-RU"/>
          </w:rPr>
          <w:t>/</w:t>
        </w:r>
        <w:r w:rsidRPr="00A20FDD">
          <w:rPr>
            <w:rStyle w:val="Hyperlink"/>
            <w:rFonts w:cs="Times New Roman"/>
          </w:rPr>
          <w:t>HomeDocument</w:t>
        </w:r>
        <w:r w:rsidRPr="00FD6B73">
          <w:rPr>
            <w:rStyle w:val="Hyperlink"/>
            <w:rFonts w:cs="Times New Roman"/>
            <w:lang w:val="ru-RU"/>
          </w:rPr>
          <w:t>/</w:t>
        </w:r>
        <w:r w:rsidRPr="00A20FDD">
          <w:rPr>
            <w:rStyle w:val="Hyperlink"/>
            <w:rFonts w:cs="Times New Roman"/>
          </w:rPr>
          <w:t>Document</w:t>
        </w:r>
        <w:r w:rsidRPr="00FD6B73">
          <w:rPr>
            <w:rStyle w:val="Hyperlink"/>
            <w:rFonts w:cs="Times New Roman"/>
            <w:lang w:val="ru-RU"/>
          </w:rPr>
          <w:t>__</w:t>
        </w:r>
        <w:r w:rsidRPr="00A20FDD">
          <w:rPr>
            <w:rStyle w:val="Hyperlink"/>
            <w:rFonts w:cs="Times New Roman"/>
          </w:rPr>
          <w:t>sr</w:t>
        </w:r>
        <w:r w:rsidRPr="00FD6B73">
          <w:rPr>
            <w:rStyle w:val="Hyperlink"/>
            <w:rFonts w:cs="Times New Roman"/>
            <w:lang w:val="ru-RU"/>
          </w:rPr>
          <w:t>/2018-05/</w:t>
        </w:r>
        <w:r w:rsidRPr="00A20FDD">
          <w:rPr>
            <w:rStyle w:val="Hyperlink"/>
            <w:rFonts w:cs="Times New Roman"/>
          </w:rPr>
          <w:t>strategija</w:t>
        </w:r>
        <w:r w:rsidRPr="00FD6B73">
          <w:rPr>
            <w:rStyle w:val="Hyperlink"/>
            <w:rFonts w:cs="Times New Roman"/>
            <w:lang w:val="ru-RU"/>
          </w:rPr>
          <w:t>_</w:t>
        </w:r>
        <w:r w:rsidRPr="00A20FDD">
          <w:rPr>
            <w:rStyle w:val="Hyperlink"/>
            <w:rFonts w:cs="Times New Roman"/>
          </w:rPr>
          <w:t>trz</w:t>
        </w:r>
        <w:r w:rsidRPr="00FD6B73">
          <w:rPr>
            <w:rStyle w:val="Hyperlink"/>
            <w:rFonts w:cs="Times New Roman"/>
            <w:lang w:val="ru-RU"/>
          </w:rPr>
          <w:t>_</w:t>
        </w:r>
        <w:r w:rsidRPr="00A20FDD">
          <w:rPr>
            <w:rStyle w:val="Hyperlink"/>
            <w:rFonts w:cs="Times New Roman"/>
          </w:rPr>
          <w:t>srb</w:t>
        </w:r>
        <w:r w:rsidRPr="00FD6B73">
          <w:rPr>
            <w:rStyle w:val="Hyperlink"/>
            <w:rFonts w:cs="Times New Roman"/>
            <w:lang w:val="ru-RU"/>
          </w:rPr>
          <w:t>.</w:t>
        </w:r>
        <w:r w:rsidRPr="00A20FDD">
          <w:rPr>
            <w:rStyle w:val="Hyperlink"/>
            <w:rFonts w:cs="Times New Roman"/>
          </w:rPr>
          <w:t>pdf</w:t>
        </w:r>
      </w:hyperlink>
      <w:r w:rsidRPr="00FD6B73">
        <w:rPr>
          <w:rFonts w:cs="Times New Roman"/>
          <w:lang w:val="ru-RU"/>
        </w:rPr>
        <w:t xml:space="preserve">, приступљено 3. фебруара 2021. године </w:t>
      </w:r>
    </w:p>
  </w:footnote>
  <w:footnote w:id="39">
    <w:p w14:paraId="2A950254" w14:textId="5CC6F13E" w:rsidR="000B0462" w:rsidRPr="00FD6B73" w:rsidRDefault="000B0462" w:rsidP="00F422D6">
      <w:pPr>
        <w:spacing w:line="240" w:lineRule="auto"/>
        <w:rPr>
          <w:rFonts w:cs="Times New Roman"/>
          <w:sz w:val="20"/>
          <w:szCs w:val="20"/>
          <w:lang w:val="ru-RU"/>
        </w:rPr>
      </w:pPr>
      <w:r w:rsidRPr="00A20FDD">
        <w:rPr>
          <w:rStyle w:val="FootnoteReference"/>
          <w:rFonts w:cs="Times New Roman"/>
          <w:sz w:val="20"/>
          <w:szCs w:val="20"/>
        </w:rPr>
        <w:footnoteRef/>
      </w:r>
      <w:r>
        <w:rPr>
          <w:rFonts w:cs="Times New Roman"/>
          <w:color w:val="000000"/>
          <w:sz w:val="20"/>
          <w:szCs w:val="20"/>
          <w:lang w:val="ru-RU"/>
        </w:rPr>
        <w:t xml:space="preserve"> </w:t>
      </w:r>
      <w:r w:rsidRPr="00FD6B73">
        <w:rPr>
          <w:rFonts w:cs="Times New Roman"/>
          <w:color w:val="000000"/>
          <w:sz w:val="20"/>
          <w:szCs w:val="20"/>
          <w:lang w:val="ru-RU"/>
        </w:rPr>
        <w:t>Током 2016. године закључен је споразум са једним окривљеним лицем, поводом кога је надлежни суд донео пресуду којом је окривљени због извршења кривичног дела ратни злочин про</w:t>
      </w:r>
      <w:r>
        <w:rPr>
          <w:rFonts w:cs="Times New Roman"/>
          <w:color w:val="000000"/>
          <w:sz w:val="20"/>
          <w:szCs w:val="20"/>
          <w:lang w:val="ru-RU"/>
        </w:rPr>
        <w:t>тив цивилног становништва из члана</w:t>
      </w:r>
      <w:r w:rsidRPr="00FD6B73">
        <w:rPr>
          <w:rFonts w:cs="Times New Roman"/>
          <w:color w:val="000000"/>
          <w:sz w:val="20"/>
          <w:szCs w:val="20"/>
          <w:lang w:val="ru-RU"/>
        </w:rPr>
        <w:t xml:space="preserve"> 142</w:t>
      </w:r>
      <w:r>
        <w:rPr>
          <w:rFonts w:cs="Times New Roman"/>
          <w:color w:val="000000"/>
          <w:sz w:val="20"/>
          <w:szCs w:val="20"/>
          <w:lang w:val="ru-RU"/>
        </w:rPr>
        <w:t xml:space="preserve">. став </w:t>
      </w:r>
      <w:r w:rsidRPr="00FD6B73">
        <w:rPr>
          <w:rFonts w:cs="Times New Roman"/>
          <w:color w:val="000000"/>
          <w:sz w:val="20"/>
          <w:szCs w:val="20"/>
          <w:lang w:val="ru-RU"/>
        </w:rPr>
        <w:t>1</w:t>
      </w:r>
      <w:r>
        <w:rPr>
          <w:rFonts w:cs="Times New Roman"/>
          <w:color w:val="000000"/>
          <w:sz w:val="20"/>
          <w:szCs w:val="20"/>
          <w:lang w:val="ru-RU"/>
        </w:rPr>
        <w:t>.</w:t>
      </w:r>
      <w:r w:rsidRPr="00FD6B73">
        <w:rPr>
          <w:rFonts w:cs="Times New Roman"/>
          <w:color w:val="000000"/>
          <w:sz w:val="20"/>
          <w:szCs w:val="20"/>
          <w:lang w:val="ru-RU"/>
        </w:rPr>
        <w:t xml:space="preserve"> КЗ СРЈ, осуђен на казну затвора у трајању од </w:t>
      </w:r>
      <w:r>
        <w:rPr>
          <w:rFonts w:cs="Times New Roman"/>
          <w:color w:val="000000"/>
          <w:sz w:val="20"/>
          <w:szCs w:val="20"/>
          <w:lang w:val="ru-RU"/>
        </w:rPr>
        <w:t>десет</w:t>
      </w:r>
      <w:r w:rsidRPr="00FD6B73">
        <w:rPr>
          <w:rFonts w:cs="Times New Roman"/>
          <w:color w:val="000000"/>
          <w:sz w:val="20"/>
          <w:szCs w:val="20"/>
          <w:lang w:val="ru-RU"/>
        </w:rPr>
        <w:t xml:space="preserve"> година;</w:t>
      </w:r>
      <w:r>
        <w:rPr>
          <w:rFonts w:cs="Times New Roman"/>
          <w:color w:val="000000"/>
          <w:sz w:val="20"/>
          <w:szCs w:val="20"/>
          <w:lang w:val="ru-RU"/>
        </w:rPr>
        <w:t xml:space="preserve"> </w:t>
      </w:r>
      <w:r w:rsidRPr="00FD6B73">
        <w:rPr>
          <w:rFonts w:cs="Times New Roman"/>
          <w:color w:val="000000"/>
          <w:sz w:val="20"/>
          <w:szCs w:val="20"/>
          <w:lang w:val="ru-RU"/>
        </w:rPr>
        <w:t>Током 2018. године закључен је споразум са једним окривљеним лицем, поводом кога је надлежни суд донео пресуду којом је окривљени због извршења кривичног дела ратни злочин против цивилног становништва из чл</w:t>
      </w:r>
      <w:r>
        <w:rPr>
          <w:rFonts w:cs="Times New Roman"/>
          <w:color w:val="000000"/>
          <w:sz w:val="20"/>
          <w:szCs w:val="20"/>
          <w:lang w:val="ru-RU"/>
        </w:rPr>
        <w:t>ана</w:t>
      </w:r>
      <w:r w:rsidRPr="00FD6B73">
        <w:rPr>
          <w:rFonts w:cs="Times New Roman"/>
          <w:color w:val="000000"/>
          <w:sz w:val="20"/>
          <w:szCs w:val="20"/>
          <w:lang w:val="ru-RU"/>
        </w:rPr>
        <w:t xml:space="preserve"> 142</w:t>
      </w:r>
      <w:r>
        <w:rPr>
          <w:rFonts w:cs="Times New Roman"/>
          <w:color w:val="000000"/>
          <w:sz w:val="20"/>
          <w:szCs w:val="20"/>
          <w:lang w:val="ru-RU"/>
        </w:rPr>
        <w:t>.</w:t>
      </w:r>
      <w:r w:rsidRPr="00FD6B73">
        <w:rPr>
          <w:rFonts w:cs="Times New Roman"/>
          <w:color w:val="000000"/>
          <w:sz w:val="20"/>
          <w:szCs w:val="20"/>
          <w:lang w:val="ru-RU"/>
        </w:rPr>
        <w:t xml:space="preserve"> </w:t>
      </w:r>
      <w:r>
        <w:rPr>
          <w:rFonts w:cs="Times New Roman"/>
          <w:color w:val="000000"/>
          <w:sz w:val="20"/>
          <w:szCs w:val="20"/>
          <w:lang w:val="ru-RU"/>
        </w:rPr>
        <w:t>с</w:t>
      </w:r>
      <w:r w:rsidRPr="00FD6B73">
        <w:rPr>
          <w:rFonts w:cs="Times New Roman"/>
          <w:color w:val="000000"/>
          <w:sz w:val="20"/>
          <w:szCs w:val="20"/>
          <w:lang w:val="ru-RU"/>
        </w:rPr>
        <w:t>т</w:t>
      </w:r>
      <w:r>
        <w:rPr>
          <w:rFonts w:cs="Times New Roman"/>
          <w:color w:val="000000"/>
          <w:sz w:val="20"/>
          <w:szCs w:val="20"/>
          <w:lang w:val="ru-RU"/>
        </w:rPr>
        <w:t xml:space="preserve">ав </w:t>
      </w:r>
      <w:r w:rsidRPr="00FD6B73">
        <w:rPr>
          <w:rFonts w:cs="Times New Roman"/>
          <w:color w:val="000000"/>
          <w:sz w:val="20"/>
          <w:szCs w:val="20"/>
          <w:lang w:val="ru-RU"/>
        </w:rPr>
        <w:t>1</w:t>
      </w:r>
      <w:r>
        <w:rPr>
          <w:rFonts w:cs="Times New Roman"/>
          <w:color w:val="000000"/>
          <w:sz w:val="20"/>
          <w:szCs w:val="20"/>
          <w:lang w:val="ru-RU"/>
        </w:rPr>
        <w:t>.</w:t>
      </w:r>
      <w:r w:rsidRPr="00FD6B73">
        <w:rPr>
          <w:rFonts w:cs="Times New Roman"/>
          <w:color w:val="000000"/>
          <w:sz w:val="20"/>
          <w:szCs w:val="20"/>
          <w:lang w:val="ru-RU"/>
        </w:rPr>
        <w:t xml:space="preserve"> КЗ СРЈ осуђен</w:t>
      </w:r>
      <w:r w:rsidRPr="00A20FDD">
        <w:rPr>
          <w:rFonts w:cs="Times New Roman"/>
          <w:color w:val="000000"/>
          <w:sz w:val="20"/>
          <w:szCs w:val="20"/>
        </w:rPr>
        <w:t> </w:t>
      </w:r>
      <w:r w:rsidRPr="00FD6B73">
        <w:rPr>
          <w:rFonts w:cs="Times New Roman"/>
          <w:color w:val="000000"/>
          <w:sz w:val="20"/>
          <w:szCs w:val="20"/>
          <w:lang w:val="ru-RU"/>
        </w:rPr>
        <w:t xml:space="preserve"> на казну затвора у трајању од </w:t>
      </w:r>
      <w:r>
        <w:rPr>
          <w:rFonts w:cs="Times New Roman"/>
          <w:color w:val="000000"/>
          <w:sz w:val="20"/>
          <w:szCs w:val="20"/>
          <w:lang w:val="ru-RU"/>
        </w:rPr>
        <w:t>осам</w:t>
      </w:r>
      <w:r w:rsidRPr="00FD6B73">
        <w:rPr>
          <w:rFonts w:cs="Times New Roman"/>
          <w:color w:val="000000"/>
          <w:sz w:val="20"/>
          <w:szCs w:val="20"/>
          <w:lang w:val="ru-RU"/>
        </w:rPr>
        <w:t xml:space="preserve"> година и </w:t>
      </w:r>
      <w:r>
        <w:rPr>
          <w:rFonts w:cs="Times New Roman"/>
          <w:color w:val="000000"/>
          <w:sz w:val="20"/>
          <w:szCs w:val="20"/>
          <w:lang w:val="ru-RU"/>
        </w:rPr>
        <w:t>два</w:t>
      </w:r>
      <w:r w:rsidRPr="00FD6B73">
        <w:rPr>
          <w:rFonts w:cs="Times New Roman"/>
          <w:color w:val="000000"/>
          <w:sz w:val="20"/>
          <w:szCs w:val="20"/>
          <w:lang w:val="ru-RU"/>
        </w:rPr>
        <w:t xml:space="preserve"> месеца;</w:t>
      </w:r>
      <w:r>
        <w:rPr>
          <w:rFonts w:cs="Times New Roman"/>
          <w:color w:val="000000"/>
          <w:sz w:val="20"/>
          <w:szCs w:val="20"/>
          <w:lang w:val="ru-RU"/>
        </w:rPr>
        <w:t xml:space="preserve"> </w:t>
      </w:r>
      <w:r w:rsidRPr="00FD6B73">
        <w:rPr>
          <w:rFonts w:cs="Times New Roman"/>
          <w:color w:val="000000"/>
          <w:sz w:val="20"/>
          <w:szCs w:val="20"/>
          <w:lang w:val="ru-RU"/>
        </w:rPr>
        <w:t>Током 2019. године закључен је споразум са једним лицем поводом кога је надлежни суд донео пресуду којом је окривљени, због извршења кривичног дела ратни злочин против цивилног становништва из чл</w:t>
      </w:r>
      <w:r>
        <w:rPr>
          <w:rFonts w:cs="Times New Roman"/>
          <w:color w:val="000000"/>
          <w:sz w:val="20"/>
          <w:szCs w:val="20"/>
          <w:lang w:val="ru-RU"/>
        </w:rPr>
        <w:t>ана</w:t>
      </w:r>
      <w:r w:rsidRPr="00FD6B73">
        <w:rPr>
          <w:rFonts w:cs="Times New Roman"/>
          <w:color w:val="000000"/>
          <w:sz w:val="20"/>
          <w:szCs w:val="20"/>
          <w:lang w:val="ru-RU"/>
        </w:rPr>
        <w:t xml:space="preserve"> 142</w:t>
      </w:r>
      <w:r>
        <w:rPr>
          <w:rFonts w:cs="Times New Roman"/>
          <w:color w:val="000000"/>
          <w:sz w:val="20"/>
          <w:szCs w:val="20"/>
          <w:lang w:val="ru-RU"/>
        </w:rPr>
        <w:t>.</w:t>
      </w:r>
      <w:r w:rsidRPr="00FD6B73">
        <w:rPr>
          <w:rFonts w:cs="Times New Roman"/>
          <w:color w:val="000000"/>
          <w:sz w:val="20"/>
          <w:szCs w:val="20"/>
          <w:lang w:val="ru-RU"/>
        </w:rPr>
        <w:t xml:space="preserve"> ст</w:t>
      </w:r>
      <w:r>
        <w:rPr>
          <w:rFonts w:cs="Times New Roman"/>
          <w:color w:val="000000"/>
          <w:sz w:val="20"/>
          <w:szCs w:val="20"/>
          <w:lang w:val="ru-RU"/>
        </w:rPr>
        <w:t xml:space="preserve">ав </w:t>
      </w:r>
      <w:r w:rsidRPr="00FD6B73">
        <w:rPr>
          <w:rFonts w:cs="Times New Roman"/>
          <w:color w:val="000000"/>
          <w:sz w:val="20"/>
          <w:szCs w:val="20"/>
          <w:lang w:val="ru-RU"/>
        </w:rPr>
        <w:t>1</w:t>
      </w:r>
      <w:r>
        <w:rPr>
          <w:rFonts w:cs="Times New Roman"/>
          <w:color w:val="000000"/>
          <w:sz w:val="20"/>
          <w:szCs w:val="20"/>
          <w:lang w:val="ru-RU"/>
        </w:rPr>
        <w:t>.</w:t>
      </w:r>
      <w:r w:rsidRPr="00FD6B73">
        <w:rPr>
          <w:rFonts w:cs="Times New Roman"/>
          <w:color w:val="000000"/>
          <w:sz w:val="20"/>
          <w:szCs w:val="20"/>
          <w:lang w:val="ru-RU"/>
        </w:rPr>
        <w:t xml:space="preserve"> КЗ СРЈ, осуђен на казну затвора у трајању од </w:t>
      </w:r>
      <w:r>
        <w:rPr>
          <w:rFonts w:cs="Times New Roman"/>
          <w:color w:val="000000"/>
          <w:sz w:val="20"/>
          <w:szCs w:val="20"/>
          <w:lang w:val="ru-RU"/>
        </w:rPr>
        <w:t>једне</w:t>
      </w:r>
      <w:r w:rsidRPr="00FD6B73">
        <w:rPr>
          <w:rFonts w:cs="Times New Roman"/>
          <w:color w:val="000000"/>
          <w:sz w:val="20"/>
          <w:szCs w:val="20"/>
          <w:lang w:val="ru-RU"/>
        </w:rPr>
        <w:t xml:space="preserve"> године и </w:t>
      </w:r>
      <w:r>
        <w:rPr>
          <w:rFonts w:cs="Times New Roman"/>
          <w:color w:val="000000"/>
          <w:sz w:val="20"/>
          <w:szCs w:val="20"/>
          <w:lang w:val="ru-RU"/>
        </w:rPr>
        <w:t>шест</w:t>
      </w:r>
      <w:r w:rsidRPr="00FD6B73">
        <w:rPr>
          <w:rFonts w:cs="Times New Roman"/>
          <w:color w:val="000000"/>
          <w:sz w:val="20"/>
          <w:szCs w:val="20"/>
          <w:lang w:val="ru-RU"/>
        </w:rPr>
        <w:t xml:space="preserve"> месеци.</w:t>
      </w:r>
    </w:p>
  </w:footnote>
  <w:footnote w:id="40">
    <w:p w14:paraId="318720D7" w14:textId="5B7FE57E" w:rsidR="000B0462" w:rsidRPr="00FD6B73" w:rsidRDefault="000B0462" w:rsidP="00F422D6">
      <w:pPr>
        <w:spacing w:line="240" w:lineRule="auto"/>
        <w:rPr>
          <w:rFonts w:cs="Times New Roman"/>
          <w:sz w:val="20"/>
          <w:szCs w:val="20"/>
          <w:lang w:val="ru-RU"/>
        </w:rPr>
      </w:pPr>
      <w:r w:rsidRPr="00A20FDD">
        <w:rPr>
          <w:rStyle w:val="FootnoteReference"/>
          <w:rFonts w:cs="Times New Roman"/>
          <w:sz w:val="20"/>
          <w:szCs w:val="20"/>
        </w:rPr>
        <w:footnoteRef/>
      </w:r>
      <w:r w:rsidRPr="00FD6B73">
        <w:rPr>
          <w:rFonts w:cs="Times New Roman"/>
          <w:sz w:val="20"/>
          <w:szCs w:val="20"/>
          <w:lang w:val="ru-RU"/>
        </w:rPr>
        <w:t xml:space="preserve"> </w:t>
      </w:r>
      <w:r>
        <w:rPr>
          <w:rFonts w:cs="Times New Roman"/>
          <w:sz w:val="20"/>
          <w:szCs w:val="20"/>
          <w:lang w:val="ru-RU"/>
        </w:rPr>
        <w:t>НСПРЗ</w:t>
      </w:r>
      <w:r w:rsidRPr="00FD6B73">
        <w:rPr>
          <w:rFonts w:cs="Times New Roman"/>
          <w:sz w:val="20"/>
          <w:szCs w:val="20"/>
          <w:lang w:val="ru-RU"/>
        </w:rPr>
        <w:t xml:space="preserve"> је предвидела да посебну пажњу треба посветити следећим питањима: положај </w:t>
      </w:r>
      <w:r>
        <w:rPr>
          <w:rFonts w:cs="Times New Roman"/>
          <w:sz w:val="20"/>
          <w:szCs w:val="20"/>
          <w:lang w:val="ru-RU"/>
        </w:rPr>
        <w:t>СОРЗ</w:t>
      </w:r>
      <w:r w:rsidRPr="00FD6B73">
        <w:rPr>
          <w:rFonts w:cs="Times New Roman"/>
          <w:sz w:val="20"/>
          <w:szCs w:val="20"/>
          <w:lang w:val="ru-RU"/>
        </w:rPr>
        <w:t xml:space="preserve"> у организационој структури Министарства унутрашњих послова; да ли би процес ангажовања запослених требало да се реформише, имајући у виду потребу да у </w:t>
      </w:r>
      <w:r>
        <w:rPr>
          <w:rFonts w:cs="Times New Roman"/>
          <w:sz w:val="20"/>
          <w:szCs w:val="20"/>
          <w:lang w:val="ru-RU"/>
        </w:rPr>
        <w:t>СОРЗ</w:t>
      </w:r>
      <w:r w:rsidRPr="00FD6B73">
        <w:rPr>
          <w:rFonts w:cs="Times New Roman"/>
          <w:sz w:val="20"/>
          <w:szCs w:val="20"/>
          <w:lang w:val="ru-RU"/>
        </w:rPr>
        <w:t xml:space="preserve">, на основу јасних и објективних критеријума, буду распоређени компетентни и високо мотивисани стручњаци и особље, као и потенцијални утицај ранијег учешћа кандидата у сукобима на простору бивше Југославије; да ли би требало увести подстицаје у циљу привлачења стручног кадра; да ли </w:t>
      </w:r>
      <w:r>
        <w:rPr>
          <w:rFonts w:cs="Times New Roman"/>
          <w:sz w:val="20"/>
          <w:szCs w:val="20"/>
          <w:lang w:val="ru-RU"/>
        </w:rPr>
        <w:t>СОРЗ</w:t>
      </w:r>
      <w:r w:rsidRPr="00FD6B73">
        <w:rPr>
          <w:rFonts w:cs="Times New Roman"/>
          <w:sz w:val="20"/>
          <w:szCs w:val="20"/>
          <w:lang w:val="ru-RU"/>
        </w:rPr>
        <w:t xml:space="preserve"> има довољно лица за спровођење истрага и аналитичара и да ли примењује адекватну методологију; успостављање заједничких тимова и радних процедура између </w:t>
      </w:r>
      <w:r>
        <w:rPr>
          <w:rFonts w:cs="Times New Roman"/>
          <w:sz w:val="20"/>
          <w:szCs w:val="20"/>
          <w:lang w:val="ru-RU"/>
        </w:rPr>
        <w:t>ТРЗ</w:t>
      </w:r>
      <w:r w:rsidRPr="00FD6B73">
        <w:rPr>
          <w:rFonts w:cs="Times New Roman"/>
          <w:sz w:val="20"/>
          <w:szCs w:val="20"/>
          <w:lang w:val="ru-RU"/>
        </w:rPr>
        <w:t xml:space="preserve"> и </w:t>
      </w:r>
      <w:r>
        <w:rPr>
          <w:rFonts w:cs="Times New Roman"/>
          <w:sz w:val="20"/>
          <w:szCs w:val="20"/>
          <w:lang w:val="ru-RU"/>
        </w:rPr>
        <w:t>СОРЗ</w:t>
      </w:r>
    </w:p>
  </w:footnote>
  <w:footnote w:id="41">
    <w:p w14:paraId="2803A728" w14:textId="77777777" w:rsidR="000B0462" w:rsidRPr="00FD6B73" w:rsidRDefault="000B0462" w:rsidP="00A20FDD">
      <w:pPr>
        <w:pStyle w:val="FootnoteText"/>
        <w:rPr>
          <w:rFonts w:cs="Times New Roman"/>
          <w:lang w:val="ru-RU"/>
        </w:rPr>
      </w:pPr>
      <w:r w:rsidRPr="00A20FDD">
        <w:rPr>
          <w:rStyle w:val="FootnoteReference"/>
          <w:rFonts w:cs="Times New Roman"/>
        </w:rPr>
        <w:footnoteRef/>
      </w:r>
      <w:r w:rsidRPr="00FD6B73">
        <w:rPr>
          <w:rFonts w:cs="Times New Roman"/>
          <w:lang w:val="ru-RU"/>
        </w:rPr>
        <w:t xml:space="preserve"> Уз напомену да су поред Посебног одељења Вишег суда у Београду, корисници ових средстава и други државни органи који су смештени у истој згради.</w:t>
      </w:r>
    </w:p>
  </w:footnote>
  <w:footnote w:id="42">
    <w:p w14:paraId="2F307536" w14:textId="77777777" w:rsidR="000B0462" w:rsidRPr="00A20FDD" w:rsidRDefault="000B0462" w:rsidP="00F422D6">
      <w:pPr>
        <w:spacing w:after="0" w:line="240" w:lineRule="auto"/>
        <w:rPr>
          <w:rFonts w:cs="Times New Roman"/>
          <w:sz w:val="20"/>
          <w:szCs w:val="20"/>
        </w:rPr>
      </w:pPr>
      <w:r w:rsidRPr="00A20FDD">
        <w:rPr>
          <w:rStyle w:val="FootnoteReference"/>
          <w:rFonts w:cs="Times New Roman"/>
          <w:sz w:val="20"/>
          <w:szCs w:val="20"/>
        </w:rPr>
        <w:footnoteRef/>
      </w:r>
      <w:r w:rsidRPr="00A20FDD">
        <w:rPr>
          <w:rFonts w:cs="Times New Roman"/>
          <w:sz w:val="20"/>
          <w:szCs w:val="20"/>
        </w:rPr>
        <w:t xml:space="preserve"> Basic Principles and Guidelines on the Right to a Remedy and Reparation for Victims of Gross Violations of International Human Rights Law and Serious Violations of International Humanitarian Law, Adopted and proclaimed by General Assembly resolution 60/147 of 16 December 2005.</w:t>
      </w:r>
    </w:p>
  </w:footnote>
  <w:footnote w:id="43">
    <w:p w14:paraId="710D5DA0" w14:textId="77777777" w:rsidR="000B0462" w:rsidRPr="00A20FDD" w:rsidRDefault="000B0462" w:rsidP="00A20FDD">
      <w:pPr>
        <w:pStyle w:val="FootnoteText"/>
        <w:rPr>
          <w:rFonts w:cs="Times New Roman"/>
          <w:lang w:val="hr-BA"/>
        </w:rPr>
      </w:pPr>
      <w:r w:rsidRPr="00A20FDD">
        <w:rPr>
          <w:rStyle w:val="FootnoteReference"/>
          <w:rFonts w:cs="Times New Roman"/>
        </w:rPr>
        <w:footnoteRef/>
      </w:r>
      <w:r w:rsidRPr="00A20FDD">
        <w:rPr>
          <w:rFonts w:cs="Times New Roman"/>
        </w:rPr>
        <w:t xml:space="preserve"> DIRECTIVE 2012/29/EU OF THE EUROPEAN PARLIAMENT AND OF THE COUNCIL of 25 October 2012 establishing minimum standards on the rights, support and protection of victims of crime, and replacing Council Framework Decision 2001/220/JHA</w:t>
      </w:r>
    </w:p>
  </w:footnote>
  <w:footnote w:id="44">
    <w:p w14:paraId="28CDA821" w14:textId="6D43781B" w:rsidR="000B0462" w:rsidRPr="00FD6B73" w:rsidRDefault="000B0462" w:rsidP="00A20FDD">
      <w:pPr>
        <w:pStyle w:val="Standard"/>
        <w:spacing w:line="240" w:lineRule="auto"/>
        <w:jc w:val="both"/>
        <w:rPr>
          <w:rFonts w:ascii="Times New Roman" w:hAnsi="Times New Roman" w:cs="Times New Roman"/>
          <w:sz w:val="20"/>
          <w:szCs w:val="20"/>
          <w:lang w:val="sr-Cyrl-CS"/>
        </w:rPr>
      </w:pPr>
      <w:r w:rsidRPr="00A20FDD">
        <w:rPr>
          <w:rStyle w:val="FootnoteReference"/>
          <w:rFonts w:ascii="Times New Roman" w:hAnsi="Times New Roman" w:cs="Times New Roman"/>
          <w:sz w:val="20"/>
          <w:szCs w:val="20"/>
        </w:rPr>
        <w:footnoteRef/>
      </w:r>
      <w:r>
        <w:rPr>
          <w:rFonts w:ascii="Times New Roman" w:hAnsi="Times New Roman" w:cs="Times New Roman"/>
          <w:color w:val="000000"/>
          <w:sz w:val="20"/>
          <w:szCs w:val="20"/>
          <w:shd w:val="clear" w:color="auto" w:fill="FFFFFF"/>
          <w:lang w:val="sr-Cyrl-CS"/>
        </w:rPr>
        <w:t xml:space="preserve"> </w:t>
      </w:r>
      <w:r w:rsidRPr="00A20FDD">
        <w:rPr>
          <w:rFonts w:ascii="Times New Roman" w:hAnsi="Times New Roman" w:cs="Times New Roman"/>
          <w:color w:val="000000"/>
          <w:sz w:val="20"/>
          <w:szCs w:val="20"/>
          <w:shd w:val="clear" w:color="auto" w:fill="FFFFFF"/>
          <w:lang w:val="sr-Cyrl-CS"/>
        </w:rPr>
        <w:t xml:space="preserve">Тужилац за ратне злочине и министар полиције, 6. јула 2017. године потписали </w:t>
      </w:r>
      <w:r w:rsidRPr="00A20FDD">
        <w:rPr>
          <w:rFonts w:ascii="Times New Roman" w:hAnsi="Times New Roman" w:cs="Times New Roman"/>
          <w:sz w:val="20"/>
          <w:szCs w:val="20"/>
          <w:shd w:val="clear" w:color="auto" w:fill="FFFFFF"/>
          <w:lang w:val="sr-Cyrl-CS"/>
        </w:rPr>
        <w:t xml:space="preserve">су Протокол </w:t>
      </w:r>
      <w:r w:rsidRPr="00A20FDD">
        <w:rPr>
          <w:rFonts w:ascii="Times New Roman" w:hAnsi="Times New Roman" w:cs="Times New Roman"/>
          <w:color w:val="000000"/>
          <w:sz w:val="20"/>
          <w:szCs w:val="20"/>
          <w:shd w:val="clear" w:color="auto" w:fill="FFFFFF"/>
          <w:lang w:val="sr-Cyrl-CS"/>
        </w:rPr>
        <w:t xml:space="preserve">о сарадњи у области заштите сведока. Сврха потписивања протокола је унапређење сарадње, заједничког рада и међусобних односа </w:t>
      </w:r>
      <w:r w:rsidRPr="00FD6B73">
        <w:rPr>
          <w:rFonts w:ascii="Times New Roman" w:hAnsi="Times New Roman" w:cs="Times New Roman"/>
          <w:color w:val="000000"/>
          <w:sz w:val="20"/>
          <w:szCs w:val="20"/>
          <w:shd w:val="clear" w:color="auto" w:fill="FFFFFF"/>
          <w:lang w:val="sr-Cyrl-CS"/>
        </w:rPr>
        <w:t>ТРЗ-а</w:t>
      </w:r>
      <w:r w:rsidRPr="00A20FDD">
        <w:rPr>
          <w:rFonts w:ascii="Times New Roman" w:hAnsi="Times New Roman" w:cs="Times New Roman"/>
          <w:color w:val="000000"/>
          <w:sz w:val="20"/>
          <w:szCs w:val="20"/>
          <w:shd w:val="clear" w:color="auto" w:fill="FFFFFF"/>
          <w:lang w:val="sr-Cyrl-CS"/>
        </w:rPr>
        <w:t xml:space="preserve"> и Јединице за заштиту </w:t>
      </w:r>
      <w:r>
        <w:rPr>
          <w:rFonts w:ascii="Times New Roman" w:hAnsi="Times New Roman" w:cs="Times New Roman"/>
          <w:color w:val="000000"/>
          <w:sz w:val="20"/>
          <w:szCs w:val="20"/>
          <w:shd w:val="clear" w:color="auto" w:fill="FFFFFF"/>
          <w:lang w:val="sr-Cyrl-CS"/>
        </w:rPr>
        <w:t xml:space="preserve">сведока </w:t>
      </w:r>
      <w:r w:rsidRPr="00A20FDD">
        <w:rPr>
          <w:rFonts w:ascii="Times New Roman" w:hAnsi="Times New Roman" w:cs="Times New Roman"/>
          <w:color w:val="000000"/>
          <w:sz w:val="20"/>
          <w:szCs w:val="20"/>
          <w:shd w:val="clear" w:color="auto" w:fill="FFFFFF"/>
          <w:lang w:val="sr-Cyrl-CS"/>
        </w:rPr>
        <w:t>МУП-а РС.</w:t>
      </w:r>
    </w:p>
  </w:footnote>
  <w:footnote w:id="45">
    <w:p w14:paraId="74B7CE21" w14:textId="77777777" w:rsidR="000B0462" w:rsidRPr="00FD6B73" w:rsidRDefault="000B0462" w:rsidP="00A20FDD">
      <w:pPr>
        <w:pStyle w:val="FootnoteText"/>
        <w:rPr>
          <w:rFonts w:cs="Times New Roman"/>
          <w:color w:val="FF0000"/>
          <w:lang w:val="sr-Cyrl-CS"/>
        </w:rPr>
      </w:pPr>
      <w:r w:rsidRPr="00A20FDD">
        <w:rPr>
          <w:rStyle w:val="FootnoteReference"/>
          <w:rFonts w:cs="Times New Roman"/>
        </w:rPr>
        <w:footnoteRef/>
      </w:r>
      <w:r w:rsidRPr="00FD6B73">
        <w:rPr>
          <w:rFonts w:cs="Times New Roman"/>
          <w:lang w:val="sr-Cyrl-CS"/>
        </w:rPr>
        <w:t xml:space="preserve"> Директива 2012/29/ЕУ Европског парламента и Савета од 25. октобра 2012. године о успостављању минималних стандарда о правима, подршци и заштити жртава кривичних дела, којом се мења Оквирна одлука Савета 2001/220/</w:t>
      </w:r>
      <w:r w:rsidRPr="00A20FDD">
        <w:rPr>
          <w:rFonts w:cs="Times New Roman"/>
          <w:lang w:val="hr-BA"/>
        </w:rPr>
        <w:t>JHA</w:t>
      </w:r>
    </w:p>
  </w:footnote>
  <w:footnote w:id="46">
    <w:p w14:paraId="4A6BC784" w14:textId="77777777" w:rsidR="000B0462" w:rsidRPr="00FD6B73" w:rsidRDefault="000B0462" w:rsidP="00A20FDD">
      <w:pPr>
        <w:pStyle w:val="FootnoteText"/>
        <w:rPr>
          <w:rFonts w:cs="Times New Roman"/>
          <w:lang w:val="sr-Cyrl-CS"/>
        </w:rPr>
      </w:pPr>
      <w:r w:rsidRPr="00A20FDD">
        <w:rPr>
          <w:rStyle w:val="FootnoteReference"/>
          <w:rFonts w:cs="Times New Roman"/>
        </w:rPr>
        <w:footnoteRef/>
      </w:r>
      <w:r w:rsidRPr="00FD6B73">
        <w:rPr>
          <w:rFonts w:cs="Times New Roman"/>
          <w:lang w:val="sr-Cyrl-CS"/>
        </w:rPr>
        <w:t xml:space="preserve"> Све наведене анализе доступне су на: </w:t>
      </w:r>
      <w:hyperlink r:id="rId24" w:history="1">
        <w:r w:rsidRPr="00A20FDD">
          <w:rPr>
            <w:rStyle w:val="Hyperlink"/>
            <w:rFonts w:cs="Times New Roman"/>
          </w:rPr>
          <w:t>https</w:t>
        </w:r>
        <w:r w:rsidRPr="00FD6B73">
          <w:rPr>
            <w:rStyle w:val="Hyperlink"/>
            <w:rFonts w:cs="Times New Roman"/>
            <w:lang w:val="sr-Cyrl-CS"/>
          </w:rPr>
          <w:t>://</w:t>
        </w:r>
        <w:r w:rsidRPr="00A20FDD">
          <w:rPr>
            <w:rStyle w:val="Hyperlink"/>
            <w:rFonts w:cs="Times New Roman"/>
          </w:rPr>
          <w:t>www</w:t>
        </w:r>
        <w:r w:rsidRPr="00FD6B73">
          <w:rPr>
            <w:rStyle w:val="Hyperlink"/>
            <w:rFonts w:cs="Times New Roman"/>
            <w:lang w:val="sr-Cyrl-CS"/>
          </w:rPr>
          <w:t>.</w:t>
        </w:r>
        <w:r w:rsidRPr="00A20FDD">
          <w:rPr>
            <w:rStyle w:val="Hyperlink"/>
            <w:rFonts w:cs="Times New Roman"/>
          </w:rPr>
          <w:t>podrskazrtvama</w:t>
        </w:r>
        <w:r w:rsidRPr="00FD6B73">
          <w:rPr>
            <w:rStyle w:val="Hyperlink"/>
            <w:rFonts w:cs="Times New Roman"/>
            <w:lang w:val="sr-Cyrl-CS"/>
          </w:rPr>
          <w:t>.</w:t>
        </w:r>
        <w:r w:rsidRPr="00A20FDD">
          <w:rPr>
            <w:rStyle w:val="Hyperlink"/>
            <w:rFonts w:cs="Times New Roman"/>
          </w:rPr>
          <w:t>rs</w:t>
        </w:r>
        <w:r w:rsidRPr="00FD6B73">
          <w:rPr>
            <w:rStyle w:val="Hyperlink"/>
            <w:rFonts w:cs="Times New Roman"/>
            <w:lang w:val="sr-Cyrl-CS"/>
          </w:rPr>
          <w:t>/</w:t>
        </w:r>
        <w:r w:rsidRPr="00A20FDD">
          <w:rPr>
            <w:rStyle w:val="Hyperlink"/>
            <w:rFonts w:cs="Times New Roman"/>
          </w:rPr>
          <w:t>lat</w:t>
        </w:r>
        <w:r w:rsidRPr="00FD6B73">
          <w:rPr>
            <w:rStyle w:val="Hyperlink"/>
            <w:rFonts w:cs="Times New Roman"/>
            <w:lang w:val="sr-Cyrl-CS"/>
          </w:rPr>
          <w:t>/</w:t>
        </w:r>
        <w:r w:rsidRPr="00A20FDD">
          <w:rPr>
            <w:rStyle w:val="Hyperlink"/>
            <w:rFonts w:cs="Times New Roman"/>
          </w:rPr>
          <w:t>dokumenti</w:t>
        </w:r>
        <w:r w:rsidRPr="00FD6B73">
          <w:rPr>
            <w:rStyle w:val="Hyperlink"/>
            <w:rFonts w:cs="Times New Roman"/>
            <w:lang w:val="sr-Cyrl-CS"/>
          </w:rPr>
          <w:t>/</w:t>
        </w:r>
        <w:r w:rsidRPr="00A20FDD">
          <w:rPr>
            <w:rStyle w:val="Hyperlink"/>
            <w:rFonts w:cs="Times New Roman"/>
          </w:rPr>
          <w:t>izvestaji</w:t>
        </w:r>
        <w:r w:rsidRPr="00FD6B73">
          <w:rPr>
            <w:rStyle w:val="Hyperlink"/>
            <w:rFonts w:cs="Times New Roman"/>
            <w:lang w:val="sr-Cyrl-CS"/>
          </w:rPr>
          <w:t>-</w:t>
        </w:r>
        <w:r w:rsidRPr="00A20FDD">
          <w:rPr>
            <w:rStyle w:val="Hyperlink"/>
            <w:rFonts w:cs="Times New Roman"/>
          </w:rPr>
          <w:t>i</w:t>
        </w:r>
        <w:r w:rsidRPr="00FD6B73">
          <w:rPr>
            <w:rStyle w:val="Hyperlink"/>
            <w:rFonts w:cs="Times New Roman"/>
            <w:lang w:val="sr-Cyrl-CS"/>
          </w:rPr>
          <w:t>-</w:t>
        </w:r>
        <w:r w:rsidRPr="00A20FDD">
          <w:rPr>
            <w:rStyle w:val="Hyperlink"/>
            <w:rFonts w:cs="Times New Roman"/>
          </w:rPr>
          <w:t>analize</w:t>
        </w:r>
        <w:r w:rsidRPr="00FD6B73">
          <w:rPr>
            <w:rStyle w:val="Hyperlink"/>
            <w:rFonts w:cs="Times New Roman"/>
            <w:lang w:val="sr-Cyrl-CS"/>
          </w:rPr>
          <w:t>.</w:t>
        </w:r>
        <w:r w:rsidRPr="00A20FDD">
          <w:rPr>
            <w:rStyle w:val="Hyperlink"/>
            <w:rFonts w:cs="Times New Roman"/>
          </w:rPr>
          <w:t>php</w:t>
        </w:r>
      </w:hyperlink>
      <w:r w:rsidRPr="00FD6B73">
        <w:rPr>
          <w:rFonts w:cs="Times New Roman"/>
          <w:lang w:val="sr-Cyrl-CS"/>
        </w:rPr>
        <w:t>, приступљено 31.3.2021. године</w:t>
      </w:r>
    </w:p>
  </w:footnote>
  <w:footnote w:id="47">
    <w:p w14:paraId="23D1F2CA" w14:textId="0A2F2E74" w:rsidR="000B0462" w:rsidRPr="00FD6B73" w:rsidRDefault="000B0462" w:rsidP="00A20FDD">
      <w:pPr>
        <w:pStyle w:val="FootnoteText"/>
        <w:rPr>
          <w:rFonts w:cs="Times New Roman"/>
          <w:lang w:val="sr-Cyrl-CS"/>
        </w:rPr>
      </w:pPr>
      <w:r w:rsidRPr="00A20FDD">
        <w:rPr>
          <w:rStyle w:val="FootnoteReference"/>
          <w:rFonts w:cs="Times New Roman"/>
        </w:rPr>
        <w:footnoteRef/>
      </w:r>
      <w:r w:rsidRPr="00FD6B73">
        <w:rPr>
          <w:rFonts w:cs="Times New Roman"/>
          <w:lang w:val="sr-Cyrl-CS"/>
        </w:rPr>
        <w:t xml:space="preserve"> Види више на: </w:t>
      </w:r>
      <w:hyperlink r:id="rId25" w:history="1">
        <w:r w:rsidRPr="00A20FDD">
          <w:rPr>
            <w:rStyle w:val="Hyperlink"/>
            <w:rFonts w:cs="Times New Roman"/>
          </w:rPr>
          <w:t>https</w:t>
        </w:r>
        <w:r w:rsidRPr="00FD6B73">
          <w:rPr>
            <w:rStyle w:val="Hyperlink"/>
            <w:rFonts w:cs="Times New Roman"/>
            <w:lang w:val="sr-Cyrl-CS"/>
          </w:rPr>
          <w:t>://</w:t>
        </w:r>
        <w:r w:rsidRPr="00A20FDD">
          <w:rPr>
            <w:rStyle w:val="Hyperlink"/>
            <w:rFonts w:cs="Times New Roman"/>
          </w:rPr>
          <w:t>www</w:t>
        </w:r>
        <w:r w:rsidRPr="00FD6B73">
          <w:rPr>
            <w:rStyle w:val="Hyperlink"/>
            <w:rFonts w:cs="Times New Roman"/>
            <w:lang w:val="sr-Cyrl-CS"/>
          </w:rPr>
          <w:t>.</w:t>
        </w:r>
        <w:r w:rsidRPr="00A20FDD">
          <w:rPr>
            <w:rStyle w:val="Hyperlink"/>
            <w:rFonts w:cs="Times New Roman"/>
          </w:rPr>
          <w:t>podrskazrtvama</w:t>
        </w:r>
        <w:r w:rsidRPr="00FD6B73">
          <w:rPr>
            <w:rStyle w:val="Hyperlink"/>
            <w:rFonts w:cs="Times New Roman"/>
            <w:lang w:val="sr-Cyrl-CS"/>
          </w:rPr>
          <w:t>.</w:t>
        </w:r>
        <w:r w:rsidRPr="00A20FDD">
          <w:rPr>
            <w:rStyle w:val="Hyperlink"/>
            <w:rFonts w:cs="Times New Roman"/>
          </w:rPr>
          <w:t>rs</w:t>
        </w:r>
        <w:r w:rsidRPr="00FD6B73">
          <w:rPr>
            <w:rStyle w:val="Hyperlink"/>
            <w:rFonts w:cs="Times New Roman"/>
            <w:lang w:val="sr-Cyrl-CS"/>
          </w:rPr>
          <w:t>/</w:t>
        </w:r>
        <w:r w:rsidRPr="00A20FDD">
          <w:rPr>
            <w:rStyle w:val="Hyperlink"/>
            <w:rFonts w:cs="Times New Roman"/>
          </w:rPr>
          <w:t>o</w:t>
        </w:r>
        <w:r w:rsidRPr="00FD6B73">
          <w:rPr>
            <w:rStyle w:val="Hyperlink"/>
            <w:rFonts w:cs="Times New Roman"/>
            <w:lang w:val="sr-Cyrl-CS"/>
          </w:rPr>
          <w:t>-</w:t>
        </w:r>
        <w:r w:rsidRPr="00A20FDD">
          <w:rPr>
            <w:rStyle w:val="Hyperlink"/>
            <w:rFonts w:cs="Times New Roman"/>
          </w:rPr>
          <w:t>projektu</w:t>
        </w:r>
        <w:r w:rsidRPr="00FD6B73">
          <w:rPr>
            <w:rStyle w:val="Hyperlink"/>
            <w:rFonts w:cs="Times New Roman"/>
            <w:lang w:val="sr-Cyrl-CS"/>
          </w:rPr>
          <w:t>.</w:t>
        </w:r>
        <w:r w:rsidRPr="00A20FDD">
          <w:rPr>
            <w:rStyle w:val="Hyperlink"/>
            <w:rFonts w:cs="Times New Roman"/>
          </w:rPr>
          <w:t>php</w:t>
        </w:r>
      </w:hyperlink>
      <w:r>
        <w:rPr>
          <w:rFonts w:cs="Times New Roman"/>
          <w:lang w:val="sr-Cyrl-CS"/>
        </w:rPr>
        <w:t xml:space="preserve">, приступљено 31. марта </w:t>
      </w:r>
      <w:r w:rsidRPr="00FD6B73">
        <w:rPr>
          <w:rFonts w:cs="Times New Roman"/>
          <w:lang w:val="sr-Cyrl-CS"/>
        </w:rPr>
        <w:t>2021. године</w:t>
      </w:r>
    </w:p>
  </w:footnote>
  <w:footnote w:id="48">
    <w:p w14:paraId="485BEF12" w14:textId="43CDDE81" w:rsidR="000B0462" w:rsidRPr="00FD6B73" w:rsidRDefault="000B0462" w:rsidP="00C52A89">
      <w:pPr>
        <w:spacing w:after="240" w:line="240" w:lineRule="auto"/>
        <w:rPr>
          <w:rFonts w:cs="Times New Roman"/>
          <w:bCs/>
          <w:sz w:val="20"/>
          <w:szCs w:val="20"/>
          <w:lang w:val="sr-Cyrl-CS"/>
        </w:rPr>
      </w:pPr>
      <w:r w:rsidRPr="00A20FDD">
        <w:rPr>
          <w:rStyle w:val="FootnoteReference"/>
          <w:rFonts w:cs="Times New Roman"/>
          <w:sz w:val="20"/>
          <w:szCs w:val="20"/>
        </w:rPr>
        <w:footnoteRef/>
      </w:r>
      <w:r>
        <w:rPr>
          <w:rFonts w:cs="Times New Roman"/>
          <w:bCs/>
          <w:sz w:val="20"/>
          <w:szCs w:val="20"/>
          <w:lang w:val="sr-Cyrl-CS"/>
        </w:rPr>
        <w:t xml:space="preserve"> </w:t>
      </w:r>
      <w:r w:rsidRPr="00FD6B73">
        <w:rPr>
          <w:rFonts w:cs="Times New Roman"/>
          <w:bCs/>
          <w:sz w:val="20"/>
          <w:szCs w:val="20"/>
          <w:lang w:val="sr-Cyrl-CS"/>
        </w:rPr>
        <w:t xml:space="preserve">Вредно је помена да је Врховни касациони суд 2019. године усвојио </w:t>
      </w:r>
      <w:r w:rsidRPr="00FD6B73">
        <w:rPr>
          <w:rFonts w:cs="Times New Roman"/>
          <w:sz w:val="20"/>
          <w:szCs w:val="20"/>
          <w:lang w:val="sr-Cyrl-CS"/>
        </w:rPr>
        <w:t xml:space="preserve">Смернице за унапређење судске праксе у поступцима за накнаду штете жртвама тешких кривичних дела у кривичном поступку, чиме је отворен простор за унапређење праксе у погледу остваривања овог права и у поступцима за ратне злочине. </w:t>
      </w:r>
    </w:p>
  </w:footnote>
  <w:footnote w:id="49">
    <w:p w14:paraId="09EF6E84" w14:textId="77777777" w:rsidR="000B0462" w:rsidRPr="00FD6B73" w:rsidRDefault="000B0462" w:rsidP="00A20FDD">
      <w:pPr>
        <w:pStyle w:val="FootnoteText"/>
        <w:rPr>
          <w:rFonts w:cs="Times New Roman"/>
          <w:lang w:val="sr-Cyrl-CS"/>
        </w:rPr>
      </w:pPr>
      <w:r w:rsidRPr="00A20FDD">
        <w:rPr>
          <w:rStyle w:val="FootnoteReference"/>
          <w:rFonts w:cs="Times New Roman"/>
        </w:rPr>
        <w:footnoteRef/>
      </w:r>
      <w:r w:rsidRPr="00FD6B73">
        <w:rPr>
          <w:rFonts w:cs="Times New Roman"/>
          <w:lang w:val="sr-Cyrl-CS"/>
        </w:rPr>
        <w:t xml:space="preserve"> Основана Решењем министра правде број: 119-01-00249/2017-06</w:t>
      </w:r>
    </w:p>
  </w:footnote>
  <w:footnote w:id="50">
    <w:p w14:paraId="416F83C9" w14:textId="1E14BF10" w:rsidR="000B0462" w:rsidRPr="00FD6B73" w:rsidRDefault="000B0462" w:rsidP="00F422D6">
      <w:pPr>
        <w:pStyle w:val="Heading2"/>
        <w:spacing w:before="69" w:line="240" w:lineRule="auto"/>
        <w:rPr>
          <w:rFonts w:cs="Times New Roman"/>
          <w:b w:val="0"/>
          <w:bCs/>
          <w:sz w:val="20"/>
          <w:szCs w:val="20"/>
          <w:lang w:val="sr-Cyrl-CS"/>
        </w:rPr>
      </w:pPr>
      <w:r w:rsidRPr="00A20FDD">
        <w:rPr>
          <w:rStyle w:val="FootnoteReference"/>
          <w:rFonts w:cs="Times New Roman"/>
          <w:sz w:val="20"/>
          <w:szCs w:val="20"/>
        </w:rPr>
        <w:footnoteRef/>
      </w:r>
      <w:r>
        <w:rPr>
          <w:rFonts w:cs="Times New Roman"/>
          <w:b w:val="0"/>
          <w:bCs/>
          <w:sz w:val="20"/>
          <w:szCs w:val="20"/>
          <w:lang w:val="sr-Cyrl-CS"/>
        </w:rPr>
        <w:t xml:space="preserve"> </w:t>
      </w:r>
      <w:r w:rsidRPr="00FD6B73">
        <w:rPr>
          <w:rFonts w:cs="Times New Roman"/>
          <w:b w:val="0"/>
          <w:bCs/>
          <w:sz w:val="20"/>
          <w:szCs w:val="20"/>
          <w:lang w:val="sr-Cyrl-CS"/>
        </w:rPr>
        <w:t>Комитет за присилне нестанке, Закључна запажања о извештају који је поднела Србија у складу са чланом 29. став 1. Конвенције, 12. фебруар 2015. године.</w:t>
      </w:r>
    </w:p>
  </w:footnote>
  <w:footnote w:id="51">
    <w:p w14:paraId="6E1F9AF2" w14:textId="77777777" w:rsidR="000B0462" w:rsidRPr="00FD6B73" w:rsidRDefault="000B0462" w:rsidP="00A20FDD">
      <w:pPr>
        <w:pStyle w:val="FootnoteText"/>
        <w:rPr>
          <w:rFonts w:cs="Times New Roman"/>
          <w:lang w:val="sr-Cyrl-CS"/>
        </w:rPr>
      </w:pPr>
      <w:r w:rsidRPr="00A20FDD">
        <w:rPr>
          <w:rStyle w:val="FootnoteReference"/>
          <w:rFonts w:cs="Times New Roman"/>
        </w:rPr>
        <w:footnoteRef/>
      </w:r>
      <w:r w:rsidRPr="00FD6B73">
        <w:rPr>
          <w:rFonts w:cs="Times New Roman"/>
          <w:lang w:val="sr-Cyrl-CS"/>
        </w:rPr>
        <w:t xml:space="preserve"> Овај назив је без прејудицирања статуса и у складу је са Резолуцијом Савета безбедности Уједињених</w:t>
      </w:r>
    </w:p>
    <w:p w14:paraId="4D882974" w14:textId="77777777" w:rsidR="000B0462" w:rsidRPr="00FD6B73" w:rsidRDefault="000B0462" w:rsidP="00A20FDD">
      <w:pPr>
        <w:pStyle w:val="FootnoteText"/>
        <w:rPr>
          <w:rFonts w:cs="Times New Roman"/>
          <w:lang w:val="sr-Cyrl-CS"/>
        </w:rPr>
      </w:pPr>
      <w:r w:rsidRPr="00FD6B73">
        <w:rPr>
          <w:rFonts w:cs="Times New Roman"/>
          <w:lang w:val="sr-Cyrl-CS"/>
        </w:rPr>
        <w:t>нација 1244 и мишљењем Међународног суда правде о декларацији о независности Косова.</w:t>
      </w:r>
    </w:p>
  </w:footnote>
  <w:footnote w:id="52">
    <w:p w14:paraId="7BAB2493" w14:textId="471AA8A6" w:rsidR="000B0462" w:rsidRPr="00FD6B73" w:rsidRDefault="000B0462" w:rsidP="00A20FDD">
      <w:pPr>
        <w:spacing w:line="240" w:lineRule="auto"/>
        <w:rPr>
          <w:rFonts w:cs="Times New Roman"/>
          <w:sz w:val="20"/>
          <w:szCs w:val="20"/>
          <w:lang w:val="sr-Cyrl-CS"/>
        </w:rPr>
      </w:pPr>
      <w:r w:rsidRPr="00A20FDD">
        <w:rPr>
          <w:rStyle w:val="FootnoteReference"/>
          <w:rFonts w:cs="Times New Roman"/>
          <w:sz w:val="20"/>
          <w:szCs w:val="20"/>
        </w:rPr>
        <w:footnoteRef/>
      </w:r>
      <w:r>
        <w:rPr>
          <w:rFonts w:cs="Times New Roman"/>
          <w:b/>
          <w:bCs/>
          <w:color w:val="000000"/>
          <w:sz w:val="20"/>
          <w:szCs w:val="20"/>
          <w:lang w:val="sr-Cyrl-CS"/>
        </w:rPr>
        <w:t xml:space="preserve"> </w:t>
      </w:r>
      <w:r w:rsidRPr="00FD6B73">
        <w:rPr>
          <w:rFonts w:cs="Times New Roman"/>
          <w:b/>
          <w:bCs/>
          <w:color w:val="000000"/>
          <w:sz w:val="20"/>
          <w:szCs w:val="20"/>
          <w:lang w:val="sr-Cyrl-CS"/>
        </w:rPr>
        <w:t>Напомена:</w:t>
      </w:r>
      <w:r w:rsidRPr="00FD6B73">
        <w:rPr>
          <w:rFonts w:cs="Times New Roman"/>
          <w:color w:val="000000"/>
          <w:sz w:val="20"/>
          <w:szCs w:val="20"/>
          <w:lang w:val="sr-Cyrl-CS"/>
        </w:rPr>
        <w:t xml:space="preserve"> Захтевима за </w:t>
      </w:r>
      <w:r w:rsidRPr="00FD6B73">
        <w:rPr>
          <w:rFonts w:cs="Times New Roman"/>
          <w:sz w:val="20"/>
          <w:szCs w:val="20"/>
          <w:lang w:val="sr-Cyrl-CS"/>
        </w:rPr>
        <w:t xml:space="preserve">правну помоћ поднетим од стране надлежних </w:t>
      </w:r>
      <w:r>
        <w:rPr>
          <w:rFonts w:cs="Times New Roman"/>
          <w:sz w:val="20"/>
          <w:szCs w:val="20"/>
          <w:lang w:val="sr-Cyrl-CS"/>
        </w:rPr>
        <w:t>Т</w:t>
      </w:r>
      <w:r w:rsidRPr="00FD6B73">
        <w:rPr>
          <w:rFonts w:cs="Times New Roman"/>
          <w:sz w:val="20"/>
          <w:szCs w:val="20"/>
          <w:lang w:val="sr-Cyrl-CS"/>
        </w:rPr>
        <w:t xml:space="preserve">ужилаштва </w:t>
      </w:r>
      <w:r w:rsidRPr="00100BB3">
        <w:rPr>
          <w:rFonts w:cs="Times New Roman"/>
          <w:sz w:val="20"/>
          <w:szCs w:val="20"/>
          <w:lang w:val="sr-Cyrl-CS"/>
        </w:rPr>
        <w:t>Босне и Херцеговине</w:t>
      </w:r>
      <w:r w:rsidRPr="00FD6B73">
        <w:rPr>
          <w:rFonts w:cs="Times New Roman"/>
          <w:sz w:val="20"/>
          <w:szCs w:val="20"/>
          <w:lang w:val="sr-Cyrl-CS"/>
        </w:rPr>
        <w:t xml:space="preserve"> по основу </w:t>
      </w:r>
      <w:r>
        <w:rPr>
          <w:rFonts w:cs="Times New Roman"/>
          <w:sz w:val="20"/>
          <w:szCs w:val="20"/>
          <w:lang w:val="sr-Cyrl-CS"/>
        </w:rPr>
        <w:t>п</w:t>
      </w:r>
      <w:r w:rsidRPr="00FD6B73">
        <w:rPr>
          <w:rFonts w:cs="Times New Roman"/>
          <w:sz w:val="20"/>
          <w:szCs w:val="20"/>
          <w:lang w:val="sr-Cyrl-CS"/>
        </w:rPr>
        <w:t xml:space="preserve">ротокола није удовољено из разлога формалних недостатака захтева. Наиме захтеви за правну помоћ </w:t>
      </w:r>
      <w:r w:rsidRPr="00FD6B73">
        <w:rPr>
          <w:rFonts w:cs="Times New Roman"/>
          <w:color w:val="000000"/>
          <w:sz w:val="20"/>
          <w:szCs w:val="20"/>
          <w:lang w:val="sr-Cyrl-CS"/>
        </w:rPr>
        <w:t xml:space="preserve">нису поднети у складу са садржином захтева прописаним </w:t>
      </w:r>
      <w:r>
        <w:rPr>
          <w:rFonts w:cs="Times New Roman"/>
          <w:color w:val="000000"/>
          <w:sz w:val="20"/>
          <w:szCs w:val="20"/>
          <w:lang w:val="sr-Cyrl-CS"/>
        </w:rPr>
        <w:t>п</w:t>
      </w:r>
      <w:r w:rsidRPr="00FD6B73">
        <w:rPr>
          <w:rFonts w:cs="Times New Roman"/>
          <w:color w:val="000000"/>
          <w:sz w:val="20"/>
          <w:szCs w:val="20"/>
          <w:lang w:val="sr-Cyrl-CS"/>
        </w:rPr>
        <w:t>ротоколом.</w:t>
      </w:r>
    </w:p>
  </w:footnote>
  <w:footnote w:id="53">
    <w:p w14:paraId="6FA708A5" w14:textId="61499FDC" w:rsidR="000B0462" w:rsidRPr="00FD6B73" w:rsidRDefault="000B0462" w:rsidP="00F422D6">
      <w:pPr>
        <w:spacing w:line="240" w:lineRule="auto"/>
        <w:rPr>
          <w:rFonts w:cs="Times New Roman"/>
          <w:sz w:val="20"/>
          <w:szCs w:val="20"/>
          <w:lang w:val="sr-Cyrl-CS"/>
        </w:rPr>
      </w:pPr>
      <w:r w:rsidRPr="00A20FDD">
        <w:rPr>
          <w:rStyle w:val="FootnoteReference"/>
          <w:rFonts w:cs="Times New Roman"/>
          <w:sz w:val="20"/>
          <w:szCs w:val="20"/>
        </w:rPr>
        <w:footnoteRef/>
      </w:r>
      <w:r>
        <w:rPr>
          <w:rFonts w:cs="Times New Roman"/>
          <w:b/>
          <w:bCs/>
          <w:color w:val="000000"/>
          <w:sz w:val="20"/>
          <w:szCs w:val="20"/>
          <w:lang w:val="sr-Cyrl-CS"/>
        </w:rPr>
        <w:t xml:space="preserve"> </w:t>
      </w:r>
      <w:r w:rsidRPr="00FD6B73">
        <w:rPr>
          <w:rFonts w:cs="Times New Roman"/>
          <w:b/>
          <w:bCs/>
          <w:color w:val="000000"/>
          <w:sz w:val="20"/>
          <w:szCs w:val="20"/>
          <w:lang w:val="sr-Cyrl-CS"/>
        </w:rPr>
        <w:t>Напомена:</w:t>
      </w:r>
      <w:r w:rsidRPr="00FD6B73">
        <w:rPr>
          <w:rFonts w:cs="Times New Roman"/>
          <w:color w:val="000000"/>
          <w:sz w:val="20"/>
          <w:szCs w:val="20"/>
          <w:lang w:val="sr-Cyrl-CS"/>
        </w:rPr>
        <w:t xml:space="preserve"> Захтевима за помоћ поднетим од стране </w:t>
      </w:r>
      <w:r w:rsidRPr="00FA5C44">
        <w:rPr>
          <w:rFonts w:cs="Times New Roman"/>
          <w:color w:val="000000"/>
          <w:sz w:val="20"/>
          <w:szCs w:val="20"/>
          <w:lang w:val="sr-Cyrl-CS"/>
        </w:rPr>
        <w:t xml:space="preserve">Државног одвјетништва Републике Хрватске </w:t>
      </w:r>
      <w:r w:rsidRPr="00FD6B73">
        <w:rPr>
          <w:rFonts w:cs="Times New Roman"/>
          <w:color w:val="000000"/>
          <w:sz w:val="20"/>
          <w:szCs w:val="20"/>
          <w:lang w:val="sr-Cyrl-CS"/>
        </w:rPr>
        <w:t xml:space="preserve">по основу Меморандума и Споразума није удовољено из разлога формалних недостатака захтева. Наиме захтеви за </w:t>
      </w:r>
      <w:r w:rsidRPr="00FD6B73">
        <w:rPr>
          <w:rFonts w:cs="Times New Roman"/>
          <w:sz w:val="20"/>
          <w:szCs w:val="20"/>
          <w:lang w:val="sr-Cyrl-CS"/>
        </w:rPr>
        <w:t xml:space="preserve">правну помоћ </w:t>
      </w:r>
      <w:r w:rsidRPr="00FD6B73">
        <w:rPr>
          <w:rFonts w:cs="Times New Roman"/>
          <w:color w:val="000000"/>
          <w:sz w:val="20"/>
          <w:szCs w:val="20"/>
          <w:lang w:val="sr-Cyrl-CS"/>
        </w:rPr>
        <w:t>нису поднети у складу са садржином захтева про</w:t>
      </w:r>
      <w:r>
        <w:rPr>
          <w:rFonts w:cs="Times New Roman"/>
          <w:color w:val="000000"/>
          <w:sz w:val="20"/>
          <w:szCs w:val="20"/>
          <w:lang w:val="sr-Cyrl-CS"/>
        </w:rPr>
        <w:t>писаним меморандумом/споразумом</w:t>
      </w:r>
    </w:p>
    <w:p w14:paraId="76039BD9" w14:textId="77777777" w:rsidR="000B0462" w:rsidRPr="00FD6B73" w:rsidRDefault="000B0462" w:rsidP="00A20FDD">
      <w:pPr>
        <w:pStyle w:val="FootnoteText"/>
        <w:rPr>
          <w:rFonts w:cs="Times New Roman"/>
          <w:lang w:val="sr-Cyrl-CS"/>
        </w:rPr>
      </w:pPr>
    </w:p>
  </w:footnote>
  <w:footnote w:id="54">
    <w:p w14:paraId="037EC20E" w14:textId="77777777" w:rsidR="000B0462" w:rsidRPr="00FD6B73" w:rsidRDefault="000B0462" w:rsidP="00A20FDD">
      <w:pPr>
        <w:pStyle w:val="FootnoteText"/>
        <w:rPr>
          <w:rFonts w:cs="Times New Roman"/>
          <w:lang w:val="sr-Cyrl-CS"/>
        </w:rPr>
      </w:pPr>
      <w:r w:rsidRPr="00A20FDD">
        <w:rPr>
          <w:rStyle w:val="FootnoteReference"/>
          <w:rFonts w:cs="Times New Roman"/>
        </w:rPr>
        <w:footnoteRef/>
      </w:r>
      <w:r w:rsidRPr="00FD6B73">
        <w:rPr>
          <w:rFonts w:cs="Times New Roman"/>
          <w:lang w:val="sr-Cyrl-CS"/>
        </w:rPr>
        <w:t xml:space="preserve"> Годишњи извештај о раду судова у Републици Србији за 2020. годину, доступно на: </w:t>
      </w:r>
      <w:hyperlink r:id="rId26" w:history="1">
        <w:r w:rsidRPr="00A20FDD">
          <w:rPr>
            <w:rStyle w:val="Hyperlink"/>
            <w:rFonts w:cs="Times New Roman"/>
          </w:rPr>
          <w:t>https</w:t>
        </w:r>
        <w:r w:rsidRPr="00FD6B73">
          <w:rPr>
            <w:rStyle w:val="Hyperlink"/>
            <w:rFonts w:cs="Times New Roman"/>
            <w:lang w:val="sr-Cyrl-CS"/>
          </w:rPr>
          <w:t>://</w:t>
        </w:r>
        <w:r w:rsidRPr="00A20FDD">
          <w:rPr>
            <w:rStyle w:val="Hyperlink"/>
            <w:rFonts w:cs="Times New Roman"/>
          </w:rPr>
          <w:t>www</w:t>
        </w:r>
        <w:r w:rsidRPr="00FD6B73">
          <w:rPr>
            <w:rStyle w:val="Hyperlink"/>
            <w:rFonts w:cs="Times New Roman"/>
            <w:lang w:val="sr-Cyrl-CS"/>
          </w:rPr>
          <w:t>.</w:t>
        </w:r>
        <w:r w:rsidRPr="00A20FDD">
          <w:rPr>
            <w:rStyle w:val="Hyperlink"/>
            <w:rFonts w:cs="Times New Roman"/>
          </w:rPr>
          <w:t>vk</w:t>
        </w:r>
        <w:r w:rsidRPr="00FD6B73">
          <w:rPr>
            <w:rStyle w:val="Hyperlink"/>
            <w:rFonts w:cs="Times New Roman"/>
            <w:lang w:val="sr-Cyrl-CS"/>
          </w:rPr>
          <w:t>.</w:t>
        </w:r>
        <w:r w:rsidRPr="00A20FDD">
          <w:rPr>
            <w:rStyle w:val="Hyperlink"/>
            <w:rFonts w:cs="Times New Roman"/>
          </w:rPr>
          <w:t>sud</w:t>
        </w:r>
        <w:r w:rsidRPr="00FD6B73">
          <w:rPr>
            <w:rStyle w:val="Hyperlink"/>
            <w:rFonts w:cs="Times New Roman"/>
            <w:lang w:val="sr-Cyrl-CS"/>
          </w:rPr>
          <w:t>.</w:t>
        </w:r>
        <w:r w:rsidRPr="00A20FDD">
          <w:rPr>
            <w:rStyle w:val="Hyperlink"/>
            <w:rFonts w:cs="Times New Roman"/>
          </w:rPr>
          <w:t>rs</w:t>
        </w:r>
        <w:r w:rsidRPr="00FD6B73">
          <w:rPr>
            <w:rStyle w:val="Hyperlink"/>
            <w:rFonts w:cs="Times New Roman"/>
            <w:lang w:val="sr-Cyrl-CS"/>
          </w:rPr>
          <w:t>/</w:t>
        </w:r>
        <w:r w:rsidRPr="00A20FDD">
          <w:rPr>
            <w:rStyle w:val="Hyperlink"/>
            <w:rFonts w:cs="Times New Roman"/>
          </w:rPr>
          <w:t>sites</w:t>
        </w:r>
        <w:r w:rsidRPr="00FD6B73">
          <w:rPr>
            <w:rStyle w:val="Hyperlink"/>
            <w:rFonts w:cs="Times New Roman"/>
            <w:lang w:val="sr-Cyrl-CS"/>
          </w:rPr>
          <w:t>/</w:t>
        </w:r>
        <w:r w:rsidRPr="00A20FDD">
          <w:rPr>
            <w:rStyle w:val="Hyperlink"/>
            <w:rFonts w:cs="Times New Roman"/>
          </w:rPr>
          <w:t>default</w:t>
        </w:r>
        <w:r w:rsidRPr="00FD6B73">
          <w:rPr>
            <w:rStyle w:val="Hyperlink"/>
            <w:rFonts w:cs="Times New Roman"/>
            <w:lang w:val="sr-Cyrl-CS"/>
          </w:rPr>
          <w:t>/</w:t>
        </w:r>
        <w:r w:rsidRPr="00A20FDD">
          <w:rPr>
            <w:rStyle w:val="Hyperlink"/>
            <w:rFonts w:cs="Times New Roman"/>
          </w:rPr>
          <w:t>files</w:t>
        </w:r>
        <w:r w:rsidRPr="00FD6B73">
          <w:rPr>
            <w:rStyle w:val="Hyperlink"/>
            <w:rFonts w:cs="Times New Roman"/>
            <w:lang w:val="sr-Cyrl-CS"/>
          </w:rPr>
          <w:t>/</w:t>
        </w:r>
        <w:r w:rsidRPr="00A20FDD">
          <w:rPr>
            <w:rStyle w:val="Hyperlink"/>
            <w:rFonts w:cs="Times New Roman"/>
          </w:rPr>
          <w:t>attachments</w:t>
        </w:r>
        <w:r w:rsidRPr="00FD6B73">
          <w:rPr>
            <w:rStyle w:val="Hyperlink"/>
            <w:rFonts w:cs="Times New Roman"/>
            <w:lang w:val="sr-Cyrl-CS"/>
          </w:rPr>
          <w:t>/</w:t>
        </w:r>
        <w:r w:rsidRPr="00A20FDD">
          <w:rPr>
            <w:rStyle w:val="Hyperlink"/>
            <w:rFonts w:cs="Times New Roman"/>
          </w:rPr>
          <w:t>Godi</w:t>
        </w:r>
        <w:r w:rsidRPr="00FD6B73">
          <w:rPr>
            <w:rStyle w:val="Hyperlink"/>
            <w:rFonts w:cs="Times New Roman"/>
            <w:lang w:val="sr-Cyrl-CS"/>
          </w:rPr>
          <w:t>%</w:t>
        </w:r>
        <w:r w:rsidRPr="00A20FDD">
          <w:rPr>
            <w:rStyle w:val="Hyperlink"/>
            <w:rFonts w:cs="Times New Roman"/>
          </w:rPr>
          <w:t>C</w:t>
        </w:r>
        <w:r w:rsidRPr="00FD6B73">
          <w:rPr>
            <w:rStyle w:val="Hyperlink"/>
            <w:rFonts w:cs="Times New Roman"/>
            <w:lang w:val="sr-Cyrl-CS"/>
          </w:rPr>
          <w:t>5%</w:t>
        </w:r>
        <w:r w:rsidRPr="00A20FDD">
          <w:rPr>
            <w:rStyle w:val="Hyperlink"/>
            <w:rFonts w:cs="Times New Roman"/>
          </w:rPr>
          <w:t>A</w:t>
        </w:r>
        <w:r w:rsidRPr="00FD6B73">
          <w:rPr>
            <w:rStyle w:val="Hyperlink"/>
            <w:rFonts w:cs="Times New Roman"/>
            <w:lang w:val="sr-Cyrl-CS"/>
          </w:rPr>
          <w:t>1</w:t>
        </w:r>
        <w:r w:rsidRPr="00A20FDD">
          <w:rPr>
            <w:rStyle w:val="Hyperlink"/>
            <w:rFonts w:cs="Times New Roman"/>
          </w:rPr>
          <w:t>nji</w:t>
        </w:r>
        <w:r w:rsidRPr="00FD6B73">
          <w:rPr>
            <w:rStyle w:val="Hyperlink"/>
            <w:rFonts w:cs="Times New Roman"/>
            <w:lang w:val="sr-Cyrl-CS"/>
          </w:rPr>
          <w:t>%20</w:t>
        </w:r>
        <w:r w:rsidRPr="00A20FDD">
          <w:rPr>
            <w:rStyle w:val="Hyperlink"/>
            <w:rFonts w:cs="Times New Roman"/>
          </w:rPr>
          <w:t>izve</w:t>
        </w:r>
        <w:r w:rsidRPr="00FD6B73">
          <w:rPr>
            <w:rStyle w:val="Hyperlink"/>
            <w:rFonts w:cs="Times New Roman"/>
            <w:lang w:val="sr-Cyrl-CS"/>
          </w:rPr>
          <w:t>%</w:t>
        </w:r>
        <w:r w:rsidRPr="00A20FDD">
          <w:rPr>
            <w:rStyle w:val="Hyperlink"/>
            <w:rFonts w:cs="Times New Roman"/>
          </w:rPr>
          <w:t>C</w:t>
        </w:r>
        <w:r w:rsidRPr="00FD6B73">
          <w:rPr>
            <w:rStyle w:val="Hyperlink"/>
            <w:rFonts w:cs="Times New Roman"/>
            <w:lang w:val="sr-Cyrl-CS"/>
          </w:rPr>
          <w:t>5%</w:t>
        </w:r>
        <w:r w:rsidRPr="00A20FDD">
          <w:rPr>
            <w:rStyle w:val="Hyperlink"/>
            <w:rFonts w:cs="Times New Roman"/>
          </w:rPr>
          <w:t>A</w:t>
        </w:r>
        <w:r w:rsidRPr="00FD6B73">
          <w:rPr>
            <w:rStyle w:val="Hyperlink"/>
            <w:rFonts w:cs="Times New Roman"/>
            <w:lang w:val="sr-Cyrl-CS"/>
          </w:rPr>
          <w:t>1</w:t>
        </w:r>
        <w:r w:rsidRPr="00A20FDD">
          <w:rPr>
            <w:rStyle w:val="Hyperlink"/>
            <w:rFonts w:cs="Times New Roman"/>
          </w:rPr>
          <w:t>taja</w:t>
        </w:r>
        <w:r w:rsidRPr="00FD6B73">
          <w:rPr>
            <w:rStyle w:val="Hyperlink"/>
            <w:rFonts w:cs="Times New Roman"/>
            <w:lang w:val="sr-Cyrl-CS"/>
          </w:rPr>
          <w:t>%20</w:t>
        </w:r>
        <w:r w:rsidRPr="00A20FDD">
          <w:rPr>
            <w:rStyle w:val="Hyperlink"/>
            <w:rFonts w:cs="Times New Roman"/>
          </w:rPr>
          <w:t>za</w:t>
        </w:r>
        <w:r w:rsidRPr="00FD6B73">
          <w:rPr>
            <w:rStyle w:val="Hyperlink"/>
            <w:rFonts w:cs="Times New Roman"/>
            <w:lang w:val="sr-Cyrl-CS"/>
          </w:rPr>
          <w:t>%202020%20</w:t>
        </w:r>
        <w:r w:rsidRPr="00A20FDD">
          <w:rPr>
            <w:rStyle w:val="Hyperlink"/>
            <w:rFonts w:cs="Times New Roman"/>
          </w:rPr>
          <w:t>FINAL</w:t>
        </w:r>
        <w:r w:rsidRPr="00FD6B73">
          <w:rPr>
            <w:rStyle w:val="Hyperlink"/>
            <w:rFonts w:cs="Times New Roman"/>
            <w:lang w:val="sr-Cyrl-CS"/>
          </w:rPr>
          <w:t>_0.</w:t>
        </w:r>
        <w:r w:rsidRPr="00A20FDD">
          <w:rPr>
            <w:rStyle w:val="Hyperlink"/>
            <w:rFonts w:cs="Times New Roman"/>
          </w:rPr>
          <w:t>pdf</w:t>
        </w:r>
      </w:hyperlink>
      <w:r w:rsidRPr="00FD6B73">
        <w:rPr>
          <w:rFonts w:cs="Times New Roman"/>
          <w:lang w:val="sr-Cyrl-CS"/>
        </w:rPr>
        <w:t xml:space="preserve"> , приступљено 11. априла 2021. године</w:t>
      </w:r>
    </w:p>
  </w:footnote>
  <w:footnote w:id="55">
    <w:p w14:paraId="30E74E0E" w14:textId="77777777" w:rsidR="000B0462" w:rsidRPr="00FD6B73" w:rsidRDefault="000B0462" w:rsidP="00A20FDD">
      <w:pPr>
        <w:pStyle w:val="FootnoteText"/>
        <w:rPr>
          <w:rFonts w:cs="Times New Roman"/>
          <w:lang w:val="sr-Cyrl-CS"/>
        </w:rPr>
      </w:pPr>
      <w:r w:rsidRPr="00A20FDD">
        <w:rPr>
          <w:rStyle w:val="FootnoteReference"/>
          <w:rFonts w:cs="Times New Roman"/>
        </w:rPr>
        <w:footnoteRef/>
      </w:r>
      <w:r w:rsidRPr="00FD6B73">
        <w:rPr>
          <w:rFonts w:cs="Times New Roman"/>
          <w:lang w:val="sr-Cyrl-CS"/>
        </w:rPr>
        <w:t xml:space="preserve"> Види: </w:t>
      </w:r>
      <w:hyperlink r:id="rId27" w:history="1">
        <w:r w:rsidRPr="00A20FDD">
          <w:rPr>
            <w:rStyle w:val="Hyperlink"/>
            <w:rFonts w:cs="Times New Roman"/>
          </w:rPr>
          <w:t>https</w:t>
        </w:r>
        <w:r w:rsidRPr="00FD6B73">
          <w:rPr>
            <w:rStyle w:val="Hyperlink"/>
            <w:rFonts w:cs="Times New Roman"/>
            <w:lang w:val="sr-Cyrl-CS"/>
          </w:rPr>
          <w:t>://</w:t>
        </w:r>
        <w:r w:rsidRPr="00A20FDD">
          <w:rPr>
            <w:rStyle w:val="Hyperlink"/>
            <w:rFonts w:cs="Times New Roman"/>
          </w:rPr>
          <w:t>www</w:t>
        </w:r>
        <w:r w:rsidRPr="00FD6B73">
          <w:rPr>
            <w:rStyle w:val="Hyperlink"/>
            <w:rFonts w:cs="Times New Roman"/>
            <w:lang w:val="sr-Cyrl-CS"/>
          </w:rPr>
          <w:t>.</w:t>
        </w:r>
        <w:r w:rsidRPr="00A20FDD">
          <w:rPr>
            <w:rStyle w:val="Hyperlink"/>
            <w:rFonts w:cs="Times New Roman"/>
          </w:rPr>
          <w:t>mpravde</w:t>
        </w:r>
        <w:r w:rsidRPr="00FD6B73">
          <w:rPr>
            <w:rStyle w:val="Hyperlink"/>
            <w:rFonts w:cs="Times New Roman"/>
            <w:lang w:val="sr-Cyrl-CS"/>
          </w:rPr>
          <w:t>.</w:t>
        </w:r>
        <w:r w:rsidRPr="00A20FDD">
          <w:rPr>
            <w:rStyle w:val="Hyperlink"/>
            <w:rFonts w:cs="Times New Roman"/>
          </w:rPr>
          <w:t>gov</w:t>
        </w:r>
        <w:r w:rsidRPr="00FD6B73">
          <w:rPr>
            <w:rStyle w:val="Hyperlink"/>
            <w:rFonts w:cs="Times New Roman"/>
            <w:lang w:val="sr-Cyrl-CS"/>
          </w:rPr>
          <w:t>.</w:t>
        </w:r>
        <w:r w:rsidRPr="00A20FDD">
          <w:rPr>
            <w:rStyle w:val="Hyperlink"/>
            <w:rFonts w:cs="Times New Roman"/>
          </w:rPr>
          <w:t>rs</w:t>
        </w:r>
        <w:r w:rsidRPr="00FD6B73">
          <w:rPr>
            <w:rStyle w:val="Hyperlink"/>
            <w:rFonts w:cs="Times New Roman"/>
            <w:lang w:val="sr-Cyrl-CS"/>
          </w:rPr>
          <w:t>/</w:t>
        </w:r>
        <w:r w:rsidRPr="00A20FDD">
          <w:rPr>
            <w:rStyle w:val="Hyperlink"/>
            <w:rFonts w:cs="Times New Roman"/>
          </w:rPr>
          <w:t>tekst</w:t>
        </w:r>
        <w:r w:rsidRPr="00FD6B73">
          <w:rPr>
            <w:rStyle w:val="Hyperlink"/>
            <w:rFonts w:cs="Times New Roman"/>
            <w:lang w:val="sr-Cyrl-CS"/>
          </w:rPr>
          <w:t>/17978/</w:t>
        </w:r>
        <w:r w:rsidRPr="00A20FDD">
          <w:rPr>
            <w:rStyle w:val="Hyperlink"/>
            <w:rFonts w:cs="Times New Roman"/>
          </w:rPr>
          <w:t>izvestaj</w:t>
        </w:r>
        <w:r w:rsidRPr="00FD6B73">
          <w:rPr>
            <w:rStyle w:val="Hyperlink"/>
            <w:rFonts w:cs="Times New Roman"/>
            <w:lang w:val="sr-Cyrl-CS"/>
          </w:rPr>
          <w:t>-</w:t>
        </w:r>
        <w:r w:rsidRPr="00A20FDD">
          <w:rPr>
            <w:rStyle w:val="Hyperlink"/>
            <w:rFonts w:cs="Times New Roman"/>
          </w:rPr>
          <w:t>o</w:t>
        </w:r>
        <w:r w:rsidRPr="00FD6B73">
          <w:rPr>
            <w:rStyle w:val="Hyperlink"/>
            <w:rFonts w:cs="Times New Roman"/>
            <w:lang w:val="sr-Cyrl-CS"/>
          </w:rPr>
          <w:t>-</w:t>
        </w:r>
        <w:r w:rsidRPr="00A20FDD">
          <w:rPr>
            <w:rStyle w:val="Hyperlink"/>
            <w:rFonts w:cs="Times New Roman"/>
          </w:rPr>
          <w:t>sprovodjenju</w:t>
        </w:r>
        <w:r w:rsidRPr="00FD6B73">
          <w:rPr>
            <w:rStyle w:val="Hyperlink"/>
            <w:rFonts w:cs="Times New Roman"/>
            <w:lang w:val="sr-Cyrl-CS"/>
          </w:rPr>
          <w:t>-</w:t>
        </w:r>
        <w:r w:rsidRPr="00A20FDD">
          <w:rPr>
            <w:rStyle w:val="Hyperlink"/>
            <w:rFonts w:cs="Times New Roman"/>
          </w:rPr>
          <w:t>nacionalne</w:t>
        </w:r>
        <w:r w:rsidRPr="00FD6B73">
          <w:rPr>
            <w:rStyle w:val="Hyperlink"/>
            <w:rFonts w:cs="Times New Roman"/>
            <w:lang w:val="sr-Cyrl-CS"/>
          </w:rPr>
          <w:t>-</w:t>
        </w:r>
        <w:r w:rsidRPr="00A20FDD">
          <w:rPr>
            <w:rStyle w:val="Hyperlink"/>
            <w:rFonts w:cs="Times New Roman"/>
          </w:rPr>
          <w:t>strategije</w:t>
        </w:r>
        <w:r w:rsidRPr="00FD6B73">
          <w:rPr>
            <w:rStyle w:val="Hyperlink"/>
            <w:rFonts w:cs="Times New Roman"/>
            <w:lang w:val="sr-Cyrl-CS"/>
          </w:rPr>
          <w:t>-</w:t>
        </w:r>
        <w:r w:rsidRPr="00A20FDD">
          <w:rPr>
            <w:rStyle w:val="Hyperlink"/>
            <w:rFonts w:cs="Times New Roman"/>
          </w:rPr>
          <w:t>za</w:t>
        </w:r>
        <w:r w:rsidRPr="00FD6B73">
          <w:rPr>
            <w:rStyle w:val="Hyperlink"/>
            <w:rFonts w:cs="Times New Roman"/>
            <w:lang w:val="sr-Cyrl-CS"/>
          </w:rPr>
          <w:t>-</w:t>
        </w:r>
        <w:r w:rsidRPr="00A20FDD">
          <w:rPr>
            <w:rStyle w:val="Hyperlink"/>
            <w:rFonts w:cs="Times New Roman"/>
          </w:rPr>
          <w:t>procesuiranje</w:t>
        </w:r>
        <w:r w:rsidRPr="00FD6B73">
          <w:rPr>
            <w:rStyle w:val="Hyperlink"/>
            <w:rFonts w:cs="Times New Roman"/>
            <w:lang w:val="sr-Cyrl-CS"/>
          </w:rPr>
          <w:t>-</w:t>
        </w:r>
        <w:r w:rsidRPr="00A20FDD">
          <w:rPr>
            <w:rStyle w:val="Hyperlink"/>
            <w:rFonts w:cs="Times New Roman"/>
          </w:rPr>
          <w:t>ratnih</w:t>
        </w:r>
        <w:r w:rsidRPr="00FD6B73">
          <w:rPr>
            <w:rStyle w:val="Hyperlink"/>
            <w:rFonts w:cs="Times New Roman"/>
            <w:lang w:val="sr-Cyrl-CS"/>
          </w:rPr>
          <w:t>-</w:t>
        </w:r>
        <w:r w:rsidRPr="00A20FDD">
          <w:rPr>
            <w:rStyle w:val="Hyperlink"/>
            <w:rFonts w:cs="Times New Roman"/>
          </w:rPr>
          <w:t>zlocina</w:t>
        </w:r>
        <w:r w:rsidRPr="00FD6B73">
          <w:rPr>
            <w:rStyle w:val="Hyperlink"/>
            <w:rFonts w:cs="Times New Roman"/>
            <w:lang w:val="sr-Cyrl-CS"/>
          </w:rPr>
          <w:t>.</w:t>
        </w:r>
        <w:r w:rsidRPr="00A20FDD">
          <w:rPr>
            <w:rStyle w:val="Hyperlink"/>
            <w:rFonts w:cs="Times New Roman"/>
          </w:rPr>
          <w:t>php</w:t>
        </w:r>
        <w:r w:rsidRPr="00FD6B73">
          <w:rPr>
            <w:rStyle w:val="Hyperlink"/>
            <w:rFonts w:cs="Times New Roman"/>
            <w:lang w:val="sr-Cyrl-CS"/>
          </w:rPr>
          <w:t>,</w:t>
        </w:r>
      </w:hyperlink>
      <w:r w:rsidRPr="00FD6B73">
        <w:rPr>
          <w:rFonts w:cs="Times New Roman"/>
          <w:lang w:val="sr-Cyrl-CS"/>
        </w:rPr>
        <w:t xml:space="preserve"> приступљено 9. априла 2021. године</w:t>
      </w:r>
    </w:p>
  </w:footnote>
  <w:footnote w:id="56">
    <w:p w14:paraId="34AA470E" w14:textId="77777777" w:rsidR="000B0462" w:rsidRPr="00FD6B73" w:rsidRDefault="000B0462" w:rsidP="00A20FDD">
      <w:pPr>
        <w:pStyle w:val="FootnoteText"/>
        <w:rPr>
          <w:rFonts w:cs="Times New Roman"/>
          <w:lang w:val="sr-Cyrl-CS"/>
        </w:rPr>
      </w:pPr>
      <w:r w:rsidRPr="00A20FDD">
        <w:rPr>
          <w:rStyle w:val="FootnoteReference"/>
          <w:rFonts w:cs="Times New Roman"/>
        </w:rPr>
        <w:footnoteRef/>
      </w:r>
      <w:r w:rsidRPr="00FD6B73">
        <w:rPr>
          <w:rFonts w:cs="Times New Roman"/>
          <w:lang w:val="sr-Cyrl-CS"/>
        </w:rPr>
        <w:t xml:space="preserve"> Види: </w:t>
      </w:r>
      <w:hyperlink r:id="rId28" w:history="1">
        <w:r w:rsidRPr="00A20FDD">
          <w:rPr>
            <w:rStyle w:val="Hyperlink"/>
            <w:rFonts w:cs="Times New Roman"/>
          </w:rPr>
          <w:t>https</w:t>
        </w:r>
        <w:r w:rsidRPr="00FD6B73">
          <w:rPr>
            <w:rStyle w:val="Hyperlink"/>
            <w:rFonts w:cs="Times New Roman"/>
            <w:lang w:val="sr-Cyrl-CS"/>
          </w:rPr>
          <w:t>://</w:t>
        </w:r>
        <w:r w:rsidRPr="00A20FDD">
          <w:rPr>
            <w:rStyle w:val="Hyperlink"/>
            <w:rFonts w:cs="Times New Roman"/>
          </w:rPr>
          <w:t>www</w:t>
        </w:r>
        <w:r w:rsidRPr="00FD6B73">
          <w:rPr>
            <w:rStyle w:val="Hyperlink"/>
            <w:rFonts w:cs="Times New Roman"/>
            <w:lang w:val="sr-Cyrl-CS"/>
          </w:rPr>
          <w:t>.</w:t>
        </w:r>
        <w:r w:rsidRPr="00A20FDD">
          <w:rPr>
            <w:rStyle w:val="Hyperlink"/>
            <w:rFonts w:cs="Times New Roman"/>
          </w:rPr>
          <w:t>mpravde</w:t>
        </w:r>
        <w:r w:rsidRPr="00FD6B73">
          <w:rPr>
            <w:rStyle w:val="Hyperlink"/>
            <w:rFonts w:cs="Times New Roman"/>
            <w:lang w:val="sr-Cyrl-CS"/>
          </w:rPr>
          <w:t>.</w:t>
        </w:r>
        <w:r w:rsidRPr="00A20FDD">
          <w:rPr>
            <w:rStyle w:val="Hyperlink"/>
            <w:rFonts w:cs="Times New Roman"/>
          </w:rPr>
          <w:t>gov</w:t>
        </w:r>
        <w:r w:rsidRPr="00FD6B73">
          <w:rPr>
            <w:rStyle w:val="Hyperlink"/>
            <w:rFonts w:cs="Times New Roman"/>
            <w:lang w:val="sr-Cyrl-CS"/>
          </w:rPr>
          <w:t>.</w:t>
        </w:r>
        <w:r w:rsidRPr="00A20FDD">
          <w:rPr>
            <w:rStyle w:val="Hyperlink"/>
            <w:rFonts w:cs="Times New Roman"/>
          </w:rPr>
          <w:t>rs</w:t>
        </w:r>
        <w:r w:rsidRPr="00FD6B73">
          <w:rPr>
            <w:rStyle w:val="Hyperlink"/>
            <w:rFonts w:cs="Times New Roman"/>
            <w:lang w:val="sr-Cyrl-CS"/>
          </w:rPr>
          <w:t>/</w:t>
        </w:r>
        <w:r w:rsidRPr="00A20FDD">
          <w:rPr>
            <w:rStyle w:val="Hyperlink"/>
            <w:rFonts w:cs="Times New Roman"/>
          </w:rPr>
          <w:t>tekst</w:t>
        </w:r>
        <w:r w:rsidRPr="00FD6B73">
          <w:rPr>
            <w:rStyle w:val="Hyperlink"/>
            <w:rFonts w:cs="Times New Roman"/>
            <w:lang w:val="sr-Cyrl-CS"/>
          </w:rPr>
          <w:t>/26470/</w:t>
        </w:r>
        <w:r w:rsidRPr="00A20FDD">
          <w:rPr>
            <w:rStyle w:val="Hyperlink"/>
            <w:rFonts w:cs="Times New Roman"/>
          </w:rPr>
          <w:t>izvestaji</w:t>
        </w:r>
        <w:r w:rsidRPr="00FD6B73">
          <w:rPr>
            <w:rStyle w:val="Hyperlink"/>
            <w:rFonts w:cs="Times New Roman"/>
            <w:lang w:val="sr-Cyrl-CS"/>
          </w:rPr>
          <w:t>-</w:t>
        </w:r>
        <w:r w:rsidRPr="00A20FDD">
          <w:rPr>
            <w:rStyle w:val="Hyperlink"/>
            <w:rFonts w:cs="Times New Roman"/>
          </w:rPr>
          <w:t>o</w:t>
        </w:r>
        <w:r w:rsidRPr="00FD6B73">
          <w:rPr>
            <w:rStyle w:val="Hyperlink"/>
            <w:rFonts w:cs="Times New Roman"/>
            <w:lang w:val="sr-Cyrl-CS"/>
          </w:rPr>
          <w:t>-</w:t>
        </w:r>
        <w:r w:rsidRPr="00A20FDD">
          <w:rPr>
            <w:rStyle w:val="Hyperlink"/>
            <w:rFonts w:cs="Times New Roman"/>
          </w:rPr>
          <w:t>sprovodjenju</w:t>
        </w:r>
        <w:r w:rsidRPr="00FD6B73">
          <w:rPr>
            <w:rStyle w:val="Hyperlink"/>
            <w:rFonts w:cs="Times New Roman"/>
            <w:lang w:val="sr-Cyrl-CS"/>
          </w:rPr>
          <w:t>-</w:t>
        </w:r>
        <w:r w:rsidRPr="00A20FDD">
          <w:rPr>
            <w:rStyle w:val="Hyperlink"/>
            <w:rFonts w:cs="Times New Roman"/>
          </w:rPr>
          <w:t>akcionog</w:t>
        </w:r>
        <w:r w:rsidRPr="00FD6B73">
          <w:rPr>
            <w:rStyle w:val="Hyperlink"/>
            <w:rFonts w:cs="Times New Roman"/>
            <w:lang w:val="sr-Cyrl-CS"/>
          </w:rPr>
          <w:t>-</w:t>
        </w:r>
        <w:r w:rsidRPr="00A20FDD">
          <w:rPr>
            <w:rStyle w:val="Hyperlink"/>
            <w:rFonts w:cs="Times New Roman"/>
          </w:rPr>
          <w:t>plana</w:t>
        </w:r>
        <w:r w:rsidRPr="00FD6B73">
          <w:rPr>
            <w:rStyle w:val="Hyperlink"/>
            <w:rFonts w:cs="Times New Roman"/>
            <w:lang w:val="sr-Cyrl-CS"/>
          </w:rPr>
          <w:t>-</w:t>
        </w:r>
        <w:r w:rsidRPr="00A20FDD">
          <w:rPr>
            <w:rStyle w:val="Hyperlink"/>
            <w:rFonts w:cs="Times New Roman"/>
          </w:rPr>
          <w:t>za</w:t>
        </w:r>
        <w:r w:rsidRPr="00FD6B73">
          <w:rPr>
            <w:rStyle w:val="Hyperlink"/>
            <w:rFonts w:cs="Times New Roman"/>
            <w:lang w:val="sr-Cyrl-CS"/>
          </w:rPr>
          <w:t>-</w:t>
        </w:r>
        <w:r w:rsidRPr="00A20FDD">
          <w:rPr>
            <w:rStyle w:val="Hyperlink"/>
            <w:rFonts w:cs="Times New Roman"/>
          </w:rPr>
          <w:t>poglavlje</w:t>
        </w:r>
        <w:r w:rsidRPr="00FD6B73">
          <w:rPr>
            <w:rStyle w:val="Hyperlink"/>
            <w:rFonts w:cs="Times New Roman"/>
            <w:lang w:val="sr-Cyrl-CS"/>
          </w:rPr>
          <w:t>-23.</w:t>
        </w:r>
        <w:r w:rsidRPr="00A20FDD">
          <w:rPr>
            <w:rStyle w:val="Hyperlink"/>
            <w:rFonts w:cs="Times New Roman"/>
          </w:rPr>
          <w:t>php</w:t>
        </w:r>
      </w:hyperlink>
      <w:r w:rsidRPr="00FD6B73">
        <w:rPr>
          <w:rFonts w:cs="Times New Roman"/>
          <w:lang w:val="sr-Cyrl-CS"/>
        </w:rPr>
        <w:t>, приступљено 9. априла 2021. године</w:t>
      </w:r>
    </w:p>
  </w:footnote>
  <w:footnote w:id="57">
    <w:p w14:paraId="0374A102" w14:textId="77777777" w:rsidR="000B0462" w:rsidRPr="00FD6B73" w:rsidRDefault="000B0462" w:rsidP="00A20FDD">
      <w:pPr>
        <w:pStyle w:val="FootnoteText"/>
        <w:rPr>
          <w:rFonts w:cs="Times New Roman"/>
          <w:lang w:val="sr-Cyrl-CS"/>
        </w:rPr>
      </w:pPr>
      <w:r w:rsidRPr="00A20FDD">
        <w:rPr>
          <w:rStyle w:val="FootnoteReference"/>
          <w:rFonts w:cs="Times New Roman"/>
        </w:rPr>
        <w:footnoteRef/>
      </w:r>
      <w:r w:rsidRPr="00FD6B73">
        <w:rPr>
          <w:rFonts w:cs="Times New Roman"/>
          <w:lang w:val="sr-Cyrl-CS"/>
        </w:rPr>
        <w:t xml:space="preserve">Види:  </w:t>
      </w:r>
      <w:hyperlink r:id="rId29" w:history="1">
        <w:r w:rsidRPr="00A20FDD">
          <w:rPr>
            <w:rStyle w:val="Hyperlink"/>
            <w:rFonts w:cs="Times New Roman"/>
          </w:rPr>
          <w:t>https</w:t>
        </w:r>
        <w:r w:rsidRPr="00FD6B73">
          <w:rPr>
            <w:rStyle w:val="Hyperlink"/>
            <w:rFonts w:cs="Times New Roman"/>
            <w:lang w:val="sr-Cyrl-CS"/>
          </w:rPr>
          <w:t>://</w:t>
        </w:r>
        <w:r w:rsidRPr="00A20FDD">
          <w:rPr>
            <w:rStyle w:val="Hyperlink"/>
            <w:rFonts w:cs="Times New Roman"/>
          </w:rPr>
          <w:t>www</w:t>
        </w:r>
        <w:r w:rsidRPr="00FD6B73">
          <w:rPr>
            <w:rStyle w:val="Hyperlink"/>
            <w:rFonts w:cs="Times New Roman"/>
            <w:lang w:val="sr-Cyrl-CS"/>
          </w:rPr>
          <w:t>.</w:t>
        </w:r>
        <w:r w:rsidRPr="00A20FDD">
          <w:rPr>
            <w:rStyle w:val="Hyperlink"/>
            <w:rFonts w:cs="Times New Roman"/>
          </w:rPr>
          <w:t>tuzilastvorz</w:t>
        </w:r>
        <w:r w:rsidRPr="00FD6B73">
          <w:rPr>
            <w:rStyle w:val="Hyperlink"/>
            <w:rFonts w:cs="Times New Roman"/>
            <w:lang w:val="sr-Cyrl-CS"/>
          </w:rPr>
          <w:t>.</w:t>
        </w:r>
        <w:r w:rsidRPr="00A20FDD">
          <w:rPr>
            <w:rStyle w:val="Hyperlink"/>
            <w:rFonts w:cs="Times New Roman"/>
          </w:rPr>
          <w:t>org</w:t>
        </w:r>
        <w:r w:rsidRPr="00FD6B73">
          <w:rPr>
            <w:rStyle w:val="Hyperlink"/>
            <w:rFonts w:cs="Times New Roman"/>
            <w:lang w:val="sr-Cyrl-CS"/>
          </w:rPr>
          <w:t>.</w:t>
        </w:r>
        <w:r w:rsidRPr="00A20FDD">
          <w:rPr>
            <w:rStyle w:val="Hyperlink"/>
            <w:rFonts w:cs="Times New Roman"/>
          </w:rPr>
          <w:t>rs</w:t>
        </w:r>
        <w:r w:rsidRPr="00FD6B73">
          <w:rPr>
            <w:rStyle w:val="Hyperlink"/>
            <w:rFonts w:cs="Times New Roman"/>
            <w:lang w:val="sr-Cyrl-CS"/>
          </w:rPr>
          <w:t>/</w:t>
        </w:r>
        <w:r w:rsidRPr="00A20FDD">
          <w:rPr>
            <w:rStyle w:val="Hyperlink"/>
            <w:rFonts w:cs="Times New Roman"/>
          </w:rPr>
          <w:t>upload</w:t>
        </w:r>
        <w:r w:rsidRPr="00FD6B73">
          <w:rPr>
            <w:rStyle w:val="Hyperlink"/>
            <w:rFonts w:cs="Times New Roman"/>
            <w:lang w:val="sr-Cyrl-CS"/>
          </w:rPr>
          <w:t>/</w:t>
        </w:r>
        <w:r w:rsidRPr="00A20FDD">
          <w:rPr>
            <w:rStyle w:val="Hyperlink"/>
            <w:rFonts w:cs="Times New Roman"/>
          </w:rPr>
          <w:t>HomeDocument</w:t>
        </w:r>
        <w:r w:rsidRPr="00FD6B73">
          <w:rPr>
            <w:rStyle w:val="Hyperlink"/>
            <w:rFonts w:cs="Times New Roman"/>
            <w:lang w:val="sr-Cyrl-CS"/>
          </w:rPr>
          <w:t>/</w:t>
        </w:r>
        <w:r w:rsidRPr="00A20FDD">
          <w:rPr>
            <w:rStyle w:val="Hyperlink"/>
            <w:rFonts w:cs="Times New Roman"/>
          </w:rPr>
          <w:t>Document</w:t>
        </w:r>
        <w:r w:rsidRPr="00FD6B73">
          <w:rPr>
            <w:rStyle w:val="Hyperlink"/>
            <w:rFonts w:cs="Times New Roman"/>
            <w:lang w:val="sr-Cyrl-CS"/>
          </w:rPr>
          <w:t>__</w:t>
        </w:r>
        <w:r w:rsidRPr="00A20FDD">
          <w:rPr>
            <w:rStyle w:val="Hyperlink"/>
            <w:rFonts w:cs="Times New Roman"/>
          </w:rPr>
          <w:t>ci</w:t>
        </w:r>
        <w:r w:rsidRPr="00FD6B73">
          <w:rPr>
            <w:rStyle w:val="Hyperlink"/>
            <w:rFonts w:cs="Times New Roman"/>
            <w:lang w:val="sr-Cyrl-CS"/>
          </w:rPr>
          <w:t>/2018-12/</w:t>
        </w:r>
        <w:r w:rsidRPr="00A20FDD">
          <w:rPr>
            <w:rStyle w:val="Hyperlink"/>
            <w:rFonts w:cs="Times New Roman"/>
          </w:rPr>
          <w:t>hronoloski</w:t>
        </w:r>
        <w:r w:rsidRPr="00FD6B73">
          <w:rPr>
            <w:rStyle w:val="Hyperlink"/>
            <w:rFonts w:cs="Times New Roman"/>
            <w:lang w:val="sr-Cyrl-CS"/>
          </w:rPr>
          <w:t>_</w:t>
        </w:r>
        <w:r w:rsidRPr="00A20FDD">
          <w:rPr>
            <w:rStyle w:val="Hyperlink"/>
            <w:rFonts w:cs="Times New Roman"/>
          </w:rPr>
          <w:t>optuzbe</w:t>
        </w:r>
        <w:r w:rsidRPr="00FD6B73">
          <w:rPr>
            <w:rStyle w:val="Hyperlink"/>
            <w:rFonts w:cs="Times New Roman"/>
            <w:lang w:val="sr-Cyrl-CS"/>
          </w:rPr>
          <w:t>_3.</w:t>
        </w:r>
        <w:r w:rsidRPr="00A20FDD">
          <w:rPr>
            <w:rStyle w:val="Hyperlink"/>
            <w:rFonts w:cs="Times New Roman"/>
          </w:rPr>
          <w:t>pdf</w:t>
        </w:r>
      </w:hyperlink>
      <w:r w:rsidRPr="00FD6B73">
        <w:rPr>
          <w:rFonts w:cs="Times New Roman"/>
          <w:lang w:val="sr-Cyrl-CS"/>
        </w:rPr>
        <w:t xml:space="preserve"> приступљено 9. априла 2021. године</w:t>
      </w:r>
    </w:p>
  </w:footnote>
  <w:footnote w:id="58">
    <w:p w14:paraId="2C5170B1" w14:textId="3C2C155E" w:rsidR="000B0462" w:rsidRPr="00FD6B73" w:rsidRDefault="000B0462" w:rsidP="00A20FDD">
      <w:pPr>
        <w:pStyle w:val="FootnoteText"/>
        <w:rPr>
          <w:rFonts w:cs="Times New Roman"/>
          <w:lang w:val="sr-Cyrl-CS"/>
        </w:rPr>
      </w:pPr>
      <w:r w:rsidRPr="00A20FDD">
        <w:rPr>
          <w:rStyle w:val="FootnoteReference"/>
          <w:rFonts w:cs="Times New Roman"/>
        </w:rPr>
        <w:footnoteRef/>
      </w:r>
      <w:r>
        <w:rPr>
          <w:rFonts w:cs="Times New Roman"/>
          <w:lang w:val="sr-Cyrl-CS"/>
        </w:rPr>
        <w:t>Види:</w:t>
      </w:r>
      <w:hyperlink r:id="rId30" w:history="1">
        <w:r w:rsidRPr="00A20FDD">
          <w:rPr>
            <w:rStyle w:val="Hyperlink"/>
            <w:rFonts w:cs="Times New Roman"/>
            <w:lang w:val="fr-FR"/>
          </w:rPr>
          <w:t>https</w:t>
        </w:r>
        <w:r w:rsidRPr="00FD6B73">
          <w:rPr>
            <w:rStyle w:val="Hyperlink"/>
            <w:rFonts w:cs="Times New Roman"/>
            <w:lang w:val="sr-Cyrl-CS"/>
          </w:rPr>
          <w:t>://</w:t>
        </w:r>
        <w:r w:rsidRPr="00A20FDD">
          <w:rPr>
            <w:rStyle w:val="Hyperlink"/>
            <w:rFonts w:cs="Times New Roman"/>
            <w:lang w:val="fr-FR"/>
          </w:rPr>
          <w:t>testonja</w:t>
        </w:r>
        <w:r w:rsidRPr="00FD6B73">
          <w:rPr>
            <w:rStyle w:val="Hyperlink"/>
            <w:rFonts w:cs="Times New Roman"/>
            <w:lang w:val="sr-Cyrl-CS"/>
          </w:rPr>
          <w:t>.</w:t>
        </w:r>
        <w:r w:rsidRPr="00A20FDD">
          <w:rPr>
            <w:rStyle w:val="Hyperlink"/>
            <w:rFonts w:cs="Times New Roman"/>
            <w:lang w:val="fr-FR"/>
          </w:rPr>
          <w:t>studiob</w:t>
        </w:r>
        <w:r w:rsidRPr="00FD6B73">
          <w:rPr>
            <w:rStyle w:val="Hyperlink"/>
            <w:rFonts w:cs="Times New Roman"/>
            <w:lang w:val="sr-Cyrl-CS"/>
          </w:rPr>
          <w:t>.</w:t>
        </w:r>
        <w:r w:rsidRPr="00A20FDD">
          <w:rPr>
            <w:rStyle w:val="Hyperlink"/>
            <w:rFonts w:cs="Times New Roman"/>
            <w:lang w:val="fr-FR"/>
          </w:rPr>
          <w:t>rs</w:t>
        </w:r>
        <w:r w:rsidRPr="00FD6B73">
          <w:rPr>
            <w:rStyle w:val="Hyperlink"/>
            <w:rFonts w:cs="Times New Roman"/>
            <w:lang w:val="sr-Cyrl-CS"/>
          </w:rPr>
          <w:t>/</w:t>
        </w:r>
        <w:r w:rsidRPr="00A20FDD">
          <w:rPr>
            <w:rStyle w:val="Hyperlink"/>
            <w:rFonts w:cs="Times New Roman"/>
            <w:lang w:val="fr-FR"/>
          </w:rPr>
          <w:t>strategijom</w:t>
        </w:r>
        <w:r w:rsidRPr="00FD6B73">
          <w:rPr>
            <w:rStyle w:val="Hyperlink"/>
            <w:rFonts w:cs="Times New Roman"/>
            <w:lang w:val="sr-Cyrl-CS"/>
          </w:rPr>
          <w:t>-</w:t>
        </w:r>
        <w:r w:rsidRPr="00A20FDD">
          <w:rPr>
            <w:rStyle w:val="Hyperlink"/>
            <w:rFonts w:cs="Times New Roman"/>
            <w:lang w:val="fr-FR"/>
          </w:rPr>
          <w:t>do</w:t>
        </w:r>
        <w:r w:rsidRPr="00FD6B73">
          <w:rPr>
            <w:rStyle w:val="Hyperlink"/>
            <w:rFonts w:cs="Times New Roman"/>
            <w:lang w:val="sr-Cyrl-CS"/>
          </w:rPr>
          <w:t>-</w:t>
        </w:r>
        <w:r w:rsidRPr="00A20FDD">
          <w:rPr>
            <w:rStyle w:val="Hyperlink"/>
            <w:rFonts w:cs="Times New Roman"/>
            <w:lang w:val="fr-FR"/>
          </w:rPr>
          <w:t>efikasnijeg</w:t>
        </w:r>
        <w:r w:rsidRPr="00FD6B73">
          <w:rPr>
            <w:rStyle w:val="Hyperlink"/>
            <w:rFonts w:cs="Times New Roman"/>
            <w:lang w:val="sr-Cyrl-CS"/>
          </w:rPr>
          <w:t>-</w:t>
        </w:r>
        <w:r w:rsidRPr="00A20FDD">
          <w:rPr>
            <w:rStyle w:val="Hyperlink"/>
            <w:rFonts w:cs="Times New Roman"/>
            <w:lang w:val="fr-FR"/>
          </w:rPr>
          <w:t>procesuiranja</w:t>
        </w:r>
        <w:r w:rsidRPr="00FD6B73">
          <w:rPr>
            <w:rStyle w:val="Hyperlink"/>
            <w:rFonts w:cs="Times New Roman"/>
            <w:lang w:val="sr-Cyrl-CS"/>
          </w:rPr>
          <w:t>-</w:t>
        </w:r>
        <w:r w:rsidRPr="00A20FDD">
          <w:rPr>
            <w:rStyle w:val="Hyperlink"/>
            <w:rFonts w:cs="Times New Roman"/>
            <w:lang w:val="fr-FR"/>
          </w:rPr>
          <w:t>ratnih</w:t>
        </w:r>
        <w:r w:rsidRPr="00FD6B73">
          <w:rPr>
            <w:rStyle w:val="Hyperlink"/>
            <w:rFonts w:cs="Times New Roman"/>
            <w:lang w:val="sr-Cyrl-CS"/>
          </w:rPr>
          <w:t>-</w:t>
        </w:r>
        <w:r w:rsidRPr="00A20FDD">
          <w:rPr>
            <w:rStyle w:val="Hyperlink"/>
            <w:rFonts w:cs="Times New Roman"/>
            <w:lang w:val="fr-FR"/>
          </w:rPr>
          <w:t>zlocina</w:t>
        </w:r>
        <w:r w:rsidRPr="00FD6B73">
          <w:rPr>
            <w:rStyle w:val="Hyperlink"/>
            <w:rFonts w:cs="Times New Roman"/>
            <w:lang w:val="sr-Cyrl-CS"/>
          </w:rPr>
          <w:t>/</w:t>
        </w:r>
      </w:hyperlink>
      <w:r w:rsidRPr="00FD6B73">
        <w:rPr>
          <w:rFonts w:cs="Times New Roman"/>
          <w:lang w:val="sr-Cyrl-CS"/>
        </w:rPr>
        <w:t xml:space="preserve">, </w:t>
      </w:r>
      <w:hyperlink r:id="rId31" w:history="1">
        <w:r w:rsidRPr="002405D8">
          <w:rPr>
            <w:rStyle w:val="Hyperlink"/>
            <w:rFonts w:cs="Times New Roman"/>
          </w:rPr>
          <w:t>https</w:t>
        </w:r>
        <w:r w:rsidRPr="002405D8">
          <w:rPr>
            <w:rStyle w:val="Hyperlink"/>
            <w:rFonts w:cs="Times New Roman"/>
            <w:lang w:val="sr-Cyrl-CS"/>
          </w:rPr>
          <w:t>://</w:t>
        </w:r>
        <w:r w:rsidRPr="002405D8">
          <w:rPr>
            <w:rStyle w:val="Hyperlink"/>
            <w:rFonts w:cs="Times New Roman"/>
          </w:rPr>
          <w:t>www</w:t>
        </w:r>
        <w:r w:rsidRPr="002405D8">
          <w:rPr>
            <w:rStyle w:val="Hyperlink"/>
            <w:rFonts w:cs="Times New Roman"/>
            <w:lang w:val="sr-Cyrl-CS"/>
          </w:rPr>
          <w:t>.</w:t>
        </w:r>
        <w:r w:rsidRPr="002405D8">
          <w:rPr>
            <w:rStyle w:val="Hyperlink"/>
            <w:rFonts w:cs="Times New Roman"/>
          </w:rPr>
          <w:t>b</w:t>
        </w:r>
        <w:r w:rsidRPr="002405D8">
          <w:rPr>
            <w:rStyle w:val="Hyperlink"/>
            <w:rFonts w:cs="Times New Roman"/>
            <w:lang w:val="sr-Cyrl-CS"/>
          </w:rPr>
          <w:t>92.</w:t>
        </w:r>
        <w:r w:rsidRPr="002405D8">
          <w:rPr>
            <w:rStyle w:val="Hyperlink"/>
            <w:rFonts w:cs="Times New Roman"/>
          </w:rPr>
          <w:t>net</w:t>
        </w:r>
        <w:r w:rsidRPr="002405D8">
          <w:rPr>
            <w:rStyle w:val="Hyperlink"/>
            <w:rFonts w:cs="Times New Roman"/>
            <w:lang w:val="sr-Cyrl-CS"/>
          </w:rPr>
          <w:t>/</w:t>
        </w:r>
        <w:r w:rsidRPr="002405D8">
          <w:rPr>
            <w:rStyle w:val="Hyperlink"/>
            <w:rFonts w:cs="Times New Roman"/>
          </w:rPr>
          <w:t>info</w:t>
        </w:r>
        <w:r w:rsidRPr="002405D8">
          <w:rPr>
            <w:rStyle w:val="Hyperlink"/>
            <w:rFonts w:cs="Times New Roman"/>
            <w:lang w:val="sr-Cyrl-CS"/>
          </w:rPr>
          <w:t>/</w:t>
        </w:r>
        <w:r w:rsidRPr="002405D8">
          <w:rPr>
            <w:rStyle w:val="Hyperlink"/>
            <w:rFonts w:cs="Times New Roman"/>
          </w:rPr>
          <w:t>vesti</w:t>
        </w:r>
        <w:r w:rsidRPr="002405D8">
          <w:rPr>
            <w:rStyle w:val="Hyperlink"/>
            <w:rFonts w:cs="Times New Roman"/>
            <w:lang w:val="sr-Cyrl-CS"/>
          </w:rPr>
          <w:t>/</w:t>
        </w:r>
        <w:r w:rsidRPr="002405D8">
          <w:rPr>
            <w:rStyle w:val="Hyperlink"/>
            <w:rFonts w:cs="Times New Roman"/>
          </w:rPr>
          <w:t>index</w:t>
        </w:r>
        <w:r w:rsidRPr="002405D8">
          <w:rPr>
            <w:rStyle w:val="Hyperlink"/>
            <w:rFonts w:cs="Times New Roman"/>
            <w:lang w:val="sr-Cyrl-CS"/>
          </w:rPr>
          <w:t>.</w:t>
        </w:r>
        <w:r w:rsidRPr="002405D8">
          <w:rPr>
            <w:rStyle w:val="Hyperlink"/>
            <w:rFonts w:cs="Times New Roman"/>
          </w:rPr>
          <w:t>php</w:t>
        </w:r>
        <w:r w:rsidRPr="002405D8">
          <w:rPr>
            <w:rStyle w:val="Hyperlink"/>
            <w:rFonts w:cs="Times New Roman"/>
            <w:lang w:val="sr-Cyrl-CS"/>
          </w:rPr>
          <w:t>?</w:t>
        </w:r>
        <w:r w:rsidRPr="002405D8">
          <w:rPr>
            <w:rStyle w:val="Hyperlink"/>
            <w:rFonts w:cs="Times New Roman"/>
          </w:rPr>
          <w:t>yyyy</w:t>
        </w:r>
        <w:r w:rsidRPr="002405D8">
          <w:rPr>
            <w:rStyle w:val="Hyperlink"/>
            <w:rFonts w:cs="Times New Roman"/>
            <w:lang w:val="sr-Cyrl-CS"/>
          </w:rPr>
          <w:t>=2016&amp;</w:t>
        </w:r>
        <w:r w:rsidRPr="002405D8">
          <w:rPr>
            <w:rStyle w:val="Hyperlink"/>
            <w:rFonts w:cs="Times New Roman"/>
          </w:rPr>
          <w:t>mm</w:t>
        </w:r>
        <w:r w:rsidRPr="002405D8">
          <w:rPr>
            <w:rStyle w:val="Hyperlink"/>
            <w:rFonts w:cs="Times New Roman"/>
            <w:lang w:val="sr-Cyrl-CS"/>
          </w:rPr>
          <w:t>=02&amp;</w:t>
        </w:r>
        <w:r w:rsidRPr="002405D8">
          <w:rPr>
            <w:rStyle w:val="Hyperlink"/>
            <w:rFonts w:cs="Times New Roman"/>
          </w:rPr>
          <w:t>dd</w:t>
        </w:r>
        <w:r w:rsidRPr="002405D8">
          <w:rPr>
            <w:rStyle w:val="Hyperlink"/>
            <w:rFonts w:cs="Times New Roman"/>
            <w:lang w:val="sr-Cyrl-CS"/>
          </w:rPr>
          <w:t>=28&amp;</w:t>
        </w:r>
        <w:r w:rsidRPr="002405D8">
          <w:rPr>
            <w:rStyle w:val="Hyperlink"/>
            <w:rFonts w:cs="Times New Roman"/>
          </w:rPr>
          <w:t>nav</w:t>
        </w:r>
        <w:r w:rsidRPr="002405D8">
          <w:rPr>
            <w:rStyle w:val="Hyperlink"/>
            <w:rFonts w:cs="Times New Roman"/>
            <w:lang w:val="sr-Cyrl-CS"/>
          </w:rPr>
          <w:t>_</w:t>
        </w:r>
        <w:r w:rsidRPr="002405D8">
          <w:rPr>
            <w:rStyle w:val="Hyperlink"/>
            <w:rFonts w:cs="Times New Roman"/>
          </w:rPr>
          <w:t>category</w:t>
        </w:r>
        <w:r w:rsidRPr="002405D8">
          <w:rPr>
            <w:rStyle w:val="Hyperlink"/>
            <w:rFonts w:cs="Times New Roman"/>
            <w:lang w:val="sr-Cyrl-CS"/>
          </w:rPr>
          <w:t>=11&amp;</w:t>
        </w:r>
        <w:r w:rsidRPr="002405D8">
          <w:rPr>
            <w:rStyle w:val="Hyperlink"/>
            <w:rFonts w:cs="Times New Roman"/>
          </w:rPr>
          <w:t>nav</w:t>
        </w:r>
        <w:r w:rsidRPr="002405D8">
          <w:rPr>
            <w:rStyle w:val="Hyperlink"/>
            <w:rFonts w:cs="Times New Roman"/>
            <w:lang w:val="sr-Cyrl-CS"/>
          </w:rPr>
          <w:t>_</w:t>
        </w:r>
        <w:r w:rsidRPr="002405D8">
          <w:rPr>
            <w:rStyle w:val="Hyperlink"/>
            <w:rFonts w:cs="Times New Roman"/>
          </w:rPr>
          <w:t>id</w:t>
        </w:r>
        <w:r w:rsidRPr="002405D8">
          <w:rPr>
            <w:rStyle w:val="Hyperlink"/>
            <w:rFonts w:cs="Times New Roman"/>
            <w:lang w:val="sr-Cyrl-CS"/>
          </w:rPr>
          <w:t>=1101717</w:t>
        </w:r>
      </w:hyperlink>
      <w:r w:rsidRPr="00FD6B73">
        <w:rPr>
          <w:rFonts w:cs="Times New Roman"/>
          <w:lang w:val="sr-Cyrl-CS"/>
        </w:rPr>
        <w:t>, приступљено 8. априла 2020. године</w:t>
      </w:r>
    </w:p>
  </w:footnote>
  <w:footnote w:id="59">
    <w:p w14:paraId="4B5CFB29" w14:textId="6F582632" w:rsidR="000B0462" w:rsidRPr="00FD6B73" w:rsidRDefault="000B0462" w:rsidP="00A20FDD">
      <w:pPr>
        <w:pStyle w:val="FootnoteText"/>
        <w:rPr>
          <w:rFonts w:cs="Times New Roman"/>
          <w:lang w:val="sr-Cyrl-CS"/>
        </w:rPr>
      </w:pPr>
      <w:r w:rsidRPr="009636E5">
        <w:rPr>
          <w:rStyle w:val="FootnoteReference"/>
          <w:rFonts w:cs="Times New Roman"/>
        </w:rPr>
        <w:footnoteRef/>
      </w:r>
      <w:r w:rsidRPr="00FD6B73">
        <w:rPr>
          <w:rFonts w:cs="Times New Roman"/>
          <w:lang w:val="sr-Cyrl-CS"/>
        </w:rPr>
        <w:t xml:space="preserve">Као одговор на јавни позив за достављање коментара на радни текст </w:t>
      </w:r>
      <w:r w:rsidR="008919B1">
        <w:rPr>
          <w:rFonts w:cs="Times New Roman"/>
          <w:lang w:val="sr-Cyrl-CS"/>
        </w:rPr>
        <w:t>ове с</w:t>
      </w:r>
      <w:r w:rsidRPr="00FD6B73">
        <w:rPr>
          <w:rFonts w:cs="Times New Roman"/>
          <w:lang w:val="sr-Cyrl-CS"/>
        </w:rPr>
        <w:t>тратегије, своје пр</w:t>
      </w:r>
      <w:r w:rsidR="008919B1">
        <w:rPr>
          <w:rFonts w:cs="Times New Roman"/>
          <w:lang w:val="sr-Cyrl-CS"/>
        </w:rPr>
        <w:t>едлоге су упутили: Мисија ОЕБС</w:t>
      </w:r>
      <w:r w:rsidRPr="00FD6B73">
        <w:rPr>
          <w:rFonts w:cs="Times New Roman"/>
          <w:lang w:val="sr-Cyrl-CS"/>
        </w:rPr>
        <w:t xml:space="preserve"> у Републици Србији, УНДП и Фонд за хуманитарно право. </w:t>
      </w:r>
    </w:p>
  </w:footnote>
  <w:footnote w:id="60">
    <w:p w14:paraId="58A8FBC1" w14:textId="6EE18F2E" w:rsidR="000B0462" w:rsidRPr="00FD6B73" w:rsidRDefault="000B0462">
      <w:pPr>
        <w:pStyle w:val="FootnoteText"/>
        <w:rPr>
          <w:lang w:val="ru-RU"/>
        </w:rPr>
      </w:pPr>
      <w:r>
        <w:rPr>
          <w:rStyle w:val="FootnoteReference"/>
        </w:rPr>
        <w:footnoteRef/>
      </w:r>
      <w:r w:rsidRPr="00FD6B73">
        <w:rPr>
          <w:lang w:val="ru-RU"/>
        </w:rPr>
        <w:t>Коме</w:t>
      </w:r>
      <w:r>
        <w:rPr>
          <w:lang w:val="sr-Cyrl-RS"/>
        </w:rPr>
        <w:t>н</w:t>
      </w:r>
      <w:r w:rsidRPr="00FD6B73">
        <w:rPr>
          <w:lang w:val="ru-RU"/>
        </w:rPr>
        <w:t>таре су доставили Хелсиншки одбор за људска права у Србији, Фонд за хуманитарно право и Комитет правника за људска права</w:t>
      </w:r>
      <w:r>
        <w:rPr>
          <w:lang w:val="sr-Cyrl-RS"/>
        </w:rPr>
        <w:t>-</w:t>
      </w:r>
      <w:r w:rsidRPr="00FD6B73">
        <w:rPr>
          <w:bCs/>
        </w:rPr>
        <w:t>YUKOM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70B2E"/>
    <w:multiLevelType w:val="hybridMultilevel"/>
    <w:tmpl w:val="6DE41BA6"/>
    <w:lvl w:ilvl="0" w:tplc="0409000F">
      <w:start w:val="1"/>
      <w:numFmt w:val="decimal"/>
      <w:lvlText w:val="%1."/>
      <w:lvlJc w:val="left"/>
      <w:pPr>
        <w:ind w:left="720" w:hanging="360"/>
      </w:pPr>
      <w:rPr>
        <w:rFonts w:ascii="Times New Roman" w:hAnsi="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1165C"/>
    <w:multiLevelType w:val="hybridMultilevel"/>
    <w:tmpl w:val="E856EFAA"/>
    <w:lvl w:ilvl="0" w:tplc="0F0EE38A">
      <w:start w:val="2"/>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2A683F"/>
    <w:multiLevelType w:val="hybridMultilevel"/>
    <w:tmpl w:val="12EA21DC"/>
    <w:lvl w:ilvl="0" w:tplc="D4464354">
      <w:start w:val="13"/>
      <w:numFmt w:val="bullet"/>
      <w:lvlText w:val="-"/>
      <w:lvlJc w:val="left"/>
      <w:pPr>
        <w:ind w:left="720" w:hanging="360"/>
      </w:pPr>
      <w:rPr>
        <w:rFonts w:ascii="Calibri" w:eastAsia="Times New Roman" w:hAnsi="Calibri" w:cs="Calibri"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B62DF"/>
    <w:multiLevelType w:val="hybridMultilevel"/>
    <w:tmpl w:val="C5DC3762"/>
    <w:lvl w:ilvl="0" w:tplc="231EADE6">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D5AFE"/>
    <w:multiLevelType w:val="hybridMultilevel"/>
    <w:tmpl w:val="0B064E20"/>
    <w:lvl w:ilvl="0" w:tplc="231EADE6">
      <w:start w:val="2"/>
      <w:numFmt w:val="bullet"/>
      <w:lvlText w:val="-"/>
      <w:lvlJc w:val="left"/>
      <w:pPr>
        <w:ind w:left="720" w:hanging="360"/>
      </w:pPr>
      <w:rPr>
        <w:rFonts w:ascii="Calibri" w:eastAsia="Times New Roman" w:hAnsi="Calibri"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13A2104"/>
    <w:multiLevelType w:val="multilevel"/>
    <w:tmpl w:val="415605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E628D1"/>
    <w:multiLevelType w:val="hybridMultilevel"/>
    <w:tmpl w:val="5A68AB5A"/>
    <w:lvl w:ilvl="0" w:tplc="9CE806AE">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0B46B0"/>
    <w:multiLevelType w:val="multilevel"/>
    <w:tmpl w:val="188611F2"/>
    <w:lvl w:ilvl="0">
      <w:start w:val="1"/>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986E6B"/>
    <w:multiLevelType w:val="hybridMultilevel"/>
    <w:tmpl w:val="A82E603A"/>
    <w:lvl w:ilvl="0" w:tplc="6E2ABCD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7056C0"/>
    <w:multiLevelType w:val="multilevel"/>
    <w:tmpl w:val="415605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2F00E3A"/>
    <w:multiLevelType w:val="hybridMultilevel"/>
    <w:tmpl w:val="109EC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81E64"/>
    <w:multiLevelType w:val="multilevel"/>
    <w:tmpl w:val="415605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BB905DF"/>
    <w:multiLevelType w:val="hybridMultilevel"/>
    <w:tmpl w:val="FD80B3FA"/>
    <w:lvl w:ilvl="0" w:tplc="0F0EE38A">
      <w:start w:val="2"/>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25234E"/>
    <w:multiLevelType w:val="hybridMultilevel"/>
    <w:tmpl w:val="2E4EAC9A"/>
    <w:lvl w:ilvl="0" w:tplc="0F0EE38A">
      <w:start w:val="2"/>
      <w:numFmt w:val="bullet"/>
      <w:lvlText w:val="-"/>
      <w:lvlJc w:val="left"/>
      <w:pPr>
        <w:ind w:left="1425" w:hanging="360"/>
      </w:pPr>
      <w:rPr>
        <w:rFonts w:ascii="Cambria" w:eastAsiaTheme="minorHAnsi" w:hAnsi="Cambria" w:cs="Aria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4" w15:restartNumberingAfterBreak="0">
    <w:nsid w:val="3241226D"/>
    <w:multiLevelType w:val="hybridMultilevel"/>
    <w:tmpl w:val="C2AE11DE"/>
    <w:lvl w:ilvl="0" w:tplc="231EADE6">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602C5"/>
    <w:multiLevelType w:val="multilevel"/>
    <w:tmpl w:val="CA5CB40E"/>
    <w:lvl w:ilvl="0">
      <w:start w:val="1"/>
      <w:numFmt w:val="decimal"/>
      <w:lvlText w:val="%1."/>
      <w:lvlJc w:val="left"/>
      <w:pPr>
        <w:ind w:left="720" w:hanging="360"/>
      </w:pPr>
      <w:rPr>
        <w:rFonts w:hint="default"/>
        <w:i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F75095"/>
    <w:multiLevelType w:val="hybridMultilevel"/>
    <w:tmpl w:val="EA3CA63C"/>
    <w:lvl w:ilvl="0" w:tplc="CD6637A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153924"/>
    <w:multiLevelType w:val="multilevel"/>
    <w:tmpl w:val="C212D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903B1B"/>
    <w:multiLevelType w:val="hybridMultilevel"/>
    <w:tmpl w:val="FFEE0BF0"/>
    <w:lvl w:ilvl="0" w:tplc="8A5097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D90BDC"/>
    <w:multiLevelType w:val="hybridMultilevel"/>
    <w:tmpl w:val="41304E90"/>
    <w:lvl w:ilvl="0" w:tplc="6E2ABCD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8E44D2"/>
    <w:multiLevelType w:val="hybridMultilevel"/>
    <w:tmpl w:val="B74EC48A"/>
    <w:lvl w:ilvl="0" w:tplc="7BF00538">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425150C"/>
    <w:multiLevelType w:val="hybridMultilevel"/>
    <w:tmpl w:val="207A5EEC"/>
    <w:lvl w:ilvl="0" w:tplc="6E2ABCD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33452B"/>
    <w:multiLevelType w:val="hybridMultilevel"/>
    <w:tmpl w:val="6DE41BA6"/>
    <w:lvl w:ilvl="0" w:tplc="0409000F">
      <w:start w:val="1"/>
      <w:numFmt w:val="decimal"/>
      <w:lvlText w:val="%1."/>
      <w:lvlJc w:val="left"/>
      <w:pPr>
        <w:ind w:left="720" w:hanging="360"/>
      </w:pPr>
      <w:rPr>
        <w:rFonts w:ascii="Times New Roman" w:hAnsi="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2C01A4"/>
    <w:multiLevelType w:val="multilevel"/>
    <w:tmpl w:val="188611F2"/>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175461"/>
    <w:multiLevelType w:val="multilevel"/>
    <w:tmpl w:val="02B08942"/>
    <w:lvl w:ilvl="0">
      <w:start w:val="1"/>
      <w:numFmt w:val="decimal"/>
      <w:lvlText w:val="%1."/>
      <w:lvlJc w:val="left"/>
      <w:pPr>
        <w:ind w:left="720" w:hanging="360"/>
      </w:pPr>
      <w:rPr>
        <w:rFonts w:hint="default"/>
        <w:b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53A36D3E"/>
    <w:multiLevelType w:val="multilevel"/>
    <w:tmpl w:val="415605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DD7DE3"/>
    <w:multiLevelType w:val="multilevel"/>
    <w:tmpl w:val="121C2510"/>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60C43C5"/>
    <w:multiLevelType w:val="hybridMultilevel"/>
    <w:tmpl w:val="332ED2B2"/>
    <w:lvl w:ilvl="0" w:tplc="2F8443FA">
      <w:start w:val="20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E843FA"/>
    <w:multiLevelType w:val="multilevel"/>
    <w:tmpl w:val="2DA45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DB001E"/>
    <w:multiLevelType w:val="hybridMultilevel"/>
    <w:tmpl w:val="78E696DC"/>
    <w:lvl w:ilvl="0" w:tplc="231EADE6">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3160C0"/>
    <w:multiLevelType w:val="multilevel"/>
    <w:tmpl w:val="415605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B0C1ADA"/>
    <w:multiLevelType w:val="multilevel"/>
    <w:tmpl w:val="AFC2174E"/>
    <w:lvl w:ilvl="0">
      <w:start w:val="1"/>
      <w:numFmt w:val="decimal"/>
      <w:lvlText w:val="%1."/>
      <w:lvlJc w:val="left"/>
      <w:pPr>
        <w:ind w:left="720" w:hanging="360"/>
      </w:pPr>
      <w:rPr>
        <w:rFonts w:hint="default"/>
        <w:b w:val="0"/>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C156583"/>
    <w:multiLevelType w:val="multilevel"/>
    <w:tmpl w:val="2A6CC06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8B42F8"/>
    <w:multiLevelType w:val="hybridMultilevel"/>
    <w:tmpl w:val="CB4EF2AA"/>
    <w:lvl w:ilvl="0" w:tplc="D4464354">
      <w:start w:val="13"/>
      <w:numFmt w:val="bullet"/>
      <w:lvlText w:val="-"/>
      <w:lvlJc w:val="left"/>
      <w:pPr>
        <w:ind w:left="720" w:hanging="360"/>
      </w:pPr>
      <w:rPr>
        <w:rFonts w:ascii="Calibri" w:eastAsia="Times New Roman" w:hAnsi="Calibri" w:cs="Calibri"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FF089C"/>
    <w:multiLevelType w:val="hybridMultilevel"/>
    <w:tmpl w:val="1934438E"/>
    <w:lvl w:ilvl="0" w:tplc="231EADE6">
      <w:start w:val="2"/>
      <w:numFmt w:val="bullet"/>
      <w:lvlText w:val="-"/>
      <w:lvlJc w:val="left"/>
      <w:pPr>
        <w:ind w:left="1710" w:hanging="360"/>
      </w:pPr>
      <w:rPr>
        <w:rFonts w:ascii="Calibri" w:eastAsia="Times New Roman" w:hAnsi="Calibri"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5" w15:restartNumberingAfterBreak="0">
    <w:nsid w:val="61194A13"/>
    <w:multiLevelType w:val="hybridMultilevel"/>
    <w:tmpl w:val="C3FE9BE8"/>
    <w:lvl w:ilvl="0" w:tplc="BA84D2BA">
      <w:start w:val="2018"/>
      <w:numFmt w:val="bullet"/>
      <w:lvlText w:val="-"/>
      <w:lvlJc w:val="left"/>
      <w:pPr>
        <w:tabs>
          <w:tab w:val="num" w:pos="720"/>
        </w:tabs>
        <w:ind w:left="720" w:hanging="360"/>
      </w:pPr>
      <w:rPr>
        <w:rFonts w:ascii="Times New Roman" w:eastAsia="Times New Roman" w:hAnsi="Times New Roman" w:cs="Times New Roman"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772DCA"/>
    <w:multiLevelType w:val="hybridMultilevel"/>
    <w:tmpl w:val="263C3BBE"/>
    <w:lvl w:ilvl="0" w:tplc="0F0EE38A">
      <w:start w:val="2"/>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B72489"/>
    <w:multiLevelType w:val="hybridMultilevel"/>
    <w:tmpl w:val="C4104986"/>
    <w:lvl w:ilvl="0" w:tplc="0F0EE38A">
      <w:start w:val="2"/>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E56519"/>
    <w:multiLevelType w:val="hybridMultilevel"/>
    <w:tmpl w:val="6220F336"/>
    <w:lvl w:ilvl="0" w:tplc="04090017">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9" w15:restartNumberingAfterBreak="0">
    <w:nsid w:val="654C5ADF"/>
    <w:multiLevelType w:val="hybridMultilevel"/>
    <w:tmpl w:val="A2AE88C6"/>
    <w:lvl w:ilvl="0" w:tplc="BA4225D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564D15"/>
    <w:multiLevelType w:val="hybridMultilevel"/>
    <w:tmpl w:val="40A0A2EA"/>
    <w:lvl w:ilvl="0" w:tplc="0F0EE38A">
      <w:start w:val="2"/>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E2991"/>
    <w:multiLevelType w:val="hybridMultilevel"/>
    <w:tmpl w:val="4886ACEE"/>
    <w:lvl w:ilvl="0" w:tplc="B778E50E">
      <w:start w:val="1"/>
      <w:numFmt w:val="decimal"/>
      <w:lvlText w:val="%1."/>
      <w:lvlJc w:val="left"/>
      <w:pPr>
        <w:ind w:left="360" w:hanging="360"/>
      </w:pPr>
      <w:rPr>
        <w:b w:val="0"/>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2" w15:restartNumberingAfterBreak="0">
    <w:nsid w:val="73816004"/>
    <w:multiLevelType w:val="hybridMultilevel"/>
    <w:tmpl w:val="775EF4C4"/>
    <w:lvl w:ilvl="0" w:tplc="231EADE6">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435B6C"/>
    <w:multiLevelType w:val="hybridMultilevel"/>
    <w:tmpl w:val="77A08F54"/>
    <w:lvl w:ilvl="0" w:tplc="0409000F">
      <w:start w:val="1"/>
      <w:numFmt w:val="decimal"/>
      <w:lvlText w:val="%1."/>
      <w:lvlJc w:val="left"/>
      <w:pPr>
        <w:tabs>
          <w:tab w:val="num" w:pos="720"/>
        </w:tabs>
        <w:ind w:left="720" w:hanging="360"/>
      </w:pPr>
      <w:rPr>
        <w:rFonts w:hint="default"/>
      </w:rPr>
    </w:lvl>
    <w:lvl w:ilvl="1" w:tplc="5AC48F7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D865385"/>
    <w:multiLevelType w:val="hybridMultilevel"/>
    <w:tmpl w:val="A31293F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7D9C1A9B"/>
    <w:multiLevelType w:val="hybridMultilevel"/>
    <w:tmpl w:val="B62E79B6"/>
    <w:lvl w:ilvl="0" w:tplc="0F0EE38A">
      <w:start w:val="2"/>
      <w:numFmt w:val="bullet"/>
      <w:lvlText w:val="-"/>
      <w:lvlJc w:val="left"/>
      <w:pPr>
        <w:ind w:left="720" w:hanging="360"/>
      </w:pPr>
      <w:rPr>
        <w:rFonts w:ascii="Cambria" w:eastAsiaTheme="minorHAns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9"/>
  </w:num>
  <w:num w:numId="3">
    <w:abstractNumId w:val="25"/>
  </w:num>
  <w:num w:numId="4">
    <w:abstractNumId w:val="30"/>
  </w:num>
  <w:num w:numId="5">
    <w:abstractNumId w:val="11"/>
  </w:num>
  <w:num w:numId="6">
    <w:abstractNumId w:val="5"/>
  </w:num>
  <w:num w:numId="7">
    <w:abstractNumId w:val="23"/>
  </w:num>
  <w:num w:numId="8">
    <w:abstractNumId w:val="15"/>
  </w:num>
  <w:num w:numId="9">
    <w:abstractNumId w:val="7"/>
  </w:num>
  <w:num w:numId="10">
    <w:abstractNumId w:val="43"/>
  </w:num>
  <w:num w:numId="11">
    <w:abstractNumId w:val="6"/>
  </w:num>
  <w:num w:numId="12">
    <w:abstractNumId w:val="32"/>
  </w:num>
  <w:num w:numId="13">
    <w:abstractNumId w:val="20"/>
  </w:num>
  <w:num w:numId="14">
    <w:abstractNumId w:val="44"/>
  </w:num>
  <w:num w:numId="15">
    <w:abstractNumId w:val="38"/>
  </w:num>
  <w:num w:numId="16">
    <w:abstractNumId w:val="26"/>
  </w:num>
  <w:num w:numId="17">
    <w:abstractNumId w:val="0"/>
  </w:num>
  <w:num w:numId="18">
    <w:abstractNumId w:val="22"/>
  </w:num>
  <w:num w:numId="19">
    <w:abstractNumId w:val="29"/>
  </w:num>
  <w:num w:numId="20">
    <w:abstractNumId w:val="16"/>
  </w:num>
  <w:num w:numId="21">
    <w:abstractNumId w:val="24"/>
  </w:num>
  <w:num w:numId="22">
    <w:abstractNumId w:val="4"/>
  </w:num>
  <w:num w:numId="23">
    <w:abstractNumId w:val="3"/>
  </w:num>
  <w:num w:numId="24">
    <w:abstractNumId w:val="33"/>
  </w:num>
  <w:num w:numId="25">
    <w:abstractNumId w:val="21"/>
  </w:num>
  <w:num w:numId="26">
    <w:abstractNumId w:val="19"/>
  </w:num>
  <w:num w:numId="27">
    <w:abstractNumId w:val="8"/>
  </w:num>
  <w:num w:numId="28">
    <w:abstractNumId w:val="2"/>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45"/>
  </w:num>
  <w:num w:numId="32">
    <w:abstractNumId w:val="10"/>
  </w:num>
  <w:num w:numId="33">
    <w:abstractNumId w:val="34"/>
  </w:num>
  <w:num w:numId="34">
    <w:abstractNumId w:val="18"/>
  </w:num>
  <w:num w:numId="35">
    <w:abstractNumId w:val="1"/>
  </w:num>
  <w:num w:numId="36">
    <w:abstractNumId w:val="12"/>
  </w:num>
  <w:num w:numId="37">
    <w:abstractNumId w:val="40"/>
  </w:num>
  <w:num w:numId="38">
    <w:abstractNumId w:val="13"/>
  </w:num>
  <w:num w:numId="39">
    <w:abstractNumId w:val="28"/>
  </w:num>
  <w:num w:numId="40">
    <w:abstractNumId w:val="36"/>
  </w:num>
  <w:num w:numId="41">
    <w:abstractNumId w:val="17"/>
  </w:num>
  <w:num w:numId="42">
    <w:abstractNumId w:val="39"/>
  </w:num>
  <w:num w:numId="43">
    <w:abstractNumId w:val="14"/>
  </w:num>
  <w:num w:numId="44">
    <w:abstractNumId w:val="35"/>
  </w:num>
  <w:num w:numId="45">
    <w:abstractNumId w:val="27"/>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228"/>
    <w:rsid w:val="000004F3"/>
    <w:rsid w:val="000116AC"/>
    <w:rsid w:val="0001331F"/>
    <w:rsid w:val="000139E1"/>
    <w:rsid w:val="000151DD"/>
    <w:rsid w:val="00020646"/>
    <w:rsid w:val="0002682C"/>
    <w:rsid w:val="00027601"/>
    <w:rsid w:val="00031C58"/>
    <w:rsid w:val="00031EEE"/>
    <w:rsid w:val="0003220D"/>
    <w:rsid w:val="000358EE"/>
    <w:rsid w:val="00036278"/>
    <w:rsid w:val="000368A1"/>
    <w:rsid w:val="00036EF3"/>
    <w:rsid w:val="0003722F"/>
    <w:rsid w:val="000531A1"/>
    <w:rsid w:val="000534D0"/>
    <w:rsid w:val="00056E21"/>
    <w:rsid w:val="00061D4F"/>
    <w:rsid w:val="00067F1E"/>
    <w:rsid w:val="00070847"/>
    <w:rsid w:val="0007385E"/>
    <w:rsid w:val="00080411"/>
    <w:rsid w:val="00080CDE"/>
    <w:rsid w:val="00086443"/>
    <w:rsid w:val="00090EE5"/>
    <w:rsid w:val="00096A8E"/>
    <w:rsid w:val="000A1B8A"/>
    <w:rsid w:val="000A3CC7"/>
    <w:rsid w:val="000A6C6A"/>
    <w:rsid w:val="000A6E28"/>
    <w:rsid w:val="000B0462"/>
    <w:rsid w:val="000B20FA"/>
    <w:rsid w:val="000B73E4"/>
    <w:rsid w:val="000D2B26"/>
    <w:rsid w:val="000D3BE7"/>
    <w:rsid w:val="000E0A18"/>
    <w:rsid w:val="000E0D0C"/>
    <w:rsid w:val="000E3093"/>
    <w:rsid w:val="000E56A6"/>
    <w:rsid w:val="000E6041"/>
    <w:rsid w:val="000E7371"/>
    <w:rsid w:val="000F280A"/>
    <w:rsid w:val="000F60C0"/>
    <w:rsid w:val="00100BB3"/>
    <w:rsid w:val="00105757"/>
    <w:rsid w:val="00110AC8"/>
    <w:rsid w:val="00111E21"/>
    <w:rsid w:val="00111E95"/>
    <w:rsid w:val="00113E6A"/>
    <w:rsid w:val="001142E1"/>
    <w:rsid w:val="001149AA"/>
    <w:rsid w:val="00114DF7"/>
    <w:rsid w:val="00115C36"/>
    <w:rsid w:val="001251F6"/>
    <w:rsid w:val="00126693"/>
    <w:rsid w:val="00127D8D"/>
    <w:rsid w:val="001408F1"/>
    <w:rsid w:val="00143AA1"/>
    <w:rsid w:val="001449A6"/>
    <w:rsid w:val="00145E32"/>
    <w:rsid w:val="0015053B"/>
    <w:rsid w:val="00161430"/>
    <w:rsid w:val="00166498"/>
    <w:rsid w:val="00172097"/>
    <w:rsid w:val="001721BA"/>
    <w:rsid w:val="001738B4"/>
    <w:rsid w:val="00175ACD"/>
    <w:rsid w:val="001772ED"/>
    <w:rsid w:val="00177CFF"/>
    <w:rsid w:val="00180A8A"/>
    <w:rsid w:val="00181387"/>
    <w:rsid w:val="0019193D"/>
    <w:rsid w:val="0019304B"/>
    <w:rsid w:val="00196C06"/>
    <w:rsid w:val="001A05A2"/>
    <w:rsid w:val="001A0A94"/>
    <w:rsid w:val="001A0D59"/>
    <w:rsid w:val="001A1964"/>
    <w:rsid w:val="001A1DC7"/>
    <w:rsid w:val="001A74D1"/>
    <w:rsid w:val="001C10B8"/>
    <w:rsid w:val="001C220F"/>
    <w:rsid w:val="001D00C5"/>
    <w:rsid w:val="001D168A"/>
    <w:rsid w:val="001D54A7"/>
    <w:rsid w:val="001D5523"/>
    <w:rsid w:val="001E171A"/>
    <w:rsid w:val="001E48D5"/>
    <w:rsid w:val="001E5F3C"/>
    <w:rsid w:val="001F0A9C"/>
    <w:rsid w:val="001F188C"/>
    <w:rsid w:val="001F1F5E"/>
    <w:rsid w:val="001F354F"/>
    <w:rsid w:val="001F3D8B"/>
    <w:rsid w:val="001F4974"/>
    <w:rsid w:val="001F6398"/>
    <w:rsid w:val="00205780"/>
    <w:rsid w:val="002074D6"/>
    <w:rsid w:val="00210FCA"/>
    <w:rsid w:val="00213656"/>
    <w:rsid w:val="00225F77"/>
    <w:rsid w:val="0022751D"/>
    <w:rsid w:val="00232480"/>
    <w:rsid w:val="00243371"/>
    <w:rsid w:val="0026607C"/>
    <w:rsid w:val="00266F26"/>
    <w:rsid w:val="00272C5F"/>
    <w:rsid w:val="00280AFB"/>
    <w:rsid w:val="002B0188"/>
    <w:rsid w:val="002B06D2"/>
    <w:rsid w:val="002B4EA5"/>
    <w:rsid w:val="002B56D8"/>
    <w:rsid w:val="002B5935"/>
    <w:rsid w:val="002C3B7F"/>
    <w:rsid w:val="002C73A2"/>
    <w:rsid w:val="002D22F7"/>
    <w:rsid w:val="002D5A5E"/>
    <w:rsid w:val="002E16F5"/>
    <w:rsid w:val="002E1968"/>
    <w:rsid w:val="002E240F"/>
    <w:rsid w:val="002E34C5"/>
    <w:rsid w:val="002E5AC3"/>
    <w:rsid w:val="002F0532"/>
    <w:rsid w:val="002F1812"/>
    <w:rsid w:val="002F7B39"/>
    <w:rsid w:val="003013AE"/>
    <w:rsid w:val="003048CA"/>
    <w:rsid w:val="00305857"/>
    <w:rsid w:val="00307900"/>
    <w:rsid w:val="00311091"/>
    <w:rsid w:val="00311F2D"/>
    <w:rsid w:val="003149D3"/>
    <w:rsid w:val="00323823"/>
    <w:rsid w:val="00324F85"/>
    <w:rsid w:val="00343FB5"/>
    <w:rsid w:val="00351108"/>
    <w:rsid w:val="003513E8"/>
    <w:rsid w:val="00351F22"/>
    <w:rsid w:val="00353D49"/>
    <w:rsid w:val="0035788B"/>
    <w:rsid w:val="003607DB"/>
    <w:rsid w:val="0037652A"/>
    <w:rsid w:val="00376B27"/>
    <w:rsid w:val="00380555"/>
    <w:rsid w:val="00384399"/>
    <w:rsid w:val="0038574F"/>
    <w:rsid w:val="00390C7D"/>
    <w:rsid w:val="003915A2"/>
    <w:rsid w:val="00393680"/>
    <w:rsid w:val="003A0840"/>
    <w:rsid w:val="003A5FEA"/>
    <w:rsid w:val="003A623D"/>
    <w:rsid w:val="003B2CB7"/>
    <w:rsid w:val="003B320F"/>
    <w:rsid w:val="003B4232"/>
    <w:rsid w:val="003C1EAF"/>
    <w:rsid w:val="003D0541"/>
    <w:rsid w:val="003D2D1B"/>
    <w:rsid w:val="003D3227"/>
    <w:rsid w:val="003D7E09"/>
    <w:rsid w:val="003E27FF"/>
    <w:rsid w:val="003E3D99"/>
    <w:rsid w:val="003E7351"/>
    <w:rsid w:val="003E7D17"/>
    <w:rsid w:val="003F6C1A"/>
    <w:rsid w:val="004042BD"/>
    <w:rsid w:val="0041004A"/>
    <w:rsid w:val="00410FB8"/>
    <w:rsid w:val="00416B73"/>
    <w:rsid w:val="004210D5"/>
    <w:rsid w:val="00425B79"/>
    <w:rsid w:val="00430F0D"/>
    <w:rsid w:val="00436795"/>
    <w:rsid w:val="00440EA2"/>
    <w:rsid w:val="00441083"/>
    <w:rsid w:val="00441FB2"/>
    <w:rsid w:val="00442146"/>
    <w:rsid w:val="00442C8B"/>
    <w:rsid w:val="00451F90"/>
    <w:rsid w:val="00453DB4"/>
    <w:rsid w:val="00462EBE"/>
    <w:rsid w:val="00464831"/>
    <w:rsid w:val="00466E04"/>
    <w:rsid w:val="00473A86"/>
    <w:rsid w:val="00473AB4"/>
    <w:rsid w:val="00481278"/>
    <w:rsid w:val="00484974"/>
    <w:rsid w:val="00490FCE"/>
    <w:rsid w:val="00492EFD"/>
    <w:rsid w:val="0049322D"/>
    <w:rsid w:val="004975FE"/>
    <w:rsid w:val="004A4C83"/>
    <w:rsid w:val="004A544C"/>
    <w:rsid w:val="004B0CEC"/>
    <w:rsid w:val="004B5475"/>
    <w:rsid w:val="004C16F1"/>
    <w:rsid w:val="004C18A5"/>
    <w:rsid w:val="004D2661"/>
    <w:rsid w:val="004D2747"/>
    <w:rsid w:val="004E1163"/>
    <w:rsid w:val="004F313C"/>
    <w:rsid w:val="004F6925"/>
    <w:rsid w:val="00503226"/>
    <w:rsid w:val="00504BCE"/>
    <w:rsid w:val="00504F6B"/>
    <w:rsid w:val="00510228"/>
    <w:rsid w:val="00514A7F"/>
    <w:rsid w:val="00532B2C"/>
    <w:rsid w:val="00533BDD"/>
    <w:rsid w:val="0053707F"/>
    <w:rsid w:val="005401FE"/>
    <w:rsid w:val="005538E0"/>
    <w:rsid w:val="00560317"/>
    <w:rsid w:val="00560403"/>
    <w:rsid w:val="005635B7"/>
    <w:rsid w:val="00577A29"/>
    <w:rsid w:val="0058206D"/>
    <w:rsid w:val="00582A11"/>
    <w:rsid w:val="00584205"/>
    <w:rsid w:val="00584EBB"/>
    <w:rsid w:val="00585EA1"/>
    <w:rsid w:val="00586C7D"/>
    <w:rsid w:val="005920FD"/>
    <w:rsid w:val="0059602E"/>
    <w:rsid w:val="005A1510"/>
    <w:rsid w:val="005A4F61"/>
    <w:rsid w:val="005A5B9D"/>
    <w:rsid w:val="005A747D"/>
    <w:rsid w:val="005B3795"/>
    <w:rsid w:val="005B4CC0"/>
    <w:rsid w:val="005B627B"/>
    <w:rsid w:val="005B7D07"/>
    <w:rsid w:val="005C5811"/>
    <w:rsid w:val="005C65BD"/>
    <w:rsid w:val="005D1FF5"/>
    <w:rsid w:val="005D5A0E"/>
    <w:rsid w:val="005E0BCD"/>
    <w:rsid w:val="005E1384"/>
    <w:rsid w:val="005E2CE0"/>
    <w:rsid w:val="005E36C9"/>
    <w:rsid w:val="00604486"/>
    <w:rsid w:val="006074A4"/>
    <w:rsid w:val="00610F38"/>
    <w:rsid w:val="0061364E"/>
    <w:rsid w:val="0061506D"/>
    <w:rsid w:val="006163B9"/>
    <w:rsid w:val="00620442"/>
    <w:rsid w:val="00623487"/>
    <w:rsid w:val="006239DA"/>
    <w:rsid w:val="00627105"/>
    <w:rsid w:val="00627E81"/>
    <w:rsid w:val="00630326"/>
    <w:rsid w:val="00637400"/>
    <w:rsid w:val="006504FE"/>
    <w:rsid w:val="00651987"/>
    <w:rsid w:val="006521F8"/>
    <w:rsid w:val="00652981"/>
    <w:rsid w:val="0065696B"/>
    <w:rsid w:val="00665179"/>
    <w:rsid w:val="0066645D"/>
    <w:rsid w:val="0067010B"/>
    <w:rsid w:val="00676748"/>
    <w:rsid w:val="006844E0"/>
    <w:rsid w:val="006855D8"/>
    <w:rsid w:val="00686F9D"/>
    <w:rsid w:val="0069033A"/>
    <w:rsid w:val="00694A90"/>
    <w:rsid w:val="00696AB1"/>
    <w:rsid w:val="006B16EB"/>
    <w:rsid w:val="006B2A83"/>
    <w:rsid w:val="006C068C"/>
    <w:rsid w:val="006C0827"/>
    <w:rsid w:val="006C2FDE"/>
    <w:rsid w:val="006C421C"/>
    <w:rsid w:val="006D1BE3"/>
    <w:rsid w:val="006D4BED"/>
    <w:rsid w:val="006D5475"/>
    <w:rsid w:val="006D5DC9"/>
    <w:rsid w:val="006F1E56"/>
    <w:rsid w:val="006F29FB"/>
    <w:rsid w:val="006F3041"/>
    <w:rsid w:val="006F4F57"/>
    <w:rsid w:val="0070172A"/>
    <w:rsid w:val="007029BB"/>
    <w:rsid w:val="00722465"/>
    <w:rsid w:val="0073364B"/>
    <w:rsid w:val="00734728"/>
    <w:rsid w:val="0073773C"/>
    <w:rsid w:val="00741390"/>
    <w:rsid w:val="00743819"/>
    <w:rsid w:val="0074641B"/>
    <w:rsid w:val="007505C9"/>
    <w:rsid w:val="00765EE1"/>
    <w:rsid w:val="00770017"/>
    <w:rsid w:val="007746ED"/>
    <w:rsid w:val="0078080F"/>
    <w:rsid w:val="00780AA2"/>
    <w:rsid w:val="007844A0"/>
    <w:rsid w:val="007945A0"/>
    <w:rsid w:val="007A1B56"/>
    <w:rsid w:val="007A71C8"/>
    <w:rsid w:val="007A72FD"/>
    <w:rsid w:val="007B016F"/>
    <w:rsid w:val="007B215E"/>
    <w:rsid w:val="007C5BC6"/>
    <w:rsid w:val="007C67D6"/>
    <w:rsid w:val="007E6E3F"/>
    <w:rsid w:val="007E7B27"/>
    <w:rsid w:val="007F45B5"/>
    <w:rsid w:val="007F5A2D"/>
    <w:rsid w:val="007F714A"/>
    <w:rsid w:val="00805F18"/>
    <w:rsid w:val="00806F6E"/>
    <w:rsid w:val="00811340"/>
    <w:rsid w:val="00815A43"/>
    <w:rsid w:val="00816BD8"/>
    <w:rsid w:val="0082245F"/>
    <w:rsid w:val="0082345B"/>
    <w:rsid w:val="008252B1"/>
    <w:rsid w:val="0083631B"/>
    <w:rsid w:val="00841FBF"/>
    <w:rsid w:val="00842558"/>
    <w:rsid w:val="00852729"/>
    <w:rsid w:val="00852C20"/>
    <w:rsid w:val="00865907"/>
    <w:rsid w:val="008659B7"/>
    <w:rsid w:val="0086789B"/>
    <w:rsid w:val="008848F7"/>
    <w:rsid w:val="008919B1"/>
    <w:rsid w:val="00895065"/>
    <w:rsid w:val="008A2F31"/>
    <w:rsid w:val="008A446A"/>
    <w:rsid w:val="008A705E"/>
    <w:rsid w:val="008B4606"/>
    <w:rsid w:val="008C2E9A"/>
    <w:rsid w:val="008D3BBD"/>
    <w:rsid w:val="008E0E66"/>
    <w:rsid w:val="008F0324"/>
    <w:rsid w:val="008F0444"/>
    <w:rsid w:val="008F3371"/>
    <w:rsid w:val="00901790"/>
    <w:rsid w:val="00901FF2"/>
    <w:rsid w:val="00904120"/>
    <w:rsid w:val="00906CBA"/>
    <w:rsid w:val="009102EB"/>
    <w:rsid w:val="009207A7"/>
    <w:rsid w:val="0092146C"/>
    <w:rsid w:val="0093175E"/>
    <w:rsid w:val="0094152A"/>
    <w:rsid w:val="00952E71"/>
    <w:rsid w:val="00961939"/>
    <w:rsid w:val="009636E5"/>
    <w:rsid w:val="009721CA"/>
    <w:rsid w:val="00973C56"/>
    <w:rsid w:val="00976F4B"/>
    <w:rsid w:val="0098092C"/>
    <w:rsid w:val="00990A03"/>
    <w:rsid w:val="00996099"/>
    <w:rsid w:val="009A1BA4"/>
    <w:rsid w:val="009B67AC"/>
    <w:rsid w:val="009B6CB1"/>
    <w:rsid w:val="009B7693"/>
    <w:rsid w:val="009C67C2"/>
    <w:rsid w:val="009D36AC"/>
    <w:rsid w:val="009E4647"/>
    <w:rsid w:val="009F2ED5"/>
    <w:rsid w:val="009F4A9A"/>
    <w:rsid w:val="00A00FB1"/>
    <w:rsid w:val="00A13F22"/>
    <w:rsid w:val="00A13F6E"/>
    <w:rsid w:val="00A20FDD"/>
    <w:rsid w:val="00A22BD2"/>
    <w:rsid w:val="00A257F1"/>
    <w:rsid w:val="00A36210"/>
    <w:rsid w:val="00A42006"/>
    <w:rsid w:val="00A468B5"/>
    <w:rsid w:val="00A52825"/>
    <w:rsid w:val="00A558C9"/>
    <w:rsid w:val="00A57CBB"/>
    <w:rsid w:val="00A60ED3"/>
    <w:rsid w:val="00A60F9E"/>
    <w:rsid w:val="00A678F5"/>
    <w:rsid w:val="00A729A6"/>
    <w:rsid w:val="00A75929"/>
    <w:rsid w:val="00A76BAD"/>
    <w:rsid w:val="00A81157"/>
    <w:rsid w:val="00A82F4F"/>
    <w:rsid w:val="00A86882"/>
    <w:rsid w:val="00A9036F"/>
    <w:rsid w:val="00AA2EEB"/>
    <w:rsid w:val="00AB4348"/>
    <w:rsid w:val="00AB724D"/>
    <w:rsid w:val="00AC5591"/>
    <w:rsid w:val="00AC7C10"/>
    <w:rsid w:val="00AD2C10"/>
    <w:rsid w:val="00AD36AA"/>
    <w:rsid w:val="00AD4730"/>
    <w:rsid w:val="00AD5954"/>
    <w:rsid w:val="00AE0372"/>
    <w:rsid w:val="00AE0ED0"/>
    <w:rsid w:val="00AE4E68"/>
    <w:rsid w:val="00AF0EC8"/>
    <w:rsid w:val="00AF1189"/>
    <w:rsid w:val="00AF56D3"/>
    <w:rsid w:val="00B009B5"/>
    <w:rsid w:val="00B06F52"/>
    <w:rsid w:val="00B16793"/>
    <w:rsid w:val="00B249F1"/>
    <w:rsid w:val="00B25BAF"/>
    <w:rsid w:val="00B31432"/>
    <w:rsid w:val="00B31DCD"/>
    <w:rsid w:val="00B361B8"/>
    <w:rsid w:val="00B364DD"/>
    <w:rsid w:val="00B404DC"/>
    <w:rsid w:val="00B40775"/>
    <w:rsid w:val="00B54522"/>
    <w:rsid w:val="00B556D2"/>
    <w:rsid w:val="00B67D5A"/>
    <w:rsid w:val="00B71DF4"/>
    <w:rsid w:val="00B776C7"/>
    <w:rsid w:val="00B80F64"/>
    <w:rsid w:val="00B816EA"/>
    <w:rsid w:val="00B843AA"/>
    <w:rsid w:val="00B848ED"/>
    <w:rsid w:val="00B875F6"/>
    <w:rsid w:val="00B911E5"/>
    <w:rsid w:val="00B9553D"/>
    <w:rsid w:val="00B9743B"/>
    <w:rsid w:val="00BB359F"/>
    <w:rsid w:val="00BB3829"/>
    <w:rsid w:val="00BB3D2A"/>
    <w:rsid w:val="00BB4B21"/>
    <w:rsid w:val="00BB5DD0"/>
    <w:rsid w:val="00BC3121"/>
    <w:rsid w:val="00BD1AE5"/>
    <w:rsid w:val="00BD31BD"/>
    <w:rsid w:val="00BD350B"/>
    <w:rsid w:val="00BD632F"/>
    <w:rsid w:val="00BD7E48"/>
    <w:rsid w:val="00BF1F8B"/>
    <w:rsid w:val="00BF2EE2"/>
    <w:rsid w:val="00C00482"/>
    <w:rsid w:val="00C011F4"/>
    <w:rsid w:val="00C12466"/>
    <w:rsid w:val="00C127D9"/>
    <w:rsid w:val="00C15136"/>
    <w:rsid w:val="00C1701A"/>
    <w:rsid w:val="00C17072"/>
    <w:rsid w:val="00C1716B"/>
    <w:rsid w:val="00C21311"/>
    <w:rsid w:val="00C22F38"/>
    <w:rsid w:val="00C37B90"/>
    <w:rsid w:val="00C42CCA"/>
    <w:rsid w:val="00C43A03"/>
    <w:rsid w:val="00C471F7"/>
    <w:rsid w:val="00C52A89"/>
    <w:rsid w:val="00C62B00"/>
    <w:rsid w:val="00C666FD"/>
    <w:rsid w:val="00C71AB4"/>
    <w:rsid w:val="00C76D32"/>
    <w:rsid w:val="00C80A3C"/>
    <w:rsid w:val="00C976F8"/>
    <w:rsid w:val="00CA6124"/>
    <w:rsid w:val="00CA7539"/>
    <w:rsid w:val="00CB399A"/>
    <w:rsid w:val="00CB45FE"/>
    <w:rsid w:val="00CC3080"/>
    <w:rsid w:val="00CC4AE6"/>
    <w:rsid w:val="00CD0C19"/>
    <w:rsid w:val="00CD1697"/>
    <w:rsid w:val="00CD2F5B"/>
    <w:rsid w:val="00CD46D4"/>
    <w:rsid w:val="00CE5AF8"/>
    <w:rsid w:val="00CE6A11"/>
    <w:rsid w:val="00CF205B"/>
    <w:rsid w:val="00CF22DF"/>
    <w:rsid w:val="00CF5076"/>
    <w:rsid w:val="00D01344"/>
    <w:rsid w:val="00D03C68"/>
    <w:rsid w:val="00D17A2A"/>
    <w:rsid w:val="00D254B2"/>
    <w:rsid w:val="00D31F38"/>
    <w:rsid w:val="00D368EA"/>
    <w:rsid w:val="00D44095"/>
    <w:rsid w:val="00D560FA"/>
    <w:rsid w:val="00D62C07"/>
    <w:rsid w:val="00D643FD"/>
    <w:rsid w:val="00D650F1"/>
    <w:rsid w:val="00D664CB"/>
    <w:rsid w:val="00D75DB2"/>
    <w:rsid w:val="00D81A6A"/>
    <w:rsid w:val="00DA2586"/>
    <w:rsid w:val="00DA60D0"/>
    <w:rsid w:val="00DC0641"/>
    <w:rsid w:val="00DD3259"/>
    <w:rsid w:val="00DD426F"/>
    <w:rsid w:val="00DD4438"/>
    <w:rsid w:val="00DE13CD"/>
    <w:rsid w:val="00DE1E84"/>
    <w:rsid w:val="00DE30F8"/>
    <w:rsid w:val="00DE35C7"/>
    <w:rsid w:val="00DE36C5"/>
    <w:rsid w:val="00DF64C4"/>
    <w:rsid w:val="00E04CD4"/>
    <w:rsid w:val="00E1293E"/>
    <w:rsid w:val="00E20AF7"/>
    <w:rsid w:val="00E2134C"/>
    <w:rsid w:val="00E22F0B"/>
    <w:rsid w:val="00E233C4"/>
    <w:rsid w:val="00E30DC4"/>
    <w:rsid w:val="00E32577"/>
    <w:rsid w:val="00E365DB"/>
    <w:rsid w:val="00E425DA"/>
    <w:rsid w:val="00E535CC"/>
    <w:rsid w:val="00E603E9"/>
    <w:rsid w:val="00E60485"/>
    <w:rsid w:val="00E63C92"/>
    <w:rsid w:val="00E75027"/>
    <w:rsid w:val="00E77CC8"/>
    <w:rsid w:val="00E81681"/>
    <w:rsid w:val="00E83EAB"/>
    <w:rsid w:val="00E848FE"/>
    <w:rsid w:val="00E87718"/>
    <w:rsid w:val="00E93F1F"/>
    <w:rsid w:val="00E943E8"/>
    <w:rsid w:val="00EA33F9"/>
    <w:rsid w:val="00EA5727"/>
    <w:rsid w:val="00EB11DD"/>
    <w:rsid w:val="00EC58CB"/>
    <w:rsid w:val="00EC6FC3"/>
    <w:rsid w:val="00EC7AF7"/>
    <w:rsid w:val="00ED1D42"/>
    <w:rsid w:val="00ED78F7"/>
    <w:rsid w:val="00EE380F"/>
    <w:rsid w:val="00EE54BB"/>
    <w:rsid w:val="00EF6262"/>
    <w:rsid w:val="00F03F11"/>
    <w:rsid w:val="00F0690F"/>
    <w:rsid w:val="00F10AC7"/>
    <w:rsid w:val="00F1127E"/>
    <w:rsid w:val="00F126CC"/>
    <w:rsid w:val="00F134F3"/>
    <w:rsid w:val="00F15D6B"/>
    <w:rsid w:val="00F21A71"/>
    <w:rsid w:val="00F243F0"/>
    <w:rsid w:val="00F31510"/>
    <w:rsid w:val="00F340A7"/>
    <w:rsid w:val="00F40A41"/>
    <w:rsid w:val="00F42285"/>
    <w:rsid w:val="00F422D6"/>
    <w:rsid w:val="00F42ABF"/>
    <w:rsid w:val="00F44147"/>
    <w:rsid w:val="00F46068"/>
    <w:rsid w:val="00F53BC0"/>
    <w:rsid w:val="00F56B21"/>
    <w:rsid w:val="00F56C6A"/>
    <w:rsid w:val="00F64085"/>
    <w:rsid w:val="00F64C9A"/>
    <w:rsid w:val="00F65C26"/>
    <w:rsid w:val="00F7315B"/>
    <w:rsid w:val="00F734B5"/>
    <w:rsid w:val="00F7481C"/>
    <w:rsid w:val="00F76E63"/>
    <w:rsid w:val="00F947C9"/>
    <w:rsid w:val="00FA02C9"/>
    <w:rsid w:val="00FA5C44"/>
    <w:rsid w:val="00FB0F56"/>
    <w:rsid w:val="00FB203F"/>
    <w:rsid w:val="00FC542D"/>
    <w:rsid w:val="00FD1485"/>
    <w:rsid w:val="00FD4EE1"/>
    <w:rsid w:val="00FD5CB8"/>
    <w:rsid w:val="00FD6B73"/>
    <w:rsid w:val="00FE2A02"/>
    <w:rsid w:val="00FE3943"/>
    <w:rsid w:val="00FE48F2"/>
    <w:rsid w:val="00FE4E2E"/>
    <w:rsid w:val="00FF6002"/>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49839"/>
  <w15:docId w15:val="{1CA850C5-CAA0-485B-A691-E72ADEF36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F3C"/>
    <w:pPr>
      <w:jc w:val="both"/>
    </w:pPr>
    <w:rPr>
      <w:rFonts w:ascii="Times New Roman" w:hAnsi="Times New Roman"/>
      <w:sz w:val="24"/>
    </w:rPr>
  </w:style>
  <w:style w:type="paragraph" w:styleId="Heading1">
    <w:name w:val="heading 1"/>
    <w:aliases w:val="Naslov odeljka"/>
    <w:basedOn w:val="Normal"/>
    <w:next w:val="Normal"/>
    <w:link w:val="Heading1Char"/>
    <w:uiPriority w:val="9"/>
    <w:qFormat/>
    <w:rsid w:val="00AF1189"/>
    <w:pPr>
      <w:keepNext/>
      <w:keepLines/>
      <w:spacing w:before="240" w:after="0"/>
      <w:outlineLvl w:val="0"/>
    </w:pPr>
    <w:rPr>
      <w:rFonts w:eastAsiaTheme="majorEastAsia" w:cstheme="majorBidi"/>
      <w:caps/>
      <w:sz w:val="32"/>
      <w:szCs w:val="32"/>
    </w:rPr>
  </w:style>
  <w:style w:type="paragraph" w:styleId="Heading2">
    <w:name w:val="heading 2"/>
    <w:basedOn w:val="Normal"/>
    <w:next w:val="Normal"/>
    <w:link w:val="Heading2Char"/>
    <w:uiPriority w:val="9"/>
    <w:unhideWhenUsed/>
    <w:qFormat/>
    <w:rsid w:val="00AF1189"/>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AF1189"/>
    <w:pPr>
      <w:keepNext/>
      <w:keepLines/>
      <w:spacing w:before="40" w:after="0"/>
      <w:outlineLvl w:val="2"/>
    </w:pPr>
    <w:rPr>
      <w:rFonts w:eastAsiaTheme="majorEastAsia" w:cstheme="majorBidi"/>
      <w:i/>
      <w:szCs w:val="24"/>
    </w:rPr>
  </w:style>
  <w:style w:type="paragraph" w:styleId="Heading4">
    <w:name w:val="heading 4"/>
    <w:basedOn w:val="Normal"/>
    <w:next w:val="Normal"/>
    <w:link w:val="Heading4Char"/>
    <w:uiPriority w:val="9"/>
    <w:unhideWhenUsed/>
    <w:qFormat/>
    <w:rsid w:val="00AF1189"/>
    <w:pPr>
      <w:keepNext/>
      <w:keepLines/>
      <w:spacing w:before="40" w:after="0"/>
      <w:outlineLvl w:val="3"/>
    </w:pPr>
    <w:rPr>
      <w:rFonts w:eastAsiaTheme="majorEastAsia" w:cstheme="majorBid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odeljka Char"/>
    <w:basedOn w:val="DefaultParagraphFont"/>
    <w:link w:val="Heading1"/>
    <w:uiPriority w:val="9"/>
    <w:rsid w:val="00AF1189"/>
    <w:rPr>
      <w:rFonts w:ascii="Times New Roman" w:eastAsiaTheme="majorEastAsia" w:hAnsi="Times New Roman" w:cstheme="majorBidi"/>
      <w:caps/>
      <w:sz w:val="32"/>
      <w:szCs w:val="32"/>
    </w:rPr>
  </w:style>
  <w:style w:type="paragraph" w:styleId="Title">
    <w:name w:val="Title"/>
    <w:aliases w:val="Glava"/>
    <w:basedOn w:val="Normal"/>
    <w:next w:val="Normal"/>
    <w:link w:val="TitleChar"/>
    <w:uiPriority w:val="10"/>
    <w:qFormat/>
    <w:rsid w:val="00734728"/>
    <w:pPr>
      <w:spacing w:after="0"/>
      <w:contextualSpacing/>
    </w:pPr>
    <w:rPr>
      <w:rFonts w:eastAsiaTheme="majorEastAsia" w:cstheme="majorBidi"/>
      <w:caps/>
      <w:spacing w:val="-10"/>
      <w:kern w:val="28"/>
      <w:sz w:val="32"/>
      <w:szCs w:val="56"/>
    </w:rPr>
  </w:style>
  <w:style w:type="character" w:customStyle="1" w:styleId="TitleChar">
    <w:name w:val="Title Char"/>
    <w:aliases w:val="Glava Char"/>
    <w:basedOn w:val="DefaultParagraphFont"/>
    <w:link w:val="Title"/>
    <w:uiPriority w:val="10"/>
    <w:rsid w:val="00734728"/>
    <w:rPr>
      <w:rFonts w:ascii="Cambria" w:eastAsiaTheme="majorEastAsia" w:hAnsi="Cambria" w:cstheme="majorBidi"/>
      <w:caps/>
      <w:spacing w:val="-10"/>
      <w:kern w:val="28"/>
      <w:sz w:val="32"/>
      <w:szCs w:val="56"/>
    </w:rPr>
  </w:style>
  <w:style w:type="paragraph" w:styleId="Subtitle">
    <w:name w:val="Subtitle"/>
    <w:basedOn w:val="Normal"/>
    <w:next w:val="Normal"/>
    <w:link w:val="SubtitleChar"/>
    <w:uiPriority w:val="11"/>
    <w:qFormat/>
    <w:rsid w:val="00734728"/>
    <w:pPr>
      <w:numPr>
        <w:ilvl w:val="1"/>
      </w:numPr>
    </w:pPr>
    <w:rPr>
      <w:rFonts w:eastAsiaTheme="minorEastAsia"/>
      <w:b/>
      <w:spacing w:val="15"/>
    </w:rPr>
  </w:style>
  <w:style w:type="character" w:customStyle="1" w:styleId="SubtitleChar">
    <w:name w:val="Subtitle Char"/>
    <w:basedOn w:val="DefaultParagraphFont"/>
    <w:link w:val="Subtitle"/>
    <w:uiPriority w:val="11"/>
    <w:rsid w:val="00734728"/>
    <w:rPr>
      <w:rFonts w:ascii="Cambria" w:eastAsiaTheme="minorEastAsia" w:hAnsi="Cambria"/>
      <w:b/>
      <w:spacing w:val="15"/>
      <w:sz w:val="24"/>
    </w:rPr>
  </w:style>
  <w:style w:type="paragraph" w:styleId="ListParagraph">
    <w:name w:val="List Paragraph"/>
    <w:basedOn w:val="Normal"/>
    <w:link w:val="ListParagraphChar"/>
    <w:uiPriority w:val="34"/>
    <w:qFormat/>
    <w:rsid w:val="00510228"/>
    <w:pPr>
      <w:spacing w:line="240" w:lineRule="auto"/>
      <w:ind w:left="720"/>
      <w:contextualSpacing/>
    </w:pPr>
  </w:style>
  <w:style w:type="character" w:customStyle="1" w:styleId="ListParagraphChar">
    <w:name w:val="List Paragraph Char"/>
    <w:link w:val="ListParagraph"/>
    <w:uiPriority w:val="34"/>
    <w:locked/>
    <w:rsid w:val="00510228"/>
    <w:rPr>
      <w:rFonts w:ascii="Cambria" w:hAnsi="Cambria"/>
      <w:sz w:val="24"/>
    </w:rPr>
  </w:style>
  <w:style w:type="character" w:styleId="Emphasis">
    <w:name w:val="Emphasis"/>
    <w:basedOn w:val="DefaultParagraphFont"/>
    <w:uiPriority w:val="20"/>
    <w:qFormat/>
    <w:rsid w:val="00510228"/>
    <w:rPr>
      <w:i/>
      <w:iCs/>
    </w:rPr>
  </w:style>
  <w:style w:type="table" w:styleId="TableGrid">
    <w:name w:val="Table Grid"/>
    <w:basedOn w:val="TableNormal"/>
    <w:uiPriority w:val="59"/>
    <w:rsid w:val="0061506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5D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D6B"/>
    <w:rPr>
      <w:rFonts w:ascii="Cambria" w:hAnsi="Cambria"/>
      <w:sz w:val="24"/>
    </w:rPr>
  </w:style>
  <w:style w:type="paragraph" w:styleId="Footer">
    <w:name w:val="footer"/>
    <w:aliases w:val="Char Char Char Char,Char Char 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qFormat/>
    <w:rsid w:val="00F15D6B"/>
    <w:pPr>
      <w:tabs>
        <w:tab w:val="center" w:pos="4680"/>
        <w:tab w:val="right" w:pos="9360"/>
      </w:tabs>
      <w:spacing w:after="0" w:line="240" w:lineRule="auto"/>
    </w:pPr>
  </w:style>
  <w:style w:type="character" w:customStyle="1" w:styleId="FooterChar">
    <w:name w:val="Footer Char"/>
    <w:aliases w:val="Char Char Char Char Char,Char Char Char Char1,Char Char Char1,Char Char Char Char Char Char Char Char,Char Char Char Char Char Char Char Char Char Char,Char Char Char Char Char Char Char Char Char Char Char Char Char Char,Char1 Char"/>
    <w:basedOn w:val="DefaultParagraphFont"/>
    <w:link w:val="Footer"/>
    <w:uiPriority w:val="99"/>
    <w:rsid w:val="00F15D6B"/>
    <w:rPr>
      <w:rFonts w:ascii="Cambria" w:hAnsi="Cambria"/>
      <w:sz w:val="24"/>
    </w:rPr>
  </w:style>
  <w:style w:type="paragraph" w:styleId="BalloonText">
    <w:name w:val="Balloon Text"/>
    <w:basedOn w:val="Normal"/>
    <w:link w:val="BalloonTextChar"/>
    <w:uiPriority w:val="99"/>
    <w:semiHidden/>
    <w:unhideWhenUsed/>
    <w:rsid w:val="003936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3680"/>
    <w:rPr>
      <w:rFonts w:ascii="Segoe UI" w:hAnsi="Segoe UI" w:cs="Segoe UI"/>
      <w:sz w:val="18"/>
      <w:szCs w:val="18"/>
    </w:rPr>
  </w:style>
  <w:style w:type="character" w:customStyle="1" w:styleId="Heading2Char">
    <w:name w:val="Heading 2 Char"/>
    <w:basedOn w:val="DefaultParagraphFont"/>
    <w:link w:val="Heading2"/>
    <w:uiPriority w:val="9"/>
    <w:rsid w:val="00AF1189"/>
    <w:rPr>
      <w:rFonts w:ascii="Times New Roman" w:eastAsiaTheme="majorEastAsia" w:hAnsi="Times New Roman" w:cstheme="majorBidi"/>
      <w:b/>
      <w:sz w:val="24"/>
      <w:szCs w:val="26"/>
    </w:rPr>
  </w:style>
  <w:style w:type="paragraph" w:styleId="FootnoteText">
    <w:name w:val="footnote text"/>
    <w:aliases w:val="Footnote Text Char Char Char,Footnote Text Char Char,Footnote Text Char1,single space Char,ft Char,single space,ft,Footnote Text Char Char Char Char Char Char Char Char,Footnote Text Char Char Char Char1 Char,fn,Fußnote,ft Char Char Char,f"/>
    <w:basedOn w:val="Normal"/>
    <w:link w:val="FootnoteTextChar"/>
    <w:unhideWhenUsed/>
    <w:qFormat/>
    <w:rsid w:val="00F46068"/>
    <w:pPr>
      <w:spacing w:after="0" w:line="240" w:lineRule="auto"/>
    </w:pPr>
    <w:rPr>
      <w:sz w:val="20"/>
      <w:szCs w:val="20"/>
    </w:rPr>
  </w:style>
  <w:style w:type="character" w:customStyle="1" w:styleId="FootnoteTextChar">
    <w:name w:val="Footnote Text Char"/>
    <w:aliases w:val="Footnote Text Char Char Char Char,Footnote Text Char Char Char1,Footnote Text Char1 Char,single space Char Char,ft Char Char,single space Char1,ft Char1,Footnote Text Char Char Char Char Char Char Char Char Char,fn Char,Fußnote Char"/>
    <w:basedOn w:val="DefaultParagraphFont"/>
    <w:link w:val="FootnoteText"/>
    <w:rsid w:val="00F46068"/>
    <w:rPr>
      <w:rFonts w:ascii="Cambria" w:hAnsi="Cambria"/>
      <w:sz w:val="20"/>
      <w:szCs w:val="20"/>
    </w:rPr>
  </w:style>
  <w:style w:type="character" w:styleId="FootnoteReference">
    <w:name w:val="footnote reference"/>
    <w:aliases w:val="ftref,4_G,BVI fnr,ftref Char1 Char,4_G Char Char,BVI fnr Char1 Char,ftref Char Char Char Char,BVI fnr Char Char Char Char,BVI fnr Car Car Char Char Char Char,BVI fnr Car Char Char Char Char,callout,ftref Char,4_G Char1,BVI fnr Char,F"/>
    <w:basedOn w:val="DefaultParagraphFont"/>
    <w:link w:val="ftrefChar1"/>
    <w:uiPriority w:val="99"/>
    <w:unhideWhenUsed/>
    <w:qFormat/>
    <w:rsid w:val="00F46068"/>
    <w:rPr>
      <w:vertAlign w:val="superscript"/>
    </w:rPr>
  </w:style>
  <w:style w:type="paragraph" w:customStyle="1" w:styleId="v2-clan-1">
    <w:name w:val="v2-clan-1"/>
    <w:basedOn w:val="Normal"/>
    <w:rsid w:val="00F46068"/>
    <w:pPr>
      <w:spacing w:before="100" w:beforeAutospacing="1" w:after="100" w:afterAutospacing="1" w:line="240" w:lineRule="auto"/>
      <w:jc w:val="left"/>
    </w:pPr>
    <w:rPr>
      <w:rFonts w:eastAsia="Times New Roman" w:cs="Times New Roman"/>
      <w:szCs w:val="24"/>
    </w:rPr>
  </w:style>
  <w:style w:type="paragraph" w:customStyle="1" w:styleId="v2-clan-left-1">
    <w:name w:val="v2-clan-left-1"/>
    <w:basedOn w:val="Normal"/>
    <w:rsid w:val="00F46068"/>
    <w:pPr>
      <w:spacing w:before="100" w:beforeAutospacing="1" w:after="100" w:afterAutospacing="1" w:line="240" w:lineRule="auto"/>
      <w:jc w:val="left"/>
    </w:pPr>
    <w:rPr>
      <w:rFonts w:eastAsia="Times New Roman" w:cs="Times New Roman"/>
      <w:szCs w:val="24"/>
    </w:rPr>
  </w:style>
  <w:style w:type="paragraph" w:customStyle="1" w:styleId="ftrefChar1">
    <w:name w:val="ftref Char1"/>
    <w:aliases w:val="4_G Char,BVI fnr Char1,ftref Char Char Char,BVI fnr Char Char Char,BVI fnr Car Car Char Char Char,BVI fnr Car Char Char Char,BVI fnr Car Car Car Car Char Char Char,ftref Char Char"/>
    <w:basedOn w:val="Normal"/>
    <w:link w:val="FootnoteReference"/>
    <w:uiPriority w:val="99"/>
    <w:rsid w:val="00F46068"/>
    <w:pPr>
      <w:spacing w:line="240" w:lineRule="exact"/>
      <w:jc w:val="left"/>
    </w:pPr>
    <w:rPr>
      <w:rFonts w:asciiTheme="minorHAnsi" w:hAnsiTheme="minorHAnsi"/>
      <w:sz w:val="22"/>
      <w:vertAlign w:val="superscript"/>
    </w:rPr>
  </w:style>
  <w:style w:type="paragraph" w:styleId="TOCHeading">
    <w:name w:val="TOC Heading"/>
    <w:basedOn w:val="Heading1"/>
    <w:next w:val="Normal"/>
    <w:uiPriority w:val="39"/>
    <w:unhideWhenUsed/>
    <w:qFormat/>
    <w:rsid w:val="00473AB4"/>
    <w:pPr>
      <w:jc w:val="left"/>
      <w:outlineLvl w:val="9"/>
    </w:pPr>
    <w:rPr>
      <w:rFonts w:asciiTheme="majorHAnsi" w:hAnsiTheme="majorHAnsi"/>
      <w:caps w:val="0"/>
      <w:color w:val="2E74B5" w:themeColor="accent1" w:themeShade="BF"/>
    </w:rPr>
  </w:style>
  <w:style w:type="paragraph" w:styleId="TOC1">
    <w:name w:val="toc 1"/>
    <w:basedOn w:val="Normal"/>
    <w:next w:val="Normal"/>
    <w:autoRedefine/>
    <w:uiPriority w:val="39"/>
    <w:unhideWhenUsed/>
    <w:rsid w:val="00473AB4"/>
    <w:pPr>
      <w:spacing w:after="100"/>
    </w:pPr>
  </w:style>
  <w:style w:type="paragraph" w:styleId="TOC2">
    <w:name w:val="toc 2"/>
    <w:basedOn w:val="Normal"/>
    <w:next w:val="Normal"/>
    <w:autoRedefine/>
    <w:uiPriority w:val="39"/>
    <w:unhideWhenUsed/>
    <w:rsid w:val="00473AB4"/>
    <w:pPr>
      <w:spacing w:after="100"/>
      <w:ind w:left="240"/>
    </w:pPr>
  </w:style>
  <w:style w:type="character" w:styleId="Hyperlink">
    <w:name w:val="Hyperlink"/>
    <w:basedOn w:val="DefaultParagraphFont"/>
    <w:uiPriority w:val="99"/>
    <w:unhideWhenUsed/>
    <w:rsid w:val="00473AB4"/>
    <w:rPr>
      <w:color w:val="0563C1" w:themeColor="hyperlink"/>
      <w:u w:val="single"/>
    </w:rPr>
  </w:style>
  <w:style w:type="character" w:customStyle="1" w:styleId="Heading3Char">
    <w:name w:val="Heading 3 Char"/>
    <w:basedOn w:val="DefaultParagraphFont"/>
    <w:link w:val="Heading3"/>
    <w:uiPriority w:val="9"/>
    <w:rsid w:val="00AF1189"/>
    <w:rPr>
      <w:rFonts w:ascii="Times New Roman" w:eastAsiaTheme="majorEastAsia" w:hAnsi="Times New Roman" w:cstheme="majorBidi"/>
      <w:i/>
      <w:sz w:val="24"/>
      <w:szCs w:val="24"/>
    </w:rPr>
  </w:style>
  <w:style w:type="paragraph" w:styleId="NormalWeb">
    <w:name w:val="Normal (Web)"/>
    <w:basedOn w:val="Normal"/>
    <w:uiPriority w:val="99"/>
    <w:rsid w:val="00AF1189"/>
    <w:pPr>
      <w:spacing w:before="100" w:beforeAutospacing="1" w:after="100" w:afterAutospacing="1" w:line="240" w:lineRule="auto"/>
    </w:pPr>
    <w:rPr>
      <w:rFonts w:eastAsia="Times New Roman" w:cs="Times New Roman"/>
      <w:szCs w:val="24"/>
    </w:rPr>
  </w:style>
  <w:style w:type="paragraph" w:styleId="BodyText">
    <w:name w:val="Body Text"/>
    <w:basedOn w:val="Normal"/>
    <w:link w:val="BodyTextChar"/>
    <w:qFormat/>
    <w:rsid w:val="00AF1189"/>
    <w:pPr>
      <w:widowControl w:val="0"/>
      <w:spacing w:before="120" w:after="0" w:line="240" w:lineRule="auto"/>
      <w:ind w:left="1246"/>
    </w:pPr>
    <w:rPr>
      <w:rFonts w:eastAsia="Times New Roman" w:cs="Times New Roman"/>
      <w:sz w:val="20"/>
      <w:szCs w:val="20"/>
    </w:rPr>
  </w:style>
  <w:style w:type="character" w:customStyle="1" w:styleId="BodyTextChar">
    <w:name w:val="Body Text Char"/>
    <w:basedOn w:val="DefaultParagraphFont"/>
    <w:link w:val="BodyText"/>
    <w:rsid w:val="00AF1189"/>
    <w:rPr>
      <w:rFonts w:ascii="Cambria" w:eastAsia="Times New Roman" w:hAnsi="Cambria" w:cs="Times New Roman"/>
      <w:sz w:val="20"/>
      <w:szCs w:val="20"/>
    </w:rPr>
  </w:style>
  <w:style w:type="paragraph" w:customStyle="1" w:styleId="Default">
    <w:name w:val="Default"/>
    <w:rsid w:val="00AF1189"/>
    <w:pPr>
      <w:autoSpaceDE w:val="0"/>
      <w:autoSpaceDN w:val="0"/>
      <w:adjustRightInd w:val="0"/>
      <w:spacing w:after="0" w:line="240" w:lineRule="auto"/>
    </w:pPr>
    <w:rPr>
      <w:rFonts w:ascii="Arial" w:hAnsi="Arial" w:cs="Arial"/>
      <w:color w:val="000000"/>
      <w:sz w:val="24"/>
      <w:szCs w:val="24"/>
    </w:rPr>
  </w:style>
  <w:style w:type="paragraph" w:customStyle="1" w:styleId="WW-Default">
    <w:name w:val="WW-Default"/>
    <w:rsid w:val="00AF1189"/>
    <w:pPr>
      <w:suppressAutoHyphens/>
      <w:autoSpaceDE w:val="0"/>
      <w:autoSpaceDN w:val="0"/>
      <w:textAlignment w:val="baseline"/>
    </w:pPr>
    <w:rPr>
      <w:rFonts w:ascii="Times New Roman" w:eastAsia="Times New Roman" w:hAnsi="Times New Roman" w:cs="Times New Roman"/>
      <w:color w:val="000000"/>
      <w:kern w:val="3"/>
      <w:sz w:val="24"/>
      <w:szCs w:val="24"/>
      <w:lang w:eastAsia="zh-CN"/>
    </w:rPr>
  </w:style>
  <w:style w:type="paragraph" w:customStyle="1" w:styleId="Textbody">
    <w:name w:val="Text body"/>
    <w:basedOn w:val="Normal"/>
    <w:rsid w:val="00AF1189"/>
    <w:pPr>
      <w:suppressAutoHyphens/>
      <w:autoSpaceDN w:val="0"/>
      <w:spacing w:after="120" w:line="249" w:lineRule="auto"/>
      <w:jc w:val="left"/>
      <w:textAlignment w:val="baseline"/>
    </w:pPr>
    <w:rPr>
      <w:rFonts w:ascii="Calibri" w:eastAsia="SimSun, 宋体" w:hAnsi="Calibri" w:cs="Tahoma"/>
      <w:kern w:val="3"/>
      <w:sz w:val="22"/>
      <w:lang w:eastAsia="zh-CN"/>
    </w:rPr>
  </w:style>
  <w:style w:type="character" w:styleId="CommentReference">
    <w:name w:val="annotation reference"/>
    <w:basedOn w:val="DefaultParagraphFont"/>
    <w:uiPriority w:val="99"/>
    <w:semiHidden/>
    <w:unhideWhenUsed/>
    <w:rsid w:val="00AF1189"/>
    <w:rPr>
      <w:sz w:val="16"/>
      <w:szCs w:val="16"/>
    </w:rPr>
  </w:style>
  <w:style w:type="paragraph" w:styleId="CommentText">
    <w:name w:val="annotation text"/>
    <w:basedOn w:val="Normal"/>
    <w:link w:val="CommentTextChar"/>
    <w:uiPriority w:val="99"/>
    <w:semiHidden/>
    <w:unhideWhenUsed/>
    <w:rsid w:val="00AF1189"/>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AF1189"/>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AF1189"/>
    <w:rPr>
      <w:b/>
      <w:bCs/>
    </w:rPr>
  </w:style>
  <w:style w:type="character" w:customStyle="1" w:styleId="CommentSubjectChar">
    <w:name w:val="Comment Subject Char"/>
    <w:basedOn w:val="CommentTextChar"/>
    <w:link w:val="CommentSubject"/>
    <w:uiPriority w:val="99"/>
    <w:semiHidden/>
    <w:rsid w:val="00AF1189"/>
    <w:rPr>
      <w:rFonts w:ascii="Cambria" w:eastAsia="Times New Roman" w:hAnsi="Cambria" w:cs="Times New Roman"/>
      <w:b/>
      <w:bCs/>
      <w:sz w:val="20"/>
      <w:szCs w:val="20"/>
    </w:rPr>
  </w:style>
  <w:style w:type="paragraph" w:styleId="NoSpacing">
    <w:name w:val="No Spacing"/>
    <w:uiPriority w:val="1"/>
    <w:qFormat/>
    <w:rsid w:val="00AF1189"/>
    <w:pPr>
      <w:spacing w:after="0" w:line="240" w:lineRule="auto"/>
    </w:pPr>
    <w:rPr>
      <w:rFonts w:ascii="Calibri" w:eastAsia="Calibri" w:hAnsi="Calibri" w:cs="Times New Roman"/>
    </w:rPr>
  </w:style>
  <w:style w:type="character" w:customStyle="1" w:styleId="WW-DefaultParagraphFont">
    <w:name w:val="WW-Default Paragraph Font"/>
    <w:rsid w:val="00AF1189"/>
  </w:style>
  <w:style w:type="paragraph" w:customStyle="1" w:styleId="Standarduser">
    <w:name w:val="Standard (user)"/>
    <w:rsid w:val="00AF1189"/>
    <w:pPr>
      <w:suppressAutoHyphens/>
      <w:autoSpaceDN w:val="0"/>
      <w:spacing w:line="251" w:lineRule="auto"/>
      <w:textAlignment w:val="baseline"/>
    </w:pPr>
    <w:rPr>
      <w:rFonts w:ascii="Calibri" w:eastAsia="SimSun, 宋体" w:hAnsi="Calibri" w:cs="Tahoma"/>
      <w:kern w:val="3"/>
      <w:lang w:eastAsia="zh-CN"/>
    </w:rPr>
  </w:style>
  <w:style w:type="paragraph" w:customStyle="1" w:styleId="Standard">
    <w:name w:val="Standard"/>
    <w:rsid w:val="00AF1189"/>
    <w:pPr>
      <w:suppressAutoHyphens/>
      <w:autoSpaceDN w:val="0"/>
      <w:textAlignment w:val="baseline"/>
    </w:pPr>
    <w:rPr>
      <w:rFonts w:ascii="Calibri" w:eastAsia="SimSun" w:hAnsi="Calibri" w:cs="Tahoma"/>
      <w:kern w:val="3"/>
    </w:rPr>
  </w:style>
  <w:style w:type="paragraph" w:customStyle="1" w:styleId="normalbold">
    <w:name w:val="normalbold"/>
    <w:basedOn w:val="Normal"/>
    <w:rsid w:val="00AF1189"/>
    <w:pPr>
      <w:spacing w:before="100" w:beforeAutospacing="1" w:after="100" w:afterAutospacing="1" w:line="240" w:lineRule="auto"/>
      <w:jc w:val="left"/>
    </w:pPr>
    <w:rPr>
      <w:rFonts w:ascii="Arial" w:eastAsia="Times New Roman" w:hAnsi="Arial" w:cs="Arial"/>
      <w:b/>
      <w:bCs/>
      <w:sz w:val="22"/>
    </w:rPr>
  </w:style>
  <w:style w:type="paragraph" w:customStyle="1" w:styleId="Normal1">
    <w:name w:val="Normal1"/>
    <w:basedOn w:val="Normal"/>
    <w:rsid w:val="00AF1189"/>
    <w:pPr>
      <w:spacing w:before="100" w:beforeAutospacing="1" w:after="100" w:afterAutospacing="1" w:line="240" w:lineRule="auto"/>
      <w:jc w:val="left"/>
    </w:pPr>
    <w:rPr>
      <w:rFonts w:ascii="Arial" w:eastAsia="Times New Roman" w:hAnsi="Arial" w:cs="Arial"/>
      <w:sz w:val="22"/>
    </w:rPr>
  </w:style>
  <w:style w:type="character" w:customStyle="1" w:styleId="UnresolvedMention1">
    <w:name w:val="Unresolved Mention1"/>
    <w:basedOn w:val="DefaultParagraphFont"/>
    <w:uiPriority w:val="99"/>
    <w:semiHidden/>
    <w:unhideWhenUsed/>
    <w:rsid w:val="00AF1189"/>
    <w:rPr>
      <w:color w:val="605E5C"/>
      <w:shd w:val="clear" w:color="auto" w:fill="E1DFDD"/>
    </w:rPr>
  </w:style>
  <w:style w:type="paragraph" w:styleId="TOC3">
    <w:name w:val="toc 3"/>
    <w:basedOn w:val="Normal"/>
    <w:next w:val="Normal"/>
    <w:autoRedefine/>
    <w:uiPriority w:val="39"/>
    <w:unhideWhenUsed/>
    <w:rsid w:val="00AF1189"/>
    <w:pPr>
      <w:spacing w:after="100" w:line="240" w:lineRule="auto"/>
      <w:ind w:left="480"/>
    </w:pPr>
    <w:rPr>
      <w:rFonts w:eastAsia="Times New Roman" w:cs="Times New Roman"/>
      <w:szCs w:val="24"/>
    </w:rPr>
  </w:style>
  <w:style w:type="paragraph" w:customStyle="1" w:styleId="Char">
    <w:name w:val="Char"/>
    <w:basedOn w:val="Normal"/>
    <w:rsid w:val="00AF1189"/>
    <w:pPr>
      <w:spacing w:line="240" w:lineRule="exact"/>
      <w:jc w:val="left"/>
    </w:pPr>
    <w:rPr>
      <w:rFonts w:ascii="Tahoma" w:eastAsia="Times New Roman" w:hAnsi="Tahoma" w:cs="Times New Roman"/>
      <w:sz w:val="20"/>
      <w:szCs w:val="20"/>
    </w:rPr>
  </w:style>
  <w:style w:type="character" w:styleId="PlaceholderText">
    <w:name w:val="Placeholder Text"/>
    <w:basedOn w:val="DefaultParagraphFont"/>
    <w:uiPriority w:val="99"/>
    <w:semiHidden/>
    <w:rsid w:val="00AF1189"/>
    <w:rPr>
      <w:color w:val="808080"/>
    </w:rPr>
  </w:style>
  <w:style w:type="character" w:customStyle="1" w:styleId="Heading4Char">
    <w:name w:val="Heading 4 Char"/>
    <w:basedOn w:val="DefaultParagraphFont"/>
    <w:link w:val="Heading4"/>
    <w:uiPriority w:val="9"/>
    <w:rsid w:val="00AF1189"/>
    <w:rPr>
      <w:rFonts w:ascii="Times New Roman" w:eastAsiaTheme="majorEastAsia" w:hAnsi="Times New Roman" w:cstheme="majorBidi"/>
      <w:iCs/>
      <w:sz w:val="24"/>
      <w:u w:val="single"/>
    </w:rPr>
  </w:style>
  <w:style w:type="character" w:customStyle="1" w:styleId="UnresolvedMention2">
    <w:name w:val="Unresolved Mention2"/>
    <w:basedOn w:val="DefaultParagraphFont"/>
    <w:uiPriority w:val="99"/>
    <w:semiHidden/>
    <w:unhideWhenUsed/>
    <w:rsid w:val="00BD31BD"/>
    <w:rPr>
      <w:color w:val="605E5C"/>
      <w:shd w:val="clear" w:color="auto" w:fill="E1DFDD"/>
    </w:rPr>
  </w:style>
  <w:style w:type="paragraph" w:customStyle="1" w:styleId="auto-style2">
    <w:name w:val="auto-style2"/>
    <w:basedOn w:val="Normal"/>
    <w:rsid w:val="00311F2D"/>
    <w:pPr>
      <w:spacing w:before="100" w:beforeAutospacing="1" w:after="100" w:afterAutospacing="1" w:line="240" w:lineRule="auto"/>
      <w:jc w:val="left"/>
    </w:pPr>
    <w:rPr>
      <w:rFonts w:eastAsia="Times New Roman" w:cs="Times New Roman"/>
      <w:szCs w:val="24"/>
    </w:rPr>
  </w:style>
  <w:style w:type="paragraph" w:customStyle="1" w:styleId="auto-style1">
    <w:name w:val="auto-style1"/>
    <w:basedOn w:val="Normal"/>
    <w:rsid w:val="00311F2D"/>
    <w:pPr>
      <w:spacing w:before="100" w:beforeAutospacing="1" w:after="100" w:afterAutospacing="1" w:line="240" w:lineRule="auto"/>
      <w:jc w:val="left"/>
    </w:pPr>
    <w:rPr>
      <w:rFonts w:eastAsia="Times New Roman" w:cs="Times New Roman"/>
      <w:szCs w:val="24"/>
    </w:rPr>
  </w:style>
  <w:style w:type="character" w:customStyle="1" w:styleId="UnresolvedMention3">
    <w:name w:val="Unresolved Mention3"/>
    <w:basedOn w:val="DefaultParagraphFont"/>
    <w:uiPriority w:val="99"/>
    <w:semiHidden/>
    <w:unhideWhenUsed/>
    <w:rsid w:val="000E0D0C"/>
    <w:rPr>
      <w:color w:val="605E5C"/>
      <w:shd w:val="clear" w:color="auto" w:fill="E1DFDD"/>
    </w:rPr>
  </w:style>
  <w:style w:type="paragraph" w:styleId="Revision">
    <w:name w:val="Revision"/>
    <w:hidden/>
    <w:uiPriority w:val="99"/>
    <w:semiHidden/>
    <w:rsid w:val="000E0D0C"/>
    <w:pPr>
      <w:spacing w:after="0" w:line="240" w:lineRule="auto"/>
    </w:pPr>
    <w:rPr>
      <w:rFonts w:ascii="Times New Roman" w:hAnsi="Times New Roman"/>
      <w:sz w:val="24"/>
    </w:rPr>
  </w:style>
  <w:style w:type="paragraph" w:customStyle="1" w:styleId="gmail-msolistparagraph">
    <w:name w:val="gmail-msolistparagraph"/>
    <w:basedOn w:val="Normal"/>
    <w:rsid w:val="009B7693"/>
    <w:pPr>
      <w:spacing w:before="100" w:beforeAutospacing="1" w:after="100" w:afterAutospacing="1" w:line="240" w:lineRule="auto"/>
      <w:jc w:val="left"/>
    </w:pPr>
    <w:rPr>
      <w:rFonts w:cs="Times New Roman"/>
      <w:szCs w:val="24"/>
    </w:rPr>
  </w:style>
  <w:style w:type="paragraph" w:customStyle="1" w:styleId="1tekst">
    <w:name w:val="1tekst"/>
    <w:basedOn w:val="Normal"/>
    <w:rsid w:val="0058206D"/>
    <w:pPr>
      <w:spacing w:before="100" w:after="100" w:line="240" w:lineRule="auto"/>
      <w:ind w:firstLine="240"/>
    </w:pPr>
    <w:rPr>
      <w:rFonts w:eastAsia="Times New Roman" w:cs="Times New Roman"/>
      <w:szCs w:val="20"/>
    </w:rPr>
  </w:style>
  <w:style w:type="paragraph" w:customStyle="1" w:styleId="a">
    <w:name w:val="мза"/>
    <w:rsid w:val="00F947C9"/>
    <w:pPr>
      <w:tabs>
        <w:tab w:val="left" w:pos="1418"/>
      </w:tabs>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420713">
      <w:bodyDiv w:val="1"/>
      <w:marLeft w:val="0"/>
      <w:marRight w:val="0"/>
      <w:marTop w:val="0"/>
      <w:marBottom w:val="0"/>
      <w:divBdr>
        <w:top w:val="none" w:sz="0" w:space="0" w:color="auto"/>
        <w:left w:val="none" w:sz="0" w:space="0" w:color="auto"/>
        <w:bottom w:val="none" w:sz="0" w:space="0" w:color="auto"/>
        <w:right w:val="none" w:sz="0" w:space="0" w:color="auto"/>
      </w:divBdr>
    </w:div>
    <w:div w:id="453717866">
      <w:bodyDiv w:val="1"/>
      <w:marLeft w:val="0"/>
      <w:marRight w:val="0"/>
      <w:marTop w:val="0"/>
      <w:marBottom w:val="0"/>
      <w:divBdr>
        <w:top w:val="none" w:sz="0" w:space="0" w:color="auto"/>
        <w:left w:val="none" w:sz="0" w:space="0" w:color="auto"/>
        <w:bottom w:val="none" w:sz="0" w:space="0" w:color="auto"/>
        <w:right w:val="none" w:sz="0" w:space="0" w:color="auto"/>
      </w:divBdr>
    </w:div>
    <w:div w:id="518664323">
      <w:bodyDiv w:val="1"/>
      <w:marLeft w:val="0"/>
      <w:marRight w:val="0"/>
      <w:marTop w:val="0"/>
      <w:marBottom w:val="0"/>
      <w:divBdr>
        <w:top w:val="none" w:sz="0" w:space="0" w:color="auto"/>
        <w:left w:val="none" w:sz="0" w:space="0" w:color="auto"/>
        <w:bottom w:val="none" w:sz="0" w:space="0" w:color="auto"/>
        <w:right w:val="none" w:sz="0" w:space="0" w:color="auto"/>
      </w:divBdr>
    </w:div>
    <w:div w:id="689768802">
      <w:bodyDiv w:val="1"/>
      <w:marLeft w:val="0"/>
      <w:marRight w:val="0"/>
      <w:marTop w:val="0"/>
      <w:marBottom w:val="0"/>
      <w:divBdr>
        <w:top w:val="none" w:sz="0" w:space="0" w:color="auto"/>
        <w:left w:val="none" w:sz="0" w:space="0" w:color="auto"/>
        <w:bottom w:val="none" w:sz="0" w:space="0" w:color="auto"/>
        <w:right w:val="none" w:sz="0" w:space="0" w:color="auto"/>
      </w:divBdr>
    </w:div>
    <w:div w:id="700086696">
      <w:bodyDiv w:val="1"/>
      <w:marLeft w:val="0"/>
      <w:marRight w:val="0"/>
      <w:marTop w:val="0"/>
      <w:marBottom w:val="0"/>
      <w:divBdr>
        <w:top w:val="none" w:sz="0" w:space="0" w:color="auto"/>
        <w:left w:val="none" w:sz="0" w:space="0" w:color="auto"/>
        <w:bottom w:val="none" w:sz="0" w:space="0" w:color="auto"/>
        <w:right w:val="none" w:sz="0" w:space="0" w:color="auto"/>
      </w:divBdr>
    </w:div>
    <w:div w:id="721830512">
      <w:bodyDiv w:val="1"/>
      <w:marLeft w:val="0"/>
      <w:marRight w:val="0"/>
      <w:marTop w:val="0"/>
      <w:marBottom w:val="0"/>
      <w:divBdr>
        <w:top w:val="none" w:sz="0" w:space="0" w:color="auto"/>
        <w:left w:val="none" w:sz="0" w:space="0" w:color="auto"/>
        <w:bottom w:val="none" w:sz="0" w:space="0" w:color="auto"/>
        <w:right w:val="none" w:sz="0" w:space="0" w:color="auto"/>
      </w:divBdr>
    </w:div>
    <w:div w:id="760567897">
      <w:bodyDiv w:val="1"/>
      <w:marLeft w:val="0"/>
      <w:marRight w:val="0"/>
      <w:marTop w:val="0"/>
      <w:marBottom w:val="0"/>
      <w:divBdr>
        <w:top w:val="none" w:sz="0" w:space="0" w:color="auto"/>
        <w:left w:val="none" w:sz="0" w:space="0" w:color="auto"/>
        <w:bottom w:val="none" w:sz="0" w:space="0" w:color="auto"/>
        <w:right w:val="none" w:sz="0" w:space="0" w:color="auto"/>
      </w:divBdr>
    </w:div>
    <w:div w:id="910846939">
      <w:bodyDiv w:val="1"/>
      <w:marLeft w:val="0"/>
      <w:marRight w:val="0"/>
      <w:marTop w:val="0"/>
      <w:marBottom w:val="0"/>
      <w:divBdr>
        <w:top w:val="none" w:sz="0" w:space="0" w:color="auto"/>
        <w:left w:val="none" w:sz="0" w:space="0" w:color="auto"/>
        <w:bottom w:val="none" w:sz="0" w:space="0" w:color="auto"/>
        <w:right w:val="none" w:sz="0" w:space="0" w:color="auto"/>
      </w:divBdr>
    </w:div>
    <w:div w:id="951395892">
      <w:bodyDiv w:val="1"/>
      <w:marLeft w:val="0"/>
      <w:marRight w:val="0"/>
      <w:marTop w:val="0"/>
      <w:marBottom w:val="0"/>
      <w:divBdr>
        <w:top w:val="none" w:sz="0" w:space="0" w:color="auto"/>
        <w:left w:val="none" w:sz="0" w:space="0" w:color="auto"/>
        <w:bottom w:val="none" w:sz="0" w:space="0" w:color="auto"/>
        <w:right w:val="none" w:sz="0" w:space="0" w:color="auto"/>
      </w:divBdr>
    </w:div>
    <w:div w:id="1093815761">
      <w:bodyDiv w:val="1"/>
      <w:marLeft w:val="0"/>
      <w:marRight w:val="0"/>
      <w:marTop w:val="0"/>
      <w:marBottom w:val="0"/>
      <w:divBdr>
        <w:top w:val="none" w:sz="0" w:space="0" w:color="auto"/>
        <w:left w:val="none" w:sz="0" w:space="0" w:color="auto"/>
        <w:bottom w:val="none" w:sz="0" w:space="0" w:color="auto"/>
        <w:right w:val="none" w:sz="0" w:space="0" w:color="auto"/>
      </w:divBdr>
    </w:div>
    <w:div w:id="1094322807">
      <w:bodyDiv w:val="1"/>
      <w:marLeft w:val="0"/>
      <w:marRight w:val="0"/>
      <w:marTop w:val="0"/>
      <w:marBottom w:val="0"/>
      <w:divBdr>
        <w:top w:val="none" w:sz="0" w:space="0" w:color="auto"/>
        <w:left w:val="none" w:sz="0" w:space="0" w:color="auto"/>
        <w:bottom w:val="none" w:sz="0" w:space="0" w:color="auto"/>
        <w:right w:val="none" w:sz="0" w:space="0" w:color="auto"/>
      </w:divBdr>
    </w:div>
    <w:div w:id="1127890781">
      <w:bodyDiv w:val="1"/>
      <w:marLeft w:val="0"/>
      <w:marRight w:val="0"/>
      <w:marTop w:val="0"/>
      <w:marBottom w:val="0"/>
      <w:divBdr>
        <w:top w:val="none" w:sz="0" w:space="0" w:color="auto"/>
        <w:left w:val="none" w:sz="0" w:space="0" w:color="auto"/>
        <w:bottom w:val="none" w:sz="0" w:space="0" w:color="auto"/>
        <w:right w:val="none" w:sz="0" w:space="0" w:color="auto"/>
      </w:divBdr>
    </w:div>
    <w:div w:id="1132596621">
      <w:bodyDiv w:val="1"/>
      <w:marLeft w:val="0"/>
      <w:marRight w:val="0"/>
      <w:marTop w:val="0"/>
      <w:marBottom w:val="0"/>
      <w:divBdr>
        <w:top w:val="none" w:sz="0" w:space="0" w:color="auto"/>
        <w:left w:val="none" w:sz="0" w:space="0" w:color="auto"/>
        <w:bottom w:val="none" w:sz="0" w:space="0" w:color="auto"/>
        <w:right w:val="none" w:sz="0" w:space="0" w:color="auto"/>
      </w:divBdr>
    </w:div>
    <w:div w:id="1263878292">
      <w:bodyDiv w:val="1"/>
      <w:marLeft w:val="0"/>
      <w:marRight w:val="0"/>
      <w:marTop w:val="0"/>
      <w:marBottom w:val="0"/>
      <w:divBdr>
        <w:top w:val="none" w:sz="0" w:space="0" w:color="auto"/>
        <w:left w:val="none" w:sz="0" w:space="0" w:color="auto"/>
        <w:bottom w:val="none" w:sz="0" w:space="0" w:color="auto"/>
        <w:right w:val="none" w:sz="0" w:space="0" w:color="auto"/>
      </w:divBdr>
    </w:div>
    <w:div w:id="1382483468">
      <w:bodyDiv w:val="1"/>
      <w:marLeft w:val="0"/>
      <w:marRight w:val="0"/>
      <w:marTop w:val="0"/>
      <w:marBottom w:val="0"/>
      <w:divBdr>
        <w:top w:val="none" w:sz="0" w:space="0" w:color="auto"/>
        <w:left w:val="none" w:sz="0" w:space="0" w:color="auto"/>
        <w:bottom w:val="none" w:sz="0" w:space="0" w:color="auto"/>
        <w:right w:val="none" w:sz="0" w:space="0" w:color="auto"/>
      </w:divBdr>
    </w:div>
    <w:div w:id="1701277367">
      <w:bodyDiv w:val="1"/>
      <w:marLeft w:val="0"/>
      <w:marRight w:val="0"/>
      <w:marTop w:val="0"/>
      <w:marBottom w:val="0"/>
      <w:divBdr>
        <w:top w:val="none" w:sz="0" w:space="0" w:color="auto"/>
        <w:left w:val="none" w:sz="0" w:space="0" w:color="auto"/>
        <w:bottom w:val="none" w:sz="0" w:space="0" w:color="auto"/>
        <w:right w:val="none" w:sz="0" w:space="0" w:color="auto"/>
      </w:divBdr>
    </w:div>
    <w:div w:id="194912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zilastvorz.org.rs/upload/Regulation/Document__ci/2016-05/rezolucija_1503_cir.pdf" TargetMode="External"/><Relationship Id="rId13" Type="http://schemas.openxmlformats.org/officeDocument/2006/relationships/chart" Target="charts/chart3.xml"/><Relationship Id="rId18" Type="http://schemas.openxmlformats.org/officeDocument/2006/relationships/hyperlink" Target="https://www.tuzilastvorz.org.rs/en/cases/indictments" TargetMode="Externa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4.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13.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2.xml"/><Relationship Id="rId28" Type="http://schemas.openxmlformats.org/officeDocument/2006/relationships/fontTable" Target="fontTable.xml"/><Relationship Id="rId10" Type="http://schemas.openxmlformats.org/officeDocument/2006/relationships/hyperlink" Target="https://www.tuzilastvorz.org.rs/upload/Regulation/Document__ci/2016-05/rezolucija_1244_lat.pdf" TargetMode="Externa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hyperlink" Target="https://www.tuzilastvorz.org.rs/upload/Regulation/Document__ci/2016-05/rezolucija_1534_cir.pdf" TargetMode="External"/><Relationship Id="rId14" Type="http://schemas.openxmlformats.org/officeDocument/2006/relationships/chart" Target="charts/chart4.xml"/><Relationship Id="rId22" Type="http://schemas.openxmlformats.org/officeDocument/2006/relationships/chart" Target="charts/chart11.xm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pravno-informacioni-sistem.rs/SlGlasnikPortal/reg/viewAct/87e1c3ab-f22c-4d75-9772-71d7522057e7" TargetMode="External"/><Relationship Id="rId13" Type="http://schemas.openxmlformats.org/officeDocument/2006/relationships/hyperlink" Target="https://www.tuzilastvorz.org.rs/upload/Regulation/Document__ci/2016-05/konvencija_sprecavanje_cir.pdf" TargetMode="External"/><Relationship Id="rId18" Type="http://schemas.openxmlformats.org/officeDocument/2006/relationships/hyperlink" Target="https://www.tuzilastvorz.org.rs/upload/Regulation/Document__ci/2016-05/povelja_un_cir.pdf" TargetMode="External"/><Relationship Id="rId26" Type="http://schemas.openxmlformats.org/officeDocument/2006/relationships/hyperlink" Target="https://www.vk.sud.rs/sites/default/files/attachments/Godi%C5%A1nji%20izve%C5%A1taja%20za%202020%20FINAL_0.pdf" TargetMode="External"/><Relationship Id="rId3" Type="http://schemas.openxmlformats.org/officeDocument/2006/relationships/hyperlink" Target="https://www.srbija.gov.rs/dokument/45678/strategije-programi-planovi-.php" TargetMode="External"/><Relationship Id="rId21" Type="http://schemas.openxmlformats.org/officeDocument/2006/relationships/hyperlink" Target="https://www.mpravde.gov.rs/tekst/12647/akcioni-plan-za-pregovaranje-poglavlja-23-usvojen-na-sednici-vlade-srbije-27-aprila-2016.php" TargetMode="External"/><Relationship Id="rId7" Type="http://schemas.openxmlformats.org/officeDocument/2006/relationships/hyperlink" Target="http://www.pravno-informacioni-sistem.rs/SlGlasnikPortal/viewdoc?regactid=409337&amp;doctype=reg&amp;findpdfurl=true" TargetMode="External"/><Relationship Id="rId12" Type="http://schemas.openxmlformats.org/officeDocument/2006/relationships/hyperlink" Target="http://www.pravno-informacioni-sistem.rs/SlGlasnikPortal/viewdoc?regactid=409360&amp;doctype=reg&amp;findpdfurl=true" TargetMode="External"/><Relationship Id="rId17" Type="http://schemas.openxmlformats.org/officeDocument/2006/relationships/hyperlink" Target="http://www.pravno-informacioni-sistem.rs/SlGlasnikPortal/viewdoc?regactid=409321&amp;doctype=reg&amp;findpdfurl=true" TargetMode="External"/><Relationship Id="rId25" Type="http://schemas.openxmlformats.org/officeDocument/2006/relationships/hyperlink" Target="https://www.podrskazrtvama.rs/o-projektu.php" TargetMode="External"/><Relationship Id="rId2" Type="http://schemas.openxmlformats.org/officeDocument/2006/relationships/hyperlink" Target="https://www.mpravde.gov.rs/files/Revidirani%20AP23%202207.pdf" TargetMode="External"/><Relationship Id="rId16" Type="http://schemas.openxmlformats.org/officeDocument/2006/relationships/hyperlink" Target="http://www.pravno-informacioni-sistem.rs/SlGlasnikPortal/viewdoc?regactid=409321&amp;doctype=reg&amp;findpdfurl=true" TargetMode="External"/><Relationship Id="rId20" Type="http://schemas.openxmlformats.org/officeDocument/2006/relationships/hyperlink" Target="https://www.mpravde.gov.rs/tekst/7073/izvestaj-o-skriningu.php" TargetMode="External"/><Relationship Id="rId29" Type="http://schemas.openxmlformats.org/officeDocument/2006/relationships/hyperlink" Target="https://www.tuzilastvorz.org.rs/upload/HomeDocument/Document__ci/2018-12/hronoloski_optuzbe_3.pdf" TargetMode="External"/><Relationship Id="rId1" Type="http://schemas.openxmlformats.org/officeDocument/2006/relationships/hyperlink" Target="https://www.icrc.org/en/document/human-rights-day-missing-persons-yugoslavia" TargetMode="External"/><Relationship Id="rId6" Type="http://schemas.openxmlformats.org/officeDocument/2006/relationships/hyperlink" Target="https://www.tuzilastvorz.org.rs/upload/Regulation/Document__ci/2016-05/evr_konvencija_kriv_presude_cir.pdf" TargetMode="External"/><Relationship Id="rId11" Type="http://schemas.openxmlformats.org/officeDocument/2006/relationships/hyperlink" Target="https://www.tuzilastvorz.org.rs/upload/Regulation/Document__ci/2016-05/evr_konvencija_prenos_cir.pdf" TargetMode="External"/><Relationship Id="rId24" Type="http://schemas.openxmlformats.org/officeDocument/2006/relationships/hyperlink" Target="https://www.podrskazrtvama.rs/lat/dokumenti/izvestaji-i-analize.php" TargetMode="External"/><Relationship Id="rId5" Type="http://schemas.openxmlformats.org/officeDocument/2006/relationships/hyperlink" Target="http://www.pravno-informacioni-sistem.rs/SlGlasnikPortal/viewdoc?regactid=409264&amp;doctype=reg&amp;findpdfurl=true" TargetMode="External"/><Relationship Id="rId15" Type="http://schemas.openxmlformats.org/officeDocument/2006/relationships/hyperlink" Target="http://www.pravno-informacioni-sistem.rs/SlGlasnikPortal/viewdoc?regactid=409339&amp;doctype=reg&amp;findpdfurl=true" TargetMode="External"/><Relationship Id="rId23" Type="http://schemas.openxmlformats.org/officeDocument/2006/relationships/hyperlink" Target="https://www.tuzilastvorz.org.rs/upload/HomeDocument/Document__sr/2018-05/strategija_trz_srb.pdf" TargetMode="External"/><Relationship Id="rId28" Type="http://schemas.openxmlformats.org/officeDocument/2006/relationships/hyperlink" Target="https://www.mpravde.gov.rs/tekst/26470/izvestaji-o-sprovodjenju-akcionog-plana-za-poglavlje-23.php" TargetMode="External"/><Relationship Id="rId10" Type="http://schemas.openxmlformats.org/officeDocument/2006/relationships/hyperlink" Target="http://www.pravno-informacioni-sistem.rs/SlGlasnikPortal/viewdoc?regactid=409341&amp;doctype=reg&amp;findpdfurl=true" TargetMode="External"/><Relationship Id="rId19" Type="http://schemas.openxmlformats.org/officeDocument/2006/relationships/hyperlink" Target="https://www.icty.org/bcs/documents/statut-medunarodnog-suda" TargetMode="External"/><Relationship Id="rId31" Type="http://schemas.openxmlformats.org/officeDocument/2006/relationships/hyperlink" Target="https://www.b92.net/info/vesti/index.php?yyyy=2016&amp;mm=02&amp;dd=28&amp;nav_category=11&amp;nav_id=1101717" TargetMode="External"/><Relationship Id="rId4" Type="http://schemas.openxmlformats.org/officeDocument/2006/relationships/hyperlink" Target="https://www.tuzilastvorz.org.rs/upload/Regulation/Document__ci/2016-05/evr_konvencija_pravna_pomoc_cir.pdf" TargetMode="External"/><Relationship Id="rId9" Type="http://schemas.openxmlformats.org/officeDocument/2006/relationships/hyperlink" Target="https://www.tuzilastvorz.org.rs/upload/Regulation/Document__ci/2016-05/evr_konvencija_nadzor_cir.pdf" TargetMode="External"/><Relationship Id="rId14" Type="http://schemas.openxmlformats.org/officeDocument/2006/relationships/hyperlink" Target="http://www.pravno-informacioni-sistem.rs/SlGlasnikPortal/viewdoc?regactid=415244&amp;doctype=reg&amp;findpdfurl=true" TargetMode="External"/><Relationship Id="rId22" Type="http://schemas.openxmlformats.org/officeDocument/2006/relationships/hyperlink" Target="https://www.mpravde.gov.rs/tekst/13244/pregovaracka-pozicija-.php" TargetMode="External"/><Relationship Id="rId27" Type="http://schemas.openxmlformats.org/officeDocument/2006/relationships/hyperlink" Target="https://www.mpravde.gov.rs/tekst/17978/izvestaj-o-sprovodjenju-nacionalne-strategije-za-procesuiranje-ratnih-zlocina.php," TargetMode="External"/><Relationship Id="rId30" Type="http://schemas.openxmlformats.org/officeDocument/2006/relationships/hyperlink" Target="https://testonja.studiob.rs/strategijom-do-efikasnijeg-procesuiranja-ratnih-zlocina/"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x-none"/>
              <a:t>Број споразума о признању кривичног дела по годинама</a:t>
            </a:r>
          </a:p>
        </c:rich>
      </c:tx>
      <c:overlay val="0"/>
      <c:spPr>
        <a:noFill/>
        <a:ln>
          <a:noFill/>
        </a:ln>
        <a:effectLst/>
      </c:spPr>
    </c:title>
    <c:autoTitleDeleted val="0"/>
    <c:plotArea>
      <c:layout/>
      <c:barChart>
        <c:barDir val="col"/>
        <c:grouping val="clustered"/>
        <c:varyColors val="0"/>
        <c:ser>
          <c:idx val="0"/>
          <c:order val="0"/>
          <c:tx>
            <c:strRef>
              <c:f>Sheet1!$B$1</c:f>
              <c:strCache>
                <c:ptCount val="1"/>
                <c:pt idx="0">
                  <c:v>Број споразума</c:v>
                </c:pt>
              </c:strCache>
            </c:strRef>
          </c:tx>
          <c:spPr>
            <a:solidFill>
              <a:schemeClr val="accent1"/>
            </a:solidFill>
            <a:ln>
              <a:noFill/>
            </a:ln>
            <a:effectLst/>
          </c:spPr>
          <c:invertIfNegative val="0"/>
          <c:cat>
            <c:numRef>
              <c:f>Sheet1!$A$2:$A$6</c:f>
              <c:numCache>
                <c:formatCode>General</c:formatCode>
                <c:ptCount val="5"/>
                <c:pt idx="0">
                  <c:v>2016</c:v>
                </c:pt>
                <c:pt idx="1">
                  <c:v>2017</c:v>
                </c:pt>
                <c:pt idx="2">
                  <c:v>2018</c:v>
                </c:pt>
                <c:pt idx="3">
                  <c:v>2019</c:v>
                </c:pt>
                <c:pt idx="4">
                  <c:v>2020</c:v>
                </c:pt>
              </c:numCache>
            </c:numRef>
          </c:cat>
          <c:val>
            <c:numRef>
              <c:f>Sheet1!$B$2:$B$6</c:f>
              <c:numCache>
                <c:formatCode>General</c:formatCode>
                <c:ptCount val="5"/>
                <c:pt idx="0">
                  <c:v>1</c:v>
                </c:pt>
                <c:pt idx="1">
                  <c:v>0</c:v>
                </c:pt>
                <c:pt idx="2">
                  <c:v>1</c:v>
                </c:pt>
                <c:pt idx="3">
                  <c:v>1</c:v>
                </c:pt>
                <c:pt idx="4">
                  <c:v>0</c:v>
                </c:pt>
              </c:numCache>
            </c:numRef>
          </c:val>
          <c:extLst>
            <c:ext xmlns:c16="http://schemas.microsoft.com/office/drawing/2014/chart" uri="{C3380CC4-5D6E-409C-BE32-E72D297353CC}">
              <c16:uniqueId val="{00000000-7B8D-45EA-BF26-402A13DF3A3C}"/>
            </c:ext>
          </c:extLst>
        </c:ser>
        <c:dLbls>
          <c:showLegendKey val="0"/>
          <c:showVal val="0"/>
          <c:showCatName val="0"/>
          <c:showSerName val="0"/>
          <c:showPercent val="0"/>
          <c:showBubbleSize val="0"/>
        </c:dLbls>
        <c:gapWidth val="219"/>
        <c:overlap val="-27"/>
        <c:axId val="565756416"/>
        <c:axId val="566174848"/>
      </c:barChart>
      <c:catAx>
        <c:axId val="565756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6174848"/>
        <c:crosses val="autoZero"/>
        <c:auto val="1"/>
        <c:lblAlgn val="ctr"/>
        <c:lblOffset val="100"/>
        <c:noMultiLvlLbl val="0"/>
      </c:catAx>
      <c:valAx>
        <c:axId val="5661748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5756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800" b="1" i="0" u="none" strike="noStrike" kern="1200" baseline="0">
                <a:solidFill>
                  <a:schemeClr val="dk1">
                    <a:lumMod val="65000"/>
                    <a:lumOff val="35000"/>
                  </a:schemeClr>
                </a:solidFill>
                <a:latin typeface="+mn-lt"/>
                <a:ea typeface="+mn-ea"/>
                <a:cs typeface="+mn-cs"/>
              </a:defRPr>
            </a:pPr>
            <a:r>
              <a:rPr lang="x-none" sz="1400" b="0"/>
              <a:t>Структура</a:t>
            </a:r>
            <a:r>
              <a:rPr lang="x-none" sz="1400" b="0" baseline="0"/>
              <a:t> одлука ТРЗ по захтевима РХ (2016-2020)</a:t>
            </a:r>
            <a:endParaRPr lang="en-US" sz="1400" b="0"/>
          </a:p>
        </c:rich>
      </c:tx>
      <c:overlay val="0"/>
      <c:spPr>
        <a:noFill/>
        <a:ln>
          <a:noFill/>
        </a:ln>
        <a:effectLst/>
      </c:sp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9709-46AA-AB67-F5A2B98ECF8B}"/>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9709-46AA-AB67-F5A2B98ECF8B}"/>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9709-46AA-AB67-F5A2B98ECF8B}"/>
              </c:ext>
            </c:extLst>
          </c:dPt>
          <c:dLbls>
            <c:spPr>
              <a:noFill/>
              <a:ln>
                <a:noFill/>
              </a:ln>
              <a:effectLst/>
            </c:spPr>
            <c:txPr>
              <a:bodyPr rot="0" spcFirstLastPara="1" vertOverflow="ellipsis" vert="horz" wrap="square" lIns="38100" tIns="19050" rIns="38100" bIns="19050" anchor="ctr" anchorCtr="1">
                <a:spAutoFit/>
              </a:bodyPr>
              <a:lstStyle/>
              <a:p>
                <a:pPr>
                  <a:defRPr lang="en-US"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удовољено</c:v>
                </c:pt>
                <c:pt idx="1">
                  <c:v>предмети у раду</c:v>
                </c:pt>
                <c:pt idx="2">
                  <c:v>није удовољено</c:v>
                </c:pt>
              </c:strCache>
            </c:strRef>
          </c:cat>
          <c:val>
            <c:numRef>
              <c:f>Sheet1!$B$2:$B$4</c:f>
              <c:numCache>
                <c:formatCode>General</c:formatCode>
                <c:ptCount val="3"/>
                <c:pt idx="0">
                  <c:v>126</c:v>
                </c:pt>
                <c:pt idx="1">
                  <c:v>46</c:v>
                </c:pt>
                <c:pt idx="2">
                  <c:v>1.2</c:v>
                </c:pt>
              </c:numCache>
            </c:numRef>
          </c:val>
          <c:extLst>
            <c:ext xmlns:c16="http://schemas.microsoft.com/office/drawing/2014/chart" uri="{C3380CC4-5D6E-409C-BE32-E72D297353CC}">
              <c16:uniqueId val="{00000006-9709-46AA-AB67-F5A2B98ECF8B}"/>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lang="en-US" sz="900" b="0" i="0" u="none" strike="noStrike" kern="1200" baseline="0">
              <a:solidFill>
                <a:schemeClr val="dk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800" b="1" i="0" u="none" strike="noStrike" kern="1200" baseline="0">
                <a:solidFill>
                  <a:schemeClr val="dk1">
                    <a:lumMod val="65000"/>
                    <a:lumOff val="35000"/>
                  </a:schemeClr>
                </a:solidFill>
                <a:latin typeface="+mn-lt"/>
                <a:ea typeface="+mn-ea"/>
                <a:cs typeface="+mn-cs"/>
              </a:defRPr>
            </a:pPr>
            <a:r>
              <a:rPr lang="x-none" sz="1400" b="0"/>
              <a:t>Структура одлука Државног одвјетништва РХ по захтевима ТРЗ (2016-2020)</a:t>
            </a:r>
            <a:endParaRPr lang="en-US" sz="1400" b="0"/>
          </a:p>
        </c:rich>
      </c:tx>
      <c:overlay val="0"/>
      <c:spPr>
        <a:noFill/>
        <a:ln>
          <a:noFill/>
        </a:ln>
        <a:effectLst/>
      </c:sp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A7C6-41D8-A4D8-4F967E7BF061}"/>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A7C6-41D8-A4D8-4F967E7BF061}"/>
              </c:ext>
            </c:extLst>
          </c:dPt>
          <c:dLbls>
            <c:spPr>
              <a:noFill/>
              <a:ln>
                <a:noFill/>
              </a:ln>
              <a:effectLst/>
            </c:spPr>
            <c:txPr>
              <a:bodyPr rot="0" spcFirstLastPara="1" vertOverflow="ellipsis" vert="horz" wrap="square" lIns="38100" tIns="19050" rIns="38100" bIns="19050" anchor="ctr" anchorCtr="1">
                <a:spAutoFit/>
              </a:bodyPr>
              <a:lstStyle/>
              <a:p>
                <a:pPr>
                  <a:defRPr lang="en-US"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удовољено</c:v>
                </c:pt>
                <c:pt idx="1">
                  <c:v>није одговорено</c:v>
                </c:pt>
              </c:strCache>
            </c:strRef>
          </c:cat>
          <c:val>
            <c:numRef>
              <c:f>Sheet1!$B$2:$B$3</c:f>
              <c:numCache>
                <c:formatCode>General</c:formatCode>
                <c:ptCount val="2"/>
                <c:pt idx="0">
                  <c:v>57</c:v>
                </c:pt>
                <c:pt idx="1">
                  <c:v>142</c:v>
                </c:pt>
              </c:numCache>
            </c:numRef>
          </c:val>
          <c:extLst>
            <c:ext xmlns:c16="http://schemas.microsoft.com/office/drawing/2014/chart" uri="{C3380CC4-5D6E-409C-BE32-E72D297353CC}">
              <c16:uniqueId val="{00000004-A7C6-41D8-A4D8-4F967E7BF061}"/>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lang="en-US" sz="900" b="0" i="0" u="none" strike="noStrike" kern="1200" baseline="0">
              <a:solidFill>
                <a:schemeClr val="dk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600" b="1" i="0" u="none" strike="noStrike" kern="1200" baseline="0">
                <a:solidFill>
                  <a:schemeClr val="tx1">
                    <a:lumMod val="65000"/>
                    <a:lumOff val="35000"/>
                  </a:schemeClr>
                </a:solidFill>
                <a:latin typeface="+mn-lt"/>
                <a:ea typeface="+mn-ea"/>
                <a:cs typeface="+mn-cs"/>
              </a:defRPr>
            </a:pPr>
            <a:r>
              <a:rPr lang="x-none" sz="1200" b="0"/>
              <a:t>Структура одлука Специјалног тужилаштва ЕУЛЕКС-а у Приштини по захтевима ТРЗ (2016-2020) </a:t>
            </a:r>
            <a:endParaRPr lang="en-US" sz="1200" b="0"/>
          </a:p>
        </c:rich>
      </c:tx>
      <c:layout>
        <c:manualLayout>
          <c:xMode val="edge"/>
          <c:yMode val="edge"/>
          <c:x val="0.10223034063089403"/>
          <c:y val="0"/>
        </c:manualLayout>
      </c:layout>
      <c:overlay val="0"/>
      <c:spPr>
        <a:noFill/>
        <a:ln>
          <a:noFill/>
        </a:ln>
        <a:effectLst/>
      </c:spPr>
    </c:title>
    <c:autoTitleDeleted val="0"/>
    <c:plotArea>
      <c:layout/>
      <c:pieChart>
        <c:varyColors val="1"/>
        <c:ser>
          <c:idx val="0"/>
          <c:order val="0"/>
          <c:tx>
            <c:strRef>
              <c:f>Sheet1!$B$1</c:f>
              <c:strCache>
                <c:ptCount val="1"/>
                <c:pt idx="0">
                  <c:v>Sales</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7978-41D4-877E-F9F13350EDB5}"/>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7978-41D4-877E-F9F13350EDB5}"/>
              </c:ext>
            </c:extLst>
          </c:dPt>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удовољено</c:v>
                </c:pt>
                <c:pt idx="1">
                  <c:v>није одговорено</c:v>
                </c:pt>
              </c:strCache>
            </c:strRef>
          </c:cat>
          <c:val>
            <c:numRef>
              <c:f>Sheet1!$B$2:$B$3</c:f>
              <c:numCache>
                <c:formatCode>General</c:formatCode>
                <c:ptCount val="2"/>
                <c:pt idx="0">
                  <c:v>8</c:v>
                </c:pt>
                <c:pt idx="1">
                  <c:v>90</c:v>
                </c:pt>
              </c:numCache>
            </c:numRef>
          </c:val>
          <c:extLst>
            <c:ext xmlns:c16="http://schemas.microsoft.com/office/drawing/2014/chart" uri="{C3380CC4-5D6E-409C-BE32-E72D297353CC}">
              <c16:uniqueId val="{00000004-7978-41D4-877E-F9F13350EDB5}"/>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1" i="0" u="none" strike="noStrike" kern="1200" cap="all" spc="50" baseline="0">
                <a:solidFill>
                  <a:schemeClr val="tx1">
                    <a:lumMod val="65000"/>
                    <a:lumOff val="35000"/>
                  </a:schemeClr>
                </a:solidFill>
                <a:latin typeface="+mn-lt"/>
                <a:ea typeface="+mn-ea"/>
                <a:cs typeface="+mn-cs"/>
              </a:defRPr>
            </a:pPr>
            <a:r>
              <a:rPr lang="x-none" b="0"/>
              <a:t>Укупна сарадња по замолницама (2016-2020)</a:t>
            </a:r>
            <a:endParaRPr lang="en-US" b="0"/>
          </a:p>
        </c:rich>
      </c:tx>
      <c:overlay val="0"/>
      <c:spPr>
        <a:noFill/>
        <a:ln>
          <a:noFill/>
        </a:ln>
        <a:effectLst/>
      </c:sp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CE68-4176-99B9-061A5DB2FF15}"/>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CE68-4176-99B9-061A5DB2FF15}"/>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CE68-4176-99B9-061A5DB2FF15}"/>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CE68-4176-99B9-061A5DB2FF15}"/>
              </c:ext>
            </c:extLst>
          </c:dPt>
          <c:dLbls>
            <c:spPr>
              <a:noFill/>
              <a:ln>
                <a:noFill/>
              </a:ln>
              <a:effectLst/>
            </c:spPr>
            <c:txPr>
              <a:bodyPr rot="0" spcFirstLastPara="1" vertOverflow="ellipsis" vert="horz" wrap="square" lIns="38100" tIns="19050" rIns="38100" bIns="19050" anchor="ctr" anchorCtr="1">
                <a:spAutoFit/>
              </a:bodyPr>
              <a:lstStyle/>
              <a:p>
                <a:pPr>
                  <a:defRPr lang="en-US"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Делимично удовољено</c:v>
                </c:pt>
                <c:pt idx="1">
                  <c:v>Није удовољено</c:v>
                </c:pt>
                <c:pt idx="2">
                  <c:v>Удовољено</c:v>
                </c:pt>
                <c:pt idx="3">
                  <c:v>У раду</c:v>
                </c:pt>
              </c:strCache>
            </c:strRef>
          </c:cat>
          <c:val>
            <c:numRef>
              <c:f>Sheet1!$B$2:$B$5</c:f>
              <c:numCache>
                <c:formatCode>General</c:formatCode>
                <c:ptCount val="4"/>
                <c:pt idx="0">
                  <c:v>35</c:v>
                </c:pt>
                <c:pt idx="1">
                  <c:v>57</c:v>
                </c:pt>
                <c:pt idx="2">
                  <c:v>711</c:v>
                </c:pt>
                <c:pt idx="3">
                  <c:v>172</c:v>
                </c:pt>
              </c:numCache>
            </c:numRef>
          </c:val>
          <c:extLst>
            <c:ext xmlns:c16="http://schemas.microsoft.com/office/drawing/2014/chart" uri="{C3380CC4-5D6E-409C-BE32-E72D297353CC}">
              <c16:uniqueId val="{00000008-CE68-4176-99B9-061A5DB2FF15}"/>
            </c:ext>
          </c:extLst>
        </c:ser>
        <c:dLbls>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1" i="0" u="none" strike="noStrike" kern="1200" cap="all" spc="50" baseline="0">
                <a:solidFill>
                  <a:schemeClr val="tx1">
                    <a:lumMod val="65000"/>
                    <a:lumOff val="35000"/>
                  </a:schemeClr>
                </a:solidFill>
                <a:latin typeface="+mn-lt"/>
                <a:ea typeface="+mn-ea"/>
                <a:cs typeface="+mn-cs"/>
              </a:defRPr>
            </a:pPr>
            <a:r>
              <a:rPr lang="x-none" sz="1200" b="0"/>
              <a:t>СТРУКТУРА ОДЛУКА ПО УПУЋЕНИМ ЗАМОЛНИЦАМА</a:t>
            </a:r>
          </a:p>
        </c:rich>
      </c:tx>
      <c:layout>
        <c:manualLayout>
          <c:xMode val="edge"/>
          <c:yMode val="edge"/>
          <c:x val="0.16803664879313401"/>
          <c:y val="0"/>
        </c:manualLayout>
      </c:layout>
      <c:overlay val="0"/>
      <c:spPr>
        <a:noFill/>
        <a:ln>
          <a:noFill/>
        </a:ln>
        <a:effectLst/>
      </c:spPr>
    </c:title>
    <c:autoTitleDeleted val="0"/>
    <c:plotArea>
      <c:layout>
        <c:manualLayout>
          <c:layoutTarget val="inner"/>
          <c:xMode val="edge"/>
          <c:yMode val="edge"/>
          <c:x val="0.11351700268235698"/>
          <c:y val="0.31906062762562853"/>
          <c:w val="0.60840598771307464"/>
          <c:h val="0.55833950062414062"/>
        </c:manualLayout>
      </c:layout>
      <c:pieChart>
        <c:varyColors val="1"/>
        <c:ser>
          <c:idx val="0"/>
          <c:order val="0"/>
          <c:tx>
            <c:strRef>
              <c:f>Sheet1!$B$1</c:f>
              <c:strCache>
                <c:ptCount val="1"/>
                <c:pt idx="0">
                  <c:v>СТРУКТУРА ОДЛУКА ПО УПУЋЕНИМ ЗАМОЛНИЦАМА</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B797-42E2-99D3-AF1FDF8A8DEB}"/>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B797-42E2-99D3-AF1FDF8A8DEB}"/>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B797-42E2-99D3-AF1FDF8A8DEB}"/>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B797-42E2-99D3-AF1FDF8A8DEB}"/>
              </c:ext>
            </c:extLst>
          </c:dPt>
          <c:dLbls>
            <c:spPr>
              <a:noFill/>
              <a:ln>
                <a:noFill/>
              </a:ln>
              <a:effectLst/>
            </c:spPr>
            <c:txPr>
              <a:bodyPr rot="0" spcFirstLastPara="1" vertOverflow="ellipsis" vert="horz" wrap="square" lIns="38100" tIns="19050" rIns="38100" bIns="19050" anchor="ctr" anchorCtr="1">
                <a:spAutoFit/>
              </a:bodyPr>
              <a:lstStyle/>
              <a:p>
                <a:pPr>
                  <a:defRPr lang="en-US"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Делимично удовољено</c:v>
                </c:pt>
                <c:pt idx="1">
                  <c:v>Није удовољено</c:v>
                </c:pt>
                <c:pt idx="2">
                  <c:v>Удовољено</c:v>
                </c:pt>
                <c:pt idx="3">
                  <c:v>У раду</c:v>
                </c:pt>
              </c:strCache>
            </c:strRef>
          </c:cat>
          <c:val>
            <c:numRef>
              <c:f>Sheet1!$B$2:$B$5</c:f>
              <c:numCache>
                <c:formatCode>General</c:formatCode>
                <c:ptCount val="4"/>
                <c:pt idx="0">
                  <c:v>15</c:v>
                </c:pt>
                <c:pt idx="1">
                  <c:v>17</c:v>
                </c:pt>
                <c:pt idx="2">
                  <c:v>281</c:v>
                </c:pt>
                <c:pt idx="3">
                  <c:v>44</c:v>
                </c:pt>
              </c:numCache>
            </c:numRef>
          </c:val>
          <c:extLst>
            <c:ext xmlns:c16="http://schemas.microsoft.com/office/drawing/2014/chart" uri="{C3380CC4-5D6E-409C-BE32-E72D297353CC}">
              <c16:uniqueId val="{00000008-B797-42E2-99D3-AF1FDF8A8DEB}"/>
            </c:ext>
          </c:extLst>
        </c:ser>
        <c:dLbls>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lang="en-US" sz="1400" b="1" i="0" u="none" strike="noStrike" kern="1200" cap="all" spc="50" baseline="0">
                <a:solidFill>
                  <a:sysClr val="windowText" lastClr="000000">
                    <a:lumMod val="65000"/>
                    <a:lumOff val="35000"/>
                  </a:sysClr>
                </a:solidFill>
                <a:latin typeface="+mn-lt"/>
                <a:ea typeface="+mn-ea"/>
                <a:cs typeface="+mn-cs"/>
              </a:defRPr>
            </a:pPr>
            <a:r>
              <a:rPr lang="x-none" sz="1200" b="0" i="0" cap="all" baseline="0">
                <a:effectLst/>
              </a:rPr>
              <a:t>СТРУКТУРА ОДЛУКА ПО ПРИМЉЕНИМ ЗАМОЛНИЦАМА</a:t>
            </a:r>
          </a:p>
        </c:rich>
      </c:tx>
      <c:layout>
        <c:manualLayout>
          <c:xMode val="edge"/>
          <c:yMode val="edge"/>
          <c:x val="0.12900012681430925"/>
          <c:y val="0"/>
        </c:manualLayout>
      </c:layout>
      <c:overlay val="0"/>
      <c:spPr>
        <a:noFill/>
        <a:ln>
          <a:noFill/>
        </a:ln>
        <a:effectLst/>
      </c:spPr>
    </c:title>
    <c:autoTitleDeleted val="0"/>
    <c:plotArea>
      <c:layout>
        <c:manualLayout>
          <c:layoutTarget val="inner"/>
          <c:xMode val="edge"/>
          <c:yMode val="edge"/>
          <c:x val="0.21031214436409224"/>
          <c:y val="0.33537726956702746"/>
          <c:w val="0.59417601560866851"/>
          <c:h val="0.54168527441532521"/>
        </c:manualLayout>
      </c:layout>
      <c:pieChart>
        <c:varyColors val="1"/>
        <c:ser>
          <c:idx val="0"/>
          <c:order val="0"/>
          <c:tx>
            <c:strRef>
              <c:f>Sheet1!$B$1</c:f>
              <c:strCache>
                <c:ptCount val="1"/>
                <c:pt idx="0">
                  <c:v>Sales</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8B29-4534-920D-B6CCE4075F39}"/>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8B29-4534-920D-B6CCE4075F39}"/>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8B29-4534-920D-B6CCE4075F39}"/>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8B29-4534-920D-B6CCE4075F39}"/>
              </c:ext>
            </c:extLst>
          </c:dPt>
          <c:dLbls>
            <c:spPr>
              <a:noFill/>
              <a:ln>
                <a:noFill/>
              </a:ln>
              <a:effectLst/>
            </c:spPr>
            <c:txPr>
              <a:bodyPr rot="0" spcFirstLastPara="1" vertOverflow="ellipsis" vert="horz" wrap="square" lIns="38100" tIns="19050" rIns="38100" bIns="19050" anchor="ctr" anchorCtr="1">
                <a:spAutoFit/>
              </a:bodyPr>
              <a:lstStyle/>
              <a:p>
                <a:pPr>
                  <a:defRPr lang="en-US"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Делимично удовољено</c:v>
                </c:pt>
                <c:pt idx="1">
                  <c:v>Није удовољено</c:v>
                </c:pt>
                <c:pt idx="2">
                  <c:v>Удовољено</c:v>
                </c:pt>
                <c:pt idx="3">
                  <c:v>У раду</c:v>
                </c:pt>
              </c:strCache>
            </c:strRef>
          </c:cat>
          <c:val>
            <c:numRef>
              <c:f>Sheet1!$B$2:$B$5</c:f>
              <c:numCache>
                <c:formatCode>General</c:formatCode>
                <c:ptCount val="4"/>
                <c:pt idx="0">
                  <c:v>20</c:v>
                </c:pt>
                <c:pt idx="1">
                  <c:v>40</c:v>
                </c:pt>
                <c:pt idx="2">
                  <c:v>430</c:v>
                </c:pt>
                <c:pt idx="3">
                  <c:v>128</c:v>
                </c:pt>
              </c:numCache>
            </c:numRef>
          </c:val>
          <c:extLst>
            <c:ext xmlns:c16="http://schemas.microsoft.com/office/drawing/2014/chart" uri="{C3380CC4-5D6E-409C-BE32-E72D297353CC}">
              <c16:uniqueId val="{00000008-8B29-4534-920D-B6CCE4075F39}"/>
            </c:ext>
          </c:extLst>
        </c:ser>
        <c:dLbls>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x-none"/>
              <a:t>НЕРЕШЕНИ КТ</a:t>
            </a:r>
            <a:r>
              <a:rPr lang="x-none" baseline="0"/>
              <a:t> и КТИ  у периоду 2016-2020.</a:t>
            </a:r>
            <a:endParaRPr lang="en-US"/>
          </a:p>
        </c:rich>
      </c:tx>
      <c:overlay val="0"/>
      <c:spPr>
        <a:noFill/>
        <a:ln>
          <a:noFill/>
        </a:ln>
        <a:effectLst/>
      </c:spPr>
    </c:title>
    <c:autoTitleDeleted val="0"/>
    <c:plotArea>
      <c:layout/>
      <c:barChart>
        <c:barDir val="col"/>
        <c:grouping val="clustered"/>
        <c:varyColors val="0"/>
        <c:ser>
          <c:idx val="0"/>
          <c:order val="0"/>
          <c:tx>
            <c:strRef>
              <c:f>Sheet1!$B$1</c:f>
              <c:strCache>
                <c:ptCount val="1"/>
                <c:pt idx="0">
                  <c:v>Број КТ предмета</c:v>
                </c:pt>
              </c:strCache>
            </c:strRef>
          </c:tx>
          <c:spPr>
            <a:solidFill>
              <a:schemeClr val="accent1"/>
            </a:solidFill>
            <a:ln>
              <a:noFill/>
            </a:ln>
            <a:effectLst/>
          </c:spPr>
          <c:invertIfNegative val="0"/>
          <c:cat>
            <c:numRef>
              <c:f>Sheet1!$A$2:$A$6</c:f>
              <c:numCache>
                <c:formatCode>General</c:formatCode>
                <c:ptCount val="5"/>
                <c:pt idx="0">
                  <c:v>2016</c:v>
                </c:pt>
                <c:pt idx="1">
                  <c:v>2017</c:v>
                </c:pt>
                <c:pt idx="2">
                  <c:v>2018</c:v>
                </c:pt>
                <c:pt idx="3">
                  <c:v>2019</c:v>
                </c:pt>
                <c:pt idx="4">
                  <c:v>2020</c:v>
                </c:pt>
              </c:numCache>
            </c:numRef>
          </c:cat>
          <c:val>
            <c:numRef>
              <c:f>Sheet1!$B$2:$B$6</c:f>
              <c:numCache>
                <c:formatCode>General</c:formatCode>
                <c:ptCount val="5"/>
                <c:pt idx="0">
                  <c:v>3</c:v>
                </c:pt>
                <c:pt idx="1">
                  <c:v>9</c:v>
                </c:pt>
                <c:pt idx="2">
                  <c:v>5</c:v>
                </c:pt>
                <c:pt idx="3">
                  <c:v>4</c:v>
                </c:pt>
                <c:pt idx="4">
                  <c:v>0</c:v>
                </c:pt>
              </c:numCache>
            </c:numRef>
          </c:val>
          <c:extLst>
            <c:ext xmlns:c16="http://schemas.microsoft.com/office/drawing/2014/chart" uri="{C3380CC4-5D6E-409C-BE32-E72D297353CC}">
              <c16:uniqueId val="{00000000-3A99-4202-971E-C15DF37656C4}"/>
            </c:ext>
          </c:extLst>
        </c:ser>
        <c:ser>
          <c:idx val="1"/>
          <c:order val="1"/>
          <c:tx>
            <c:strRef>
              <c:f>Sheet1!$C$1</c:f>
              <c:strCache>
                <c:ptCount val="1"/>
                <c:pt idx="0">
                  <c:v>Број лица против којих се спроводи предистражни поступак</c:v>
                </c:pt>
              </c:strCache>
            </c:strRef>
          </c:tx>
          <c:spPr>
            <a:solidFill>
              <a:schemeClr val="accent2"/>
            </a:solidFill>
            <a:ln>
              <a:noFill/>
            </a:ln>
            <a:effectLst/>
          </c:spPr>
          <c:invertIfNegative val="0"/>
          <c:cat>
            <c:numRef>
              <c:f>Sheet1!$A$2:$A$6</c:f>
              <c:numCache>
                <c:formatCode>General</c:formatCode>
                <c:ptCount val="5"/>
                <c:pt idx="0">
                  <c:v>2016</c:v>
                </c:pt>
                <c:pt idx="1">
                  <c:v>2017</c:v>
                </c:pt>
                <c:pt idx="2">
                  <c:v>2018</c:v>
                </c:pt>
                <c:pt idx="3">
                  <c:v>2019</c:v>
                </c:pt>
                <c:pt idx="4">
                  <c:v>2020</c:v>
                </c:pt>
              </c:numCache>
            </c:numRef>
          </c:cat>
          <c:val>
            <c:numRef>
              <c:f>Sheet1!$C$2:$C$6</c:f>
              <c:numCache>
                <c:formatCode>General</c:formatCode>
                <c:ptCount val="5"/>
                <c:pt idx="0">
                  <c:v>13</c:v>
                </c:pt>
                <c:pt idx="1">
                  <c:v>31</c:v>
                </c:pt>
                <c:pt idx="2">
                  <c:v>15</c:v>
                </c:pt>
                <c:pt idx="3">
                  <c:v>12</c:v>
                </c:pt>
                <c:pt idx="4">
                  <c:v>0</c:v>
                </c:pt>
              </c:numCache>
            </c:numRef>
          </c:val>
          <c:extLst>
            <c:ext xmlns:c16="http://schemas.microsoft.com/office/drawing/2014/chart" uri="{C3380CC4-5D6E-409C-BE32-E72D297353CC}">
              <c16:uniqueId val="{00000001-3A99-4202-971E-C15DF37656C4}"/>
            </c:ext>
          </c:extLst>
        </c:ser>
        <c:ser>
          <c:idx val="2"/>
          <c:order val="2"/>
          <c:tx>
            <c:strRef>
              <c:f>Sheet1!$D$1</c:f>
              <c:strCache>
                <c:ptCount val="1"/>
                <c:pt idx="0">
                  <c:v>Број истрага</c:v>
                </c:pt>
              </c:strCache>
            </c:strRef>
          </c:tx>
          <c:spPr>
            <a:solidFill>
              <a:schemeClr val="accent3"/>
            </a:solidFill>
            <a:ln>
              <a:noFill/>
            </a:ln>
            <a:effectLst/>
          </c:spPr>
          <c:invertIfNegative val="0"/>
          <c:cat>
            <c:numRef>
              <c:f>Sheet1!$A$2:$A$6</c:f>
              <c:numCache>
                <c:formatCode>General</c:formatCode>
                <c:ptCount val="5"/>
                <c:pt idx="0">
                  <c:v>2016</c:v>
                </c:pt>
                <c:pt idx="1">
                  <c:v>2017</c:v>
                </c:pt>
                <c:pt idx="2">
                  <c:v>2018</c:v>
                </c:pt>
                <c:pt idx="3">
                  <c:v>2019</c:v>
                </c:pt>
                <c:pt idx="4">
                  <c:v>2020</c:v>
                </c:pt>
              </c:numCache>
            </c:numRef>
          </c:cat>
          <c:val>
            <c:numRef>
              <c:f>Sheet1!$D$2:$D$6</c:f>
              <c:numCache>
                <c:formatCode>General</c:formatCode>
                <c:ptCount val="5"/>
                <c:pt idx="0">
                  <c:v>1</c:v>
                </c:pt>
                <c:pt idx="1">
                  <c:v>0</c:v>
                </c:pt>
                <c:pt idx="2">
                  <c:v>0</c:v>
                </c:pt>
                <c:pt idx="3">
                  <c:v>1</c:v>
                </c:pt>
                <c:pt idx="4">
                  <c:v>2</c:v>
                </c:pt>
              </c:numCache>
            </c:numRef>
          </c:val>
          <c:extLst>
            <c:ext xmlns:c16="http://schemas.microsoft.com/office/drawing/2014/chart" uri="{C3380CC4-5D6E-409C-BE32-E72D297353CC}">
              <c16:uniqueId val="{00000002-3A99-4202-971E-C15DF37656C4}"/>
            </c:ext>
          </c:extLst>
        </c:ser>
        <c:ser>
          <c:idx val="3"/>
          <c:order val="3"/>
          <c:tx>
            <c:strRef>
              <c:f>Sheet1!$E$1</c:f>
              <c:strCache>
                <c:ptCount val="1"/>
                <c:pt idx="0">
                  <c:v>Број лица против којих се спроводи истрага</c:v>
                </c:pt>
              </c:strCache>
            </c:strRef>
          </c:tx>
          <c:spPr>
            <a:solidFill>
              <a:schemeClr val="accent4"/>
            </a:solidFill>
            <a:ln>
              <a:noFill/>
            </a:ln>
            <a:effectLst/>
          </c:spPr>
          <c:invertIfNegative val="0"/>
          <c:cat>
            <c:numRef>
              <c:f>Sheet1!$A$2:$A$6</c:f>
              <c:numCache>
                <c:formatCode>General</c:formatCode>
                <c:ptCount val="5"/>
                <c:pt idx="0">
                  <c:v>2016</c:v>
                </c:pt>
                <c:pt idx="1">
                  <c:v>2017</c:v>
                </c:pt>
                <c:pt idx="2">
                  <c:v>2018</c:v>
                </c:pt>
                <c:pt idx="3">
                  <c:v>2019</c:v>
                </c:pt>
                <c:pt idx="4">
                  <c:v>2020</c:v>
                </c:pt>
              </c:numCache>
            </c:numRef>
          </c:cat>
          <c:val>
            <c:numRef>
              <c:f>Sheet1!$E$2:$E$6</c:f>
              <c:numCache>
                <c:formatCode>General</c:formatCode>
                <c:ptCount val="5"/>
                <c:pt idx="0">
                  <c:v>1</c:v>
                </c:pt>
                <c:pt idx="1">
                  <c:v>0</c:v>
                </c:pt>
                <c:pt idx="2">
                  <c:v>0</c:v>
                </c:pt>
                <c:pt idx="3">
                  <c:v>1</c:v>
                </c:pt>
                <c:pt idx="4">
                  <c:v>2</c:v>
                </c:pt>
              </c:numCache>
            </c:numRef>
          </c:val>
          <c:extLst>
            <c:ext xmlns:c16="http://schemas.microsoft.com/office/drawing/2014/chart" uri="{C3380CC4-5D6E-409C-BE32-E72D297353CC}">
              <c16:uniqueId val="{00000003-3A99-4202-971E-C15DF37656C4}"/>
            </c:ext>
          </c:extLst>
        </c:ser>
        <c:dLbls>
          <c:showLegendKey val="0"/>
          <c:showVal val="0"/>
          <c:showCatName val="0"/>
          <c:showSerName val="0"/>
          <c:showPercent val="0"/>
          <c:showBubbleSize val="0"/>
        </c:dLbls>
        <c:gapWidth val="150"/>
        <c:axId val="565759488"/>
        <c:axId val="566176576"/>
      </c:barChart>
      <c:catAx>
        <c:axId val="565759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6176576"/>
        <c:crosses val="autoZero"/>
        <c:auto val="1"/>
        <c:lblAlgn val="ctr"/>
        <c:lblOffset val="100"/>
        <c:noMultiLvlLbl val="0"/>
      </c:catAx>
      <c:valAx>
        <c:axId val="5661765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5759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lang="en-US" sz="1400" b="0" i="0" u="none" strike="noStrike" kern="1200" spc="0" baseline="0">
                <a:solidFill>
                  <a:sysClr val="windowText" lastClr="000000">
                    <a:lumMod val="65000"/>
                    <a:lumOff val="35000"/>
                  </a:sysClr>
                </a:solidFill>
                <a:latin typeface="+mn-lt"/>
                <a:ea typeface="+mn-ea"/>
                <a:cs typeface="+mn-cs"/>
              </a:defRPr>
            </a:pPr>
            <a:r>
              <a:rPr lang="x-none" sz="1400">
                <a:effectLst/>
              </a:rPr>
              <a:t>Однос броја оптужница ТРЗ и преузетих оптужница</a:t>
            </a:r>
            <a:endParaRPr lang="en-US" sz="1400">
              <a:effectLst/>
            </a:endParaRPr>
          </a:p>
        </c:rich>
      </c:tx>
      <c:overlay val="0"/>
      <c:spPr>
        <a:noFill/>
        <a:ln>
          <a:noFill/>
        </a:ln>
        <a:effectLst/>
      </c:spPr>
    </c:title>
    <c:autoTitleDeleted val="0"/>
    <c:plotArea>
      <c:layout/>
      <c:pieChart>
        <c:varyColors val="1"/>
        <c:ser>
          <c:idx val="0"/>
          <c:order val="0"/>
          <c:tx>
            <c:strRef>
              <c:f>Sheet1!$B$1</c:f>
              <c:strCache>
                <c:ptCount val="1"/>
                <c:pt idx="0">
                  <c:v>Удео оптужница</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119-4DAF-97E0-B124B1CB3DE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119-4DAF-97E0-B124B1CB3DEF}"/>
              </c:ext>
            </c:extLst>
          </c:dPt>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Оптужнице ТРЗ</c:v>
                </c:pt>
                <c:pt idx="1">
                  <c:v>Преузете оптужнице</c:v>
                </c:pt>
              </c:strCache>
            </c:strRef>
          </c:cat>
          <c:val>
            <c:numRef>
              <c:f>Sheet1!$B$2:$B$3</c:f>
              <c:numCache>
                <c:formatCode>General</c:formatCode>
                <c:ptCount val="2"/>
                <c:pt idx="0">
                  <c:v>12</c:v>
                </c:pt>
                <c:pt idx="1">
                  <c:v>22</c:v>
                </c:pt>
              </c:numCache>
            </c:numRef>
          </c:val>
          <c:extLst>
            <c:ext xmlns:c16="http://schemas.microsoft.com/office/drawing/2014/chart" uri="{C3380CC4-5D6E-409C-BE32-E72D297353CC}">
              <c16:uniqueId val="{00000004-4119-4DAF-97E0-B124B1CB3DEF}"/>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x-none"/>
              <a:t>Број потврђених оптужница по годинама</a:t>
            </a:r>
            <a:endParaRPr lang="en-US"/>
          </a:p>
        </c:rich>
      </c:tx>
      <c:overlay val="0"/>
      <c:spPr>
        <a:noFill/>
        <a:ln>
          <a:noFill/>
        </a:ln>
        <a:effectLst/>
      </c:spPr>
    </c:title>
    <c:autoTitleDeleted val="0"/>
    <c:plotArea>
      <c:layout/>
      <c:lineChart>
        <c:grouping val="standard"/>
        <c:varyColors val="0"/>
        <c:ser>
          <c:idx val="0"/>
          <c:order val="0"/>
          <c:tx>
            <c:strRef>
              <c:f>Sheet1!$B$1</c:f>
              <c:strCache>
                <c:ptCount val="1"/>
                <c:pt idx="0">
                  <c:v>Број потврђених оптужница ТРЗ</c:v>
                </c:pt>
              </c:strCache>
            </c:strRef>
          </c:tx>
          <c:spPr>
            <a:ln w="28575" cap="rnd">
              <a:solidFill>
                <a:schemeClr val="accent1"/>
              </a:solidFill>
              <a:round/>
            </a:ln>
            <a:effectLst/>
          </c:spPr>
          <c:marker>
            <c:symbol val="none"/>
          </c:marker>
          <c:cat>
            <c:numRef>
              <c:f>Sheet1!$A$2:$A$6</c:f>
              <c:numCache>
                <c:formatCode>General</c:formatCode>
                <c:ptCount val="5"/>
                <c:pt idx="0">
                  <c:v>2016</c:v>
                </c:pt>
                <c:pt idx="1">
                  <c:v>2017</c:v>
                </c:pt>
                <c:pt idx="2">
                  <c:v>2018</c:v>
                </c:pt>
                <c:pt idx="3">
                  <c:v>2019</c:v>
                </c:pt>
                <c:pt idx="4">
                  <c:v>2020</c:v>
                </c:pt>
              </c:numCache>
            </c:numRef>
          </c:cat>
          <c:val>
            <c:numRef>
              <c:f>Sheet1!$B$2:$B$6</c:f>
              <c:numCache>
                <c:formatCode>General</c:formatCode>
                <c:ptCount val="5"/>
                <c:pt idx="0">
                  <c:v>0</c:v>
                </c:pt>
                <c:pt idx="1">
                  <c:v>1</c:v>
                </c:pt>
                <c:pt idx="2">
                  <c:v>4</c:v>
                </c:pt>
                <c:pt idx="3">
                  <c:v>1</c:v>
                </c:pt>
                <c:pt idx="4">
                  <c:v>2</c:v>
                </c:pt>
              </c:numCache>
            </c:numRef>
          </c:val>
          <c:smooth val="0"/>
          <c:extLst>
            <c:ext xmlns:c16="http://schemas.microsoft.com/office/drawing/2014/chart" uri="{C3380CC4-5D6E-409C-BE32-E72D297353CC}">
              <c16:uniqueId val="{00000000-B09C-49B5-9BB7-73A630C4979E}"/>
            </c:ext>
          </c:extLst>
        </c:ser>
        <c:ser>
          <c:idx val="1"/>
          <c:order val="1"/>
          <c:tx>
            <c:strRef>
              <c:f>Sheet1!$C$1</c:f>
              <c:strCache>
                <c:ptCount val="1"/>
                <c:pt idx="0">
                  <c:v>Број преузетих оптужница</c:v>
                </c:pt>
              </c:strCache>
            </c:strRef>
          </c:tx>
          <c:spPr>
            <a:ln w="28575" cap="rnd">
              <a:solidFill>
                <a:schemeClr val="accent2"/>
              </a:solidFill>
              <a:round/>
            </a:ln>
            <a:effectLst/>
          </c:spPr>
          <c:marker>
            <c:symbol val="none"/>
          </c:marker>
          <c:cat>
            <c:numRef>
              <c:f>Sheet1!$A$2:$A$6</c:f>
              <c:numCache>
                <c:formatCode>General</c:formatCode>
                <c:ptCount val="5"/>
                <c:pt idx="0">
                  <c:v>2016</c:v>
                </c:pt>
                <c:pt idx="1">
                  <c:v>2017</c:v>
                </c:pt>
                <c:pt idx="2">
                  <c:v>2018</c:v>
                </c:pt>
                <c:pt idx="3">
                  <c:v>2019</c:v>
                </c:pt>
                <c:pt idx="4">
                  <c:v>2020</c:v>
                </c:pt>
              </c:numCache>
            </c:numRef>
          </c:cat>
          <c:val>
            <c:numRef>
              <c:f>Sheet1!$C$2:$C$6</c:f>
              <c:numCache>
                <c:formatCode>General</c:formatCode>
                <c:ptCount val="5"/>
                <c:pt idx="0">
                  <c:v>6</c:v>
                </c:pt>
                <c:pt idx="1">
                  <c:v>4</c:v>
                </c:pt>
                <c:pt idx="2">
                  <c:v>5</c:v>
                </c:pt>
                <c:pt idx="3">
                  <c:v>3</c:v>
                </c:pt>
                <c:pt idx="4">
                  <c:v>5</c:v>
                </c:pt>
              </c:numCache>
            </c:numRef>
          </c:val>
          <c:smooth val="0"/>
          <c:extLst>
            <c:ext xmlns:c16="http://schemas.microsoft.com/office/drawing/2014/chart" uri="{C3380CC4-5D6E-409C-BE32-E72D297353CC}">
              <c16:uniqueId val="{00000001-B09C-49B5-9BB7-73A630C4979E}"/>
            </c:ext>
          </c:extLst>
        </c:ser>
        <c:ser>
          <c:idx val="2"/>
          <c:order val="2"/>
          <c:tx>
            <c:strRef>
              <c:f>Sheet1!$D$1</c:f>
              <c:strCache>
                <c:ptCount val="1"/>
                <c:pt idx="0">
                  <c:v>Укупан број потврђених оптужница</c:v>
                </c:pt>
              </c:strCache>
            </c:strRef>
          </c:tx>
          <c:spPr>
            <a:ln w="28575" cap="rnd">
              <a:solidFill>
                <a:schemeClr val="accent3"/>
              </a:solidFill>
              <a:round/>
            </a:ln>
            <a:effectLst/>
          </c:spPr>
          <c:marker>
            <c:symbol val="none"/>
          </c:marker>
          <c:cat>
            <c:numRef>
              <c:f>Sheet1!$A$2:$A$6</c:f>
              <c:numCache>
                <c:formatCode>General</c:formatCode>
                <c:ptCount val="5"/>
                <c:pt idx="0">
                  <c:v>2016</c:v>
                </c:pt>
                <c:pt idx="1">
                  <c:v>2017</c:v>
                </c:pt>
                <c:pt idx="2">
                  <c:v>2018</c:v>
                </c:pt>
                <c:pt idx="3">
                  <c:v>2019</c:v>
                </c:pt>
                <c:pt idx="4">
                  <c:v>2020</c:v>
                </c:pt>
              </c:numCache>
            </c:numRef>
          </c:cat>
          <c:val>
            <c:numRef>
              <c:f>Sheet1!$D$2:$D$6</c:f>
              <c:numCache>
                <c:formatCode>General</c:formatCode>
                <c:ptCount val="5"/>
                <c:pt idx="0">
                  <c:v>6</c:v>
                </c:pt>
                <c:pt idx="1">
                  <c:v>5</c:v>
                </c:pt>
                <c:pt idx="2">
                  <c:v>9</c:v>
                </c:pt>
                <c:pt idx="3">
                  <c:v>4</c:v>
                </c:pt>
                <c:pt idx="4">
                  <c:v>7</c:v>
                </c:pt>
              </c:numCache>
            </c:numRef>
          </c:val>
          <c:smooth val="0"/>
          <c:extLst>
            <c:ext xmlns:c16="http://schemas.microsoft.com/office/drawing/2014/chart" uri="{C3380CC4-5D6E-409C-BE32-E72D297353CC}">
              <c16:uniqueId val="{00000002-B09C-49B5-9BB7-73A630C4979E}"/>
            </c:ext>
          </c:extLst>
        </c:ser>
        <c:dLbls>
          <c:showLegendKey val="0"/>
          <c:showVal val="0"/>
          <c:showCatName val="0"/>
          <c:showSerName val="0"/>
          <c:showPercent val="0"/>
          <c:showBubbleSize val="0"/>
        </c:dLbls>
        <c:smooth val="0"/>
        <c:axId val="565757440"/>
        <c:axId val="566179456"/>
      </c:lineChart>
      <c:catAx>
        <c:axId val="565757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6179456"/>
        <c:crosses val="autoZero"/>
        <c:auto val="1"/>
        <c:lblAlgn val="ctr"/>
        <c:lblOffset val="100"/>
        <c:noMultiLvlLbl val="0"/>
      </c:catAx>
      <c:valAx>
        <c:axId val="566179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5757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x-none"/>
              <a:t>Удео преузетих у укупном броју потврђених оптужница по годинама </a:t>
            </a:r>
          </a:p>
        </c:rich>
      </c:tx>
      <c:overlay val="0"/>
      <c:spPr>
        <a:noFill/>
        <a:ln>
          <a:noFill/>
        </a:ln>
        <a:effectLst/>
      </c:spPr>
    </c:title>
    <c:autoTitleDeleted val="0"/>
    <c:plotArea>
      <c:layout/>
      <c:lineChart>
        <c:grouping val="standard"/>
        <c:varyColors val="0"/>
        <c:ser>
          <c:idx val="0"/>
          <c:order val="0"/>
          <c:tx>
            <c:strRef>
              <c:f>Sheet1!$B$1</c:f>
              <c:strCache>
                <c:ptCount val="1"/>
                <c:pt idx="0">
                  <c:v>Удео преузетих у укупном броју потврђених оптужница </c:v>
                </c:pt>
              </c:strCache>
            </c:strRef>
          </c:tx>
          <c:spPr>
            <a:ln w="28575" cap="rnd">
              <a:solidFill>
                <a:schemeClr val="accent1"/>
              </a:solidFill>
              <a:round/>
            </a:ln>
            <a:effectLst/>
          </c:spPr>
          <c:marker>
            <c:symbol val="none"/>
          </c:marker>
          <c:cat>
            <c:numRef>
              <c:f>Sheet1!$A$2:$A$6</c:f>
              <c:numCache>
                <c:formatCode>General</c:formatCode>
                <c:ptCount val="5"/>
                <c:pt idx="0">
                  <c:v>2016</c:v>
                </c:pt>
                <c:pt idx="1">
                  <c:v>2017</c:v>
                </c:pt>
                <c:pt idx="2">
                  <c:v>2018</c:v>
                </c:pt>
                <c:pt idx="3">
                  <c:v>2019</c:v>
                </c:pt>
                <c:pt idx="4">
                  <c:v>2020</c:v>
                </c:pt>
              </c:numCache>
            </c:numRef>
          </c:cat>
          <c:val>
            <c:numRef>
              <c:f>Sheet1!$B$2:$B$6</c:f>
              <c:numCache>
                <c:formatCode>0%</c:formatCode>
                <c:ptCount val="5"/>
                <c:pt idx="0">
                  <c:v>1</c:v>
                </c:pt>
                <c:pt idx="1">
                  <c:v>0.8</c:v>
                </c:pt>
                <c:pt idx="2">
                  <c:v>0.55000000000000004</c:v>
                </c:pt>
                <c:pt idx="3">
                  <c:v>0.75000000000000022</c:v>
                </c:pt>
                <c:pt idx="4">
                  <c:v>0.71000000000000019</c:v>
                </c:pt>
              </c:numCache>
            </c:numRef>
          </c:val>
          <c:smooth val="0"/>
          <c:extLst>
            <c:ext xmlns:c16="http://schemas.microsoft.com/office/drawing/2014/chart" uri="{C3380CC4-5D6E-409C-BE32-E72D297353CC}">
              <c16:uniqueId val="{00000000-0AB2-4981-8A4A-FD11C7135851}"/>
            </c:ext>
          </c:extLst>
        </c:ser>
        <c:dLbls>
          <c:showLegendKey val="0"/>
          <c:showVal val="0"/>
          <c:showCatName val="0"/>
          <c:showSerName val="0"/>
          <c:showPercent val="0"/>
          <c:showBubbleSize val="0"/>
        </c:dLbls>
        <c:smooth val="0"/>
        <c:axId val="566829568"/>
        <c:axId val="566181184"/>
      </c:lineChart>
      <c:catAx>
        <c:axId val="566829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6181184"/>
        <c:crosses val="autoZero"/>
        <c:auto val="1"/>
        <c:lblAlgn val="ctr"/>
        <c:lblOffset val="100"/>
        <c:noMultiLvlLbl val="0"/>
      </c:catAx>
      <c:valAx>
        <c:axId val="5661811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6829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x-none" sz="1200"/>
              <a:t>Број</a:t>
            </a:r>
            <a:r>
              <a:rPr lang="x-none" sz="1200" baseline="0"/>
              <a:t> првостепених и укинутих првостепених пресуда по годинама</a:t>
            </a:r>
            <a:endParaRPr lang="en-US" sz="1200"/>
          </a:p>
        </c:rich>
      </c:tx>
      <c:overlay val="0"/>
      <c:spPr>
        <a:noFill/>
        <a:ln>
          <a:noFill/>
        </a:ln>
        <a:effectLst/>
      </c:spPr>
    </c:title>
    <c:autoTitleDeleted val="0"/>
    <c:plotArea>
      <c:layout/>
      <c:lineChart>
        <c:grouping val="standard"/>
        <c:varyColors val="0"/>
        <c:ser>
          <c:idx val="0"/>
          <c:order val="0"/>
          <c:tx>
            <c:strRef>
              <c:f>Sheet1!$B$1</c:f>
              <c:strCache>
                <c:ptCount val="1"/>
                <c:pt idx="0">
                  <c:v>Број првостепених пресуда</c:v>
                </c:pt>
              </c:strCache>
            </c:strRef>
          </c:tx>
          <c:spPr>
            <a:ln w="28575" cap="rnd">
              <a:solidFill>
                <a:schemeClr val="accent1"/>
              </a:solidFill>
              <a:round/>
            </a:ln>
            <a:effectLst/>
          </c:spPr>
          <c:marker>
            <c:symbol val="none"/>
          </c:marker>
          <c:cat>
            <c:numRef>
              <c:f>Sheet1!$A$2:$A$6</c:f>
              <c:numCache>
                <c:formatCode>General</c:formatCode>
                <c:ptCount val="5"/>
                <c:pt idx="0">
                  <c:v>2016</c:v>
                </c:pt>
                <c:pt idx="1">
                  <c:v>2017</c:v>
                </c:pt>
                <c:pt idx="2">
                  <c:v>2018</c:v>
                </c:pt>
                <c:pt idx="3">
                  <c:v>2019</c:v>
                </c:pt>
                <c:pt idx="4">
                  <c:v>2020</c:v>
                </c:pt>
              </c:numCache>
            </c:numRef>
          </c:cat>
          <c:val>
            <c:numRef>
              <c:f>Sheet1!$B$2:$B$6</c:f>
              <c:numCache>
                <c:formatCode>General</c:formatCode>
                <c:ptCount val="5"/>
                <c:pt idx="0">
                  <c:v>3</c:v>
                </c:pt>
                <c:pt idx="1">
                  <c:v>1</c:v>
                </c:pt>
                <c:pt idx="2">
                  <c:v>1</c:v>
                </c:pt>
                <c:pt idx="3">
                  <c:v>8</c:v>
                </c:pt>
                <c:pt idx="4">
                  <c:v>5</c:v>
                </c:pt>
              </c:numCache>
            </c:numRef>
          </c:val>
          <c:smooth val="0"/>
          <c:extLst>
            <c:ext xmlns:c16="http://schemas.microsoft.com/office/drawing/2014/chart" uri="{C3380CC4-5D6E-409C-BE32-E72D297353CC}">
              <c16:uniqueId val="{00000000-AE07-4038-A07A-2FA6BA585C1B}"/>
            </c:ext>
          </c:extLst>
        </c:ser>
        <c:dLbls>
          <c:showLegendKey val="0"/>
          <c:showVal val="0"/>
          <c:showCatName val="0"/>
          <c:showSerName val="0"/>
          <c:showPercent val="0"/>
          <c:showBubbleSize val="0"/>
        </c:dLbls>
        <c:smooth val="0"/>
        <c:axId val="566830080"/>
        <c:axId val="566412416"/>
      </c:lineChart>
      <c:catAx>
        <c:axId val="566830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6412416"/>
        <c:crosses val="autoZero"/>
        <c:auto val="1"/>
        <c:lblAlgn val="ctr"/>
        <c:lblOffset val="100"/>
        <c:noMultiLvlLbl val="0"/>
      </c:catAx>
      <c:valAx>
        <c:axId val="566412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566830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600" b="1" i="0" u="none" strike="noStrike" kern="1200" spc="0" normalizeH="0" baseline="0">
                <a:solidFill>
                  <a:schemeClr val="dk1">
                    <a:lumMod val="50000"/>
                    <a:lumOff val="50000"/>
                  </a:schemeClr>
                </a:solidFill>
                <a:latin typeface="+mj-lt"/>
                <a:ea typeface="+mj-ea"/>
                <a:cs typeface="+mj-cs"/>
              </a:defRPr>
            </a:pPr>
            <a:r>
              <a:rPr lang="x-none"/>
              <a:t>Одлуке по жалби на првостепену пресуду </a:t>
            </a:r>
            <a:endParaRPr lang="en-US"/>
          </a:p>
        </c:rich>
      </c:tx>
      <c:layout>
        <c:manualLayout>
          <c:xMode val="edge"/>
          <c:yMode val="edge"/>
          <c:x val="0.13927947832951987"/>
          <c:y val="2.037489812550939E-2"/>
        </c:manualLayout>
      </c:layout>
      <c:overlay val="0"/>
      <c:spPr>
        <a:noFill/>
        <a:ln>
          <a:noFill/>
        </a:ln>
        <a:effectLst/>
      </c:spPr>
    </c:title>
    <c:autoTitleDeleted val="0"/>
    <c:plotArea>
      <c:layout/>
      <c:pieChart>
        <c:varyColors val="1"/>
        <c:ser>
          <c:idx val="0"/>
          <c:order val="0"/>
          <c:tx>
            <c:strRef>
              <c:f>Sheet1!$B$1</c:f>
              <c:strCache>
                <c:ptCount val="1"/>
                <c:pt idx="0">
                  <c:v>Sales</c:v>
                </c:pt>
              </c:strCache>
            </c:strRef>
          </c:tx>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9863-4FBA-95FF-5B0A55C5F3BC}"/>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9863-4FBA-95FF-5B0A55C5F3BC}"/>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9863-4FBA-95FF-5B0A55C5F3BC}"/>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9863-4FBA-95FF-5B0A55C5F3BC}"/>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9863-4FBA-95FF-5B0A55C5F3BC}"/>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9863-4FBA-95FF-5B0A55C5F3BC}"/>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9863-4FBA-95FF-5B0A55C5F3BC}"/>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9863-4FBA-95FF-5B0A55C5F3BC}"/>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9863-4FBA-95FF-5B0A55C5F3BC}"/>
              </c:ext>
            </c:extLst>
          </c:dPt>
          <c:dPt>
            <c:idx val="9"/>
            <c:bubble3D val="0"/>
            <c:spPr>
              <a:gradFill>
                <a:gsLst>
                  <a:gs pos="100000">
                    <a:schemeClr val="accent4">
                      <a:lumMod val="60000"/>
                      <a:lumMod val="60000"/>
                      <a:lumOff val="40000"/>
                    </a:schemeClr>
                  </a:gs>
                  <a:gs pos="0">
                    <a:schemeClr val="accent4">
                      <a:lumMod val="60000"/>
                    </a:schemeClr>
                  </a:gs>
                </a:gsLst>
                <a:lin ang="5400000" scaled="0"/>
              </a:gradFill>
              <a:ln w="19050">
                <a:solidFill>
                  <a:schemeClr val="lt1"/>
                </a:solidFill>
              </a:ln>
              <a:effectLst/>
            </c:spPr>
            <c:extLst>
              <c:ext xmlns:c16="http://schemas.microsoft.com/office/drawing/2014/chart" uri="{C3380CC4-5D6E-409C-BE32-E72D297353CC}">
                <c16:uniqueId val="{00000013-9863-4FBA-95FF-5B0A55C5F3BC}"/>
              </c:ext>
            </c:extLst>
          </c:dPt>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dk1">
                        <a:lumMod val="75000"/>
                        <a:lumOff val="25000"/>
                      </a:schemeClr>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Sheet1!$A$2:$A$11</c:f>
              <c:strCache>
                <c:ptCount val="10"/>
                <c:pt idx="0">
                  <c:v>Делимично потврђено</c:v>
                </c:pt>
                <c:pt idx="1">
                  <c:v>Делимично преиначено </c:v>
                </c:pt>
                <c:pt idx="2">
                  <c:v>Делимично укинуто </c:v>
                </c:pt>
                <c:pt idx="3">
                  <c:v>Одбачено</c:v>
                </c:pt>
                <c:pt idx="4">
                  <c:v>Одбијено</c:v>
                </c:pt>
                <c:pt idx="5">
                  <c:v>Поступак обустављен</c:v>
                </c:pt>
                <c:pt idx="6">
                  <c:v>Потврђено </c:v>
                </c:pt>
                <c:pt idx="7">
                  <c:v>Преиначено</c:v>
                </c:pt>
                <c:pt idx="8">
                  <c:v>Укинуто </c:v>
                </c:pt>
                <c:pt idx="9">
                  <c:v>Усвојено</c:v>
                </c:pt>
              </c:strCache>
            </c:strRef>
          </c:cat>
          <c:val>
            <c:numRef>
              <c:f>Sheet1!$B$2:$B$11</c:f>
              <c:numCache>
                <c:formatCode>General</c:formatCode>
                <c:ptCount val="10"/>
                <c:pt idx="0">
                  <c:v>1</c:v>
                </c:pt>
                <c:pt idx="1">
                  <c:v>5</c:v>
                </c:pt>
                <c:pt idx="2">
                  <c:v>0</c:v>
                </c:pt>
                <c:pt idx="3">
                  <c:v>0</c:v>
                </c:pt>
                <c:pt idx="4">
                  <c:v>0</c:v>
                </c:pt>
                <c:pt idx="5">
                  <c:v>0</c:v>
                </c:pt>
                <c:pt idx="6">
                  <c:v>10</c:v>
                </c:pt>
                <c:pt idx="7">
                  <c:v>3</c:v>
                </c:pt>
                <c:pt idx="8">
                  <c:v>4</c:v>
                </c:pt>
                <c:pt idx="9">
                  <c:v>0</c:v>
                </c:pt>
              </c:numCache>
            </c:numRef>
          </c:val>
          <c:extLst>
            <c:ext xmlns:c16="http://schemas.microsoft.com/office/drawing/2014/chart" uri="{C3380CC4-5D6E-409C-BE32-E72D297353CC}">
              <c16:uniqueId val="{00000014-9863-4FBA-95FF-5B0A55C5F3BC}"/>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lang="en-US" sz="900" b="0" i="0" u="none" strike="noStrike" kern="1200" baseline="0">
              <a:solidFill>
                <a:schemeClr val="dk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x-none" sz="1200"/>
              <a:t>Структура одлука по захтевима-БиХ (2016-2020)</a:t>
            </a:r>
          </a:p>
        </c:rich>
      </c:tx>
      <c:layout>
        <c:manualLayout>
          <c:xMode val="edge"/>
          <c:yMode val="edge"/>
          <c:x val="0.11421776005505739"/>
          <c:y val="4.5723620211809209E-2"/>
        </c:manualLayout>
      </c:layout>
      <c:overlay val="0"/>
      <c:spPr>
        <a:noFill/>
        <a:ln>
          <a:noFill/>
        </a:ln>
        <a:effectLst/>
      </c:spPr>
    </c:title>
    <c:autoTitleDeleted val="0"/>
    <c:plotArea>
      <c:layout/>
      <c:pieChart>
        <c:varyColors val="1"/>
        <c:ser>
          <c:idx val="0"/>
          <c:order val="0"/>
          <c:tx>
            <c:strRef>
              <c:f>Sheet1!$B$1</c:f>
              <c:strCache>
                <c:ptCount val="1"/>
                <c:pt idx="0">
                  <c:v>број</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363-4109-9979-90C2F7C9626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363-4109-9979-90C2F7C9626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363-4109-9979-90C2F7C96265}"/>
              </c:ext>
            </c:extLst>
          </c:dPt>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удовољено</c:v>
                </c:pt>
                <c:pt idx="1">
                  <c:v>предмети у раду</c:v>
                </c:pt>
                <c:pt idx="2">
                  <c:v>није удовољено</c:v>
                </c:pt>
              </c:strCache>
            </c:strRef>
          </c:cat>
          <c:val>
            <c:numRef>
              <c:f>Sheet1!$B$2:$B$4</c:f>
              <c:numCache>
                <c:formatCode>General</c:formatCode>
                <c:ptCount val="3"/>
                <c:pt idx="0">
                  <c:v>223</c:v>
                </c:pt>
                <c:pt idx="1">
                  <c:v>17</c:v>
                </c:pt>
                <c:pt idx="2">
                  <c:v>29</c:v>
                </c:pt>
              </c:numCache>
            </c:numRef>
          </c:val>
          <c:extLst>
            <c:ext xmlns:c16="http://schemas.microsoft.com/office/drawing/2014/chart" uri="{C3380CC4-5D6E-409C-BE32-E72D297353CC}">
              <c16:uniqueId val="{00000006-4363-4109-9979-90C2F7C96265}"/>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800" b="1" i="0" u="none" strike="noStrike" kern="1200" baseline="0">
                <a:solidFill>
                  <a:schemeClr val="dk1">
                    <a:lumMod val="65000"/>
                    <a:lumOff val="35000"/>
                  </a:schemeClr>
                </a:solidFill>
                <a:latin typeface="+mn-lt"/>
                <a:ea typeface="+mn-ea"/>
                <a:cs typeface="+mn-cs"/>
              </a:defRPr>
            </a:pPr>
            <a:r>
              <a:rPr lang="x-none" sz="1200" b="0"/>
              <a:t>Структура</a:t>
            </a:r>
            <a:r>
              <a:rPr lang="x-none" sz="1200" b="0" baseline="0"/>
              <a:t> одлука Тужилаштва БиХ по захтевима ТРЗ (2016-2020)</a:t>
            </a:r>
            <a:endParaRPr lang="en-US" sz="1200" b="0"/>
          </a:p>
        </c:rich>
      </c:tx>
      <c:overlay val="0"/>
      <c:spPr>
        <a:noFill/>
        <a:ln>
          <a:noFill/>
        </a:ln>
        <a:effectLst/>
      </c:sp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3FC9-4585-895B-279FD3FFBF3D}"/>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3FC9-4585-895B-279FD3FFBF3D}"/>
              </c:ext>
            </c:extLst>
          </c:dPt>
          <c:dLbls>
            <c:spPr>
              <a:noFill/>
              <a:ln>
                <a:noFill/>
              </a:ln>
              <a:effectLst/>
            </c:spPr>
            <c:txPr>
              <a:bodyPr rot="0" spcFirstLastPara="1" vertOverflow="ellipsis" vert="horz" wrap="square" lIns="38100" tIns="19050" rIns="38100" bIns="19050" anchor="ctr" anchorCtr="1">
                <a:spAutoFit/>
              </a:bodyPr>
              <a:lstStyle/>
              <a:p>
                <a:pPr>
                  <a:defRPr lang="en-US"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удовољено</c:v>
                </c:pt>
                <c:pt idx="1">
                  <c:v>није одговорено</c:v>
                </c:pt>
              </c:strCache>
            </c:strRef>
          </c:cat>
          <c:val>
            <c:numRef>
              <c:f>Sheet1!$B$2:$B$3</c:f>
              <c:numCache>
                <c:formatCode>General</c:formatCode>
                <c:ptCount val="2"/>
                <c:pt idx="0">
                  <c:v>144</c:v>
                </c:pt>
                <c:pt idx="1">
                  <c:v>141</c:v>
                </c:pt>
              </c:numCache>
            </c:numRef>
          </c:val>
          <c:extLst>
            <c:ext xmlns:c16="http://schemas.microsoft.com/office/drawing/2014/chart" uri="{C3380CC4-5D6E-409C-BE32-E72D297353CC}">
              <c16:uniqueId val="{00000004-3FC9-4585-895B-279FD3FFBF3D}"/>
            </c:ext>
          </c:extLst>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lang="en-US" sz="900" b="0" i="0" u="none" strike="noStrike" kern="1200" baseline="0">
              <a:solidFill>
                <a:schemeClr val="dk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56F2C-079D-41B4-89BE-4EB82667A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20187</Words>
  <Characters>115071</Characters>
  <Application>Microsoft Office Word</Application>
  <DocSecurity>0</DocSecurity>
  <Lines>958</Lines>
  <Paragraphs>269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Kolaković-Bojović</dc:creator>
  <cp:keywords/>
  <dc:description/>
  <cp:lastModifiedBy>Bojan Grgić</cp:lastModifiedBy>
  <cp:revision>2</cp:revision>
  <cp:lastPrinted>2021-10-15T09:12:00Z</cp:lastPrinted>
  <dcterms:created xsi:type="dcterms:W3CDTF">2021-10-15T14:38:00Z</dcterms:created>
  <dcterms:modified xsi:type="dcterms:W3CDTF">2021-10-15T14:38:00Z</dcterms:modified>
</cp:coreProperties>
</file>